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7.png" ContentType="image/png"/>
  <Override PartName="/word/media/rId141.png" ContentType="image/png"/>
  <Override PartName="/word/media/rId145.png" ContentType="image/png"/>
  <Override PartName="/word/media/rId148.png" ContentType="image/png"/>
  <Override PartName="/word/media/rId152.png" ContentType="image/png"/>
  <Override PartName="/word/media/rId23.png" ContentType="image/png"/>
  <Override PartName="/word/media/rId28.png" ContentType="image/png"/>
  <Override PartName="/word/media/rId64.png" ContentType="image/png"/>
  <Override PartName="/word/media/rId67.png" ContentType="image/png"/>
  <Override PartName="/word/media/rId71.png" ContentType="image/png"/>
  <Override PartName="/word/media/rId78.png" ContentType="image/png"/>
  <Override PartName="/word/media/rId92.png" ContentType="image/png"/>
  <Override PartName="/word/media/rId99.png" ContentType="image/png"/>
  <Override PartName="/word/media/rId106.png" ContentType="image/png"/>
  <Override PartName="/word/media/rId113.png" ContentType="image/png"/>
  <Override PartName="/word/media/rId120.png" ContentType="image/png"/>
  <Override PartName="/word/media/rId127.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Authorisation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September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bookmarkStart w:id="13"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[1,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 patients, healthcare professionals, guardians, researchers, healthcare organisations, and other authorised entities to participate in data-sharing processes [16, 32, 35].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[14, 21, 23].</w:t>
      </w:r>
    </w:p>
    <w:p>
      <w:pPr>
        <w:pStyle w:val="BodyText"/>
      </w:pPr>
      <w:r>
        <w:t xml:space="preserve">Traditional access-control architectures are commonly based on centralised identity providers, institution-specific authentication systems, and relatively static permission-management mechanisms [13, 24, 30].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 institutional authorities, and other authorised stakeholders [11, 32].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[3, 4, 9]. More broadly, blockchain-based approaches have demonstrated the potential to improve the integrity, transparency, and traceability of decentralised data-management processes [2, 25].</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BodyText"/>
      </w:pPr>
      <w:r>
        <w:rPr>
          <w:b/>
          <w:bCs/>
        </w:rPr>
        <w:t xml:space="preserve">Australian regulatory context.</w:t>
      </w:r>
      <w:r>
        <w:t xml:space="preserve"> </w:t>
      </w:r>
      <w:r>
        <w:t xml:space="preserve">In Australia, health information is classified as</w:t>
      </w:r>
      <w:r>
        <w:t xml:space="preserve"> </w:t>
      </w:r>
      <w:r>
        <w:rPr>
          <w:i/>
          <w:iCs/>
        </w:rPr>
        <w:t xml:space="preserve">sensitive information</w:t>
      </w:r>
      <w:r>
        <w:t xml:space="preserve"> </w:t>
      </w:r>
      <w:r>
        <w:t xml:space="preserve">under the</w:t>
      </w:r>
      <w:r>
        <w:t xml:space="preserve"> </w:t>
      </w:r>
      <w:r>
        <w:rPr>
          <w:i/>
          <w:iCs/>
        </w:rPr>
        <w:t xml:space="preserve">Privacy Act 1988</w:t>
      </w:r>
      <w:r>
        <w:t xml:space="preserve"> </w:t>
      </w:r>
      <w:r>
        <w:t xml:space="preserve">(Cth) [37].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t xml:space="preserve"> </w:t>
      </w:r>
      <w:r>
        <w:rPr>
          <w:i/>
          <w:iCs/>
        </w:rPr>
        <w:t xml:space="preserve">My Health Records Act 2012</w:t>
      </w:r>
      <w:r>
        <w:t xml:space="preserve"> </w:t>
      </w:r>
      <w:r>
        <w:t xml:space="preserve">(Cth) [38] additionally allows consumers to control which healthcare provider organisations can access their record or particular documents, and the</w:t>
      </w:r>
      <w:r>
        <w:t xml:space="preserve"> </w:t>
      </w:r>
      <w:r>
        <w:rPr>
          <w:i/>
          <w:iCs/>
        </w:rPr>
        <w:t xml:space="preserve">Healthcare Identifiers Act 2010</w:t>
      </w:r>
      <w:r>
        <w:t xml:space="preserve"> </w:t>
      </w:r>
      <w:r>
        <w:t xml:space="preserve">(Cth) [39] governs the national identifiers used for individuals (Individual Healthcare Identifier, IHI), practitioners (Healthcare Provider Identifier – Individual, HPI-I), and organisations (Healthcare Provider Identifier – Organisation, HPI-O). These instruments show, for one jurisdiction, three of the conditions examined in this research: verified identity, patient-controlled authority over disclosure, and purpose- and scope-limited use. The HALAH prototype (Chapter 7) reflects this context through purpose-bound consent, module-level data scope, and an explicit jurisdiction attribute (default</w:t>
      </w:r>
      <w:r>
        <w:t xml:space="preserve"> </w:t>
      </w:r>
      <w:r>
        <w:t xml:space="preserve">‘AU’</w:t>
      </w:r>
      <w: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 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[17, 20]. 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In this report, the</w:t>
      </w:r>
      <w:r>
        <w:t xml:space="preserve"> </w:t>
      </w:r>
      <w:r>
        <w:rPr>
          <w:i/>
          <w:iCs/>
        </w:rPr>
        <w:t xml:space="preserve">current stage</w:t>
      </w:r>
      <w:r>
        <w:t xml:space="preserve"> </w:t>
      </w:r>
      <w:r>
        <w:t xml:space="preserve">refers to Stage 1 (CA2: RO1–RO4) and the</w:t>
      </w:r>
      <w:r>
        <w:t xml:space="preserve"> </w:t>
      </w:r>
      <w:r>
        <w:rPr>
          <w:i/>
          <w:iCs/>
        </w:rPr>
        <w:t xml:space="preserve">next stage</w:t>
      </w:r>
      <w:r>
        <w:t xml:space="preserve"> </w:t>
      </w:r>
      <w: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next-stage (CA3)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The 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1.1.</w:t>
      </w:r>
    </w:p>
    <w:p>
      <w:pPr>
        <w:pStyle w:val="BodyText"/>
      </w:pPr>
      <w:r>
        <w:t xml:space="preserve">This separation establishes a clear progression between the current and subsequent stages of the research. The current research is concerned primarily with establishing the conceptual and technical foundations through which trustworthy multi-party authorisation can be constructed. The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1.1: Research Scope and Progression</w:t>
      </w:r>
    </w:p>
    <w:tbl>
      <w:tblPr>
        <w:tblStyle w:val="Table"/>
        <w:tblW w:type="pct" w:w="5000"/>
        <w:tblLayout w:type="fixed"/>
        <w:tblLook w:firstRow="1" w:lastRow="0" w:firstColumn="0" w:lastColumn="0" w:noHBand="0" w:noVBand="0" w:val="0020"/>
        <w:tblCaption w:val="Table 1.1: Research Scope and Progression"/>
      </w:tblPr>
      <w:tblGrid>
        <w:gridCol w:w="833"/>
        <w:gridCol w:w="3543"/>
        <w:gridCol w:w="354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Access Control</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Start w:id="12" w:name="structure-of-the-report"/>
    <w:p>
      <w:pPr>
        <w:pStyle w:val="Heading2"/>
      </w:pPr>
      <w:r>
        <w:t xml:space="preserve">1.4 Structure of the Report</w:t>
      </w:r>
    </w:p>
    <w:p>
      <w:pPr>
        <w:pStyle w:val="FirstParagraph"/>
      </w:pPr>
      <w:r>
        <w:t xml:space="preserve">The remainder of this report is organised as follows. Chapter 2 presents the systematic literature review: it defines the five key requirements that a trust-oriented consent authorisation framework should satisfy, describes the four-step process used to shortlist the studies, summarises the shortlisted studies by category and identifies the research gaps from the requirement perspective. Chapter 3 states the research gap, the main research question and the six sub-research questions, and Chapter 4 translates them into six research objectives. Chapter 5 describes the Model–View–Controller (MVC) research architecture, and Chapter 6 presents the proposed solution for each objective through its workflow, procedure, and algorithm. Chapter 7 presents the HALAH prototype, its four subsystems, the mapping to the source code, the automated test evidence, and the on-chain evidence. Chapter 8 reports the progress of each objective, Chapter 9 summarises the publication plan and Chapter 10 sets out the research plan for the current and next stages.</w:t>
      </w:r>
    </w:p>
    <w:bookmarkEnd w:id="12"/>
    <w:bookmarkEnd w:id="13"/>
    <w:bookmarkStart w:id="44" w:name="X8d950ebaf958e7860fc944fc7601a3578d63a09"/>
    <w:p>
      <w:pPr>
        <w:pStyle w:val="Heading1"/>
      </w:pPr>
      <w:r>
        <w:t xml:space="preserve">2 A Systematic Literature Review</w:t>
      </w:r>
    </w:p>
    <w:bookmarkStart w:id="14" w:name="overview-introduction"/>
    <w:p>
      <w:pPr>
        <w:pStyle w:val="Heading2"/>
      </w:pPr>
      <w:r>
        <w:t xml:space="preserve">2.1 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[10, 21, 23, 27, 28, 33]. Blockchain-based data-governance research has investigated immutable records, distributed auditability, and decentralised consent management [3, 4, 9, 25]. Research on decentralised identity and verifiable credentials has developed mechanisms for self-controlled identity representation, credential verification, selective disclosure, and privacy-preserving authentication [6, 7, 18, 20, 26, 36]. Access-control research has further investigated role-based, attribute-based, risk-aware, and usage-control approaches for protecting sensitive healthcare information [5, 13, 24, 30, 31, 34, 35].</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BodyText"/>
      </w:pPr>
      <w:r>
        <w:t xml:space="preserve">The reviewed studies were located, shortlisted and evaluated through the systematic process described in Section 2.3, which follows the four-step approach of searching the literature, applying inclusion and exclusion criteria, evaluating quality, and extracting and categorising the data.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 introduces the research questions and objectives of Chapters 3 and 4.</w:t>
      </w:r>
    </w:p>
    <w:bookmarkEnd w:id="14"/>
    <w:bookmarkStart w:id="20" w:name="Xe31d4d16f418816f7cdb8bb7e2c33f7a12ca646"/>
    <w:p>
      <w:pPr>
        <w:pStyle w:val="Heading2"/>
      </w:pPr>
      <w:r>
        <w:t xml:space="preserve">2.2 Key Requirements for a Trust-Oriented Consent Authorisation Framework</w:t>
      </w:r>
    </w:p>
    <w:p>
      <w:pPr>
        <w:pStyle w:val="FirstParagraph"/>
      </w:pPr>
      <w: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t xml:space="preserve"> </w:t>
      </w:r>
      <w:r>
        <w:rPr>
          <w:i/>
          <w:iCs/>
        </w:rPr>
        <w:t xml:space="preserve">Privacy Act 1988</w:t>
      </w:r>
      <w:r>
        <w:t xml:space="preserve"> </w:t>
      </w:r>
      <w:r>
        <w:t xml:space="preserve">[37], the</w:t>
      </w:r>
      <w:r>
        <w:t xml:space="preserve"> </w:t>
      </w:r>
      <w:r>
        <w:rPr>
          <w:i/>
          <w:iCs/>
        </w:rPr>
        <w:t xml:space="preserve">My Health Records Act 2012</w:t>
      </w:r>
      <w:r>
        <w:t xml:space="preserve"> </w:t>
      </w:r>
      <w:r>
        <w:t xml:space="preserve">[38] and the</w:t>
      </w:r>
      <w:r>
        <w:t xml:space="preserve"> </w:t>
      </w:r>
      <w:r>
        <w:rPr>
          <w:i/>
          <w:iCs/>
        </w:rPr>
        <w:t xml:space="preserve">Healthcare Identifiers Act 2010</w:t>
      </w:r>
      <w:r>
        <w:t xml:space="preserve"> </w:t>
      </w:r>
      <w:r>
        <w:t xml:space="preserve">[39]. They form the basis on which the shortlisted studies are compared in Section 2.4 and against which the research gaps are stated in Section 2.5.</w:t>
      </w:r>
    </w:p>
    <w:bookmarkStart w:id="15" w:name="Xb2c1c1d0f9cf3a779daabe364a3fe8b072535a1"/>
    <w:p>
      <w:pPr>
        <w:pStyle w:val="Heading3"/>
      </w:pPr>
      <w:r>
        <w:t xml:space="preserve">2.2.1 Consent as an evaluable authorisation object (Req 1)</w:t>
      </w:r>
    </w:p>
    <w:p>
      <w:pPr>
        <w:pStyle w:val="FirstParagraph"/>
      </w:pPr>
      <w: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[12], dynamic consent models [15, 23] and the legal conditions of valid consent [21] all point in this direction, but they stop at recording consent rather than making it evaluable. Blockchain-backed architectures that execute and audit consents [28] and self-determined consent frameworks [33] add enforcement and tracking, yet they still act on the consent record rather than on an evaluation of the request.</w:t>
      </w:r>
    </w:p>
    <w:bookmarkEnd w:id="15"/>
    <w:bookmarkStart w:id="16" w:name="Xa885eda08813ad5fc0a2256dc7473e8c07c13b3"/>
    <w:p>
      <w:pPr>
        <w:pStyle w:val="Heading3"/>
      </w:pPr>
      <w:r>
        <w:t xml:space="preserve">2.2.2 Verifiable identity separated from authority (Req 2)</w:t>
      </w:r>
    </w:p>
    <w:p>
      <w:pPr>
        <w:pStyle w:val="FirstParagraph"/>
      </w:pPr>
      <w: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[6, 20], and the</w:t>
      </w:r>
      <w:r>
        <w:t xml:space="preserve"> </w:t>
      </w:r>
      <w:r>
        <w:rPr>
          <w:i/>
          <w:iCs/>
        </w:rPr>
        <w:t xml:space="preserve">Healthcare Identifiers Act 2010</w:t>
      </w:r>
      <w:r>
        <w:t xml:space="preserve"> </w:t>
      </w:r>
      <w:r>
        <w:t xml:space="preserve">already gives every provider and individual a persistent identifier [39]. The second step is frequently overlooked: a valid credential shows that a person is, for example, a registered practitioner or a legal guardian [10], but not that this person is authorised for this patient, this purpose and this data. The second requirement is that identity verification and authority verification be modelled as distinct conditions.</w:t>
      </w:r>
    </w:p>
    <w:bookmarkEnd w:id="16"/>
    <w:bookmarkStart w:id="17" w:name="X3f1caa9985cd93675a873a4a1b7cf3386e492f2"/>
    <w:p>
      <w:pPr>
        <w:pStyle w:val="Heading3"/>
      </w:pPr>
      <w:r>
        <w:t xml:space="preserve">2.2.3 Multi-party threshold authorisation (Req 3)</w:t>
      </w:r>
    </w:p>
    <w:p>
      <w:pPr>
        <w:pStyle w:val="FirstParagraph"/>
      </w:pPr>
      <w:r>
        <w:t xml:space="preserve">In paediatric, aged-care and shared-guardianship settings the decision to release data does not belong to a single party. Guardians, the treating clinician and, where applicable, the institution each hold part of the authority [10].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[6], multi-party governance of data trusts [19] and threshold-based pre-authorisation of record access [29] provide building blocks, but none treats the approval threshold as a verifiable condition attached to the consent itself.</w:t>
      </w:r>
    </w:p>
    <w:bookmarkEnd w:id="17"/>
    <w:bookmarkStart w:id="18" w:name="purpose--and-scope-bound-access-req-4"/>
    <w:p>
      <w:pPr>
        <w:pStyle w:val="Heading3"/>
      </w:pPr>
      <w:r>
        <w:t xml:space="preserve">2.2.4 Purpose- and scope-bound access (Req 4)</w:t>
      </w:r>
    </w:p>
    <w:p>
      <w:pPr>
        <w:pStyle w:val="FirstParagraph"/>
      </w:pPr>
      <w:r>
        <w:t xml:space="preserve">Even when the requester is verified and the required approvals exist, the request must remain within the purpose and the data scope that the patient authorised. Attribute-based, risk-aware, usage-control and purpose-based models can express fine-grained restrictions [5, 13, 24, 30, 31, 34, 35], and the Australian Privacy Principles require that health information be used only for the primary purpose of collection or a directly related purpose [37]. The fourth requirement is that the framework evaluate the requested purpose and data scope against the consent as an explicit condition of the decision rather than as a separate access-control layer.</w:t>
      </w:r>
    </w:p>
    <w:bookmarkEnd w:id="18"/>
    <w:bookmarkStart w:id="19" w:name="Xa8ff9ba73be0aeb7c197ff9dd13ad790ec9629a"/>
    <w:p>
      <w:pPr>
        <w:pStyle w:val="Heading3"/>
      </w:pPr>
      <w:r>
        <w:t xml:space="preserve">2.2.5 Lifecycle validity and auditable evidence (Req 5)</w:t>
      </w:r>
    </w:p>
    <w:p>
      <w:pPr>
        <w:pStyle w:val="FirstParagraph"/>
      </w:pPr>
      <w: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[2, 25, 27, 31], and dynamic identity systems handle revocation at the identity level [36]; the fifth requirement is that the same properties hold for the consent object and for the authorisation decisions made on it.</w:t>
      </w:r>
    </w:p>
    <w:p>
      <w:pPr>
        <w:pStyle w:val="BodyText"/>
      </w:pPr>
      <w:r>
        <w:t xml:space="preserve">Whether each shortlisted study addresses each requirement is recorded in Tables 2.4–2.9, and the gaps are summarised from the requirement perspective in Section 2.5.</w:t>
      </w:r>
    </w:p>
    <w:bookmarkEnd w:id="19"/>
    <w:bookmarkEnd w:id="20"/>
    <w:bookmarkStart w:id="33" w:name="Xc890dc5c16727df01c4dec67a5cc738423fdfed"/>
    <w:p>
      <w:pPr>
        <w:pStyle w:val="Heading2"/>
      </w:pPr>
      <w:r>
        <w:t xml:space="preserve">2.3 Process Adopted for Shortlisting the Papers for the SLR</w:t>
      </w:r>
    </w:p>
    <w:p>
      <w:pPr>
        <w:pStyle w:val="FirstParagraph"/>
      </w:pPr>
      <w:r>
        <w:t xml:space="preserve">This review followed the Preferred Reporting Items for Systematic Reviews and Meta-Analyses (PRISMA 2020) reporting guideline [40].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 Sections 2.3.1–2.3.6, and the resulting study selection is summarised in Figure 2.2. The process is reported in four steps: searching the literature (Step 1), applying inclusion and exclusion criteria (Step 2), evaluating quality (Step 3) and extracting and categorising the data (Step 4).</w:t>
      </w:r>
    </w:p>
    <w:bookmarkStart w:id="21" w:name="review-design-and-reporting-framework"/>
    <w:p>
      <w:pPr>
        <w:pStyle w:val="Heading3"/>
      </w:pPr>
      <w:r>
        <w:t xml:space="preserve">2.3.1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 described in Section 2.3.5.</w:t>
      </w:r>
    </w:p>
    <w:bookmarkEnd w:id="21"/>
    <w:bookmarkStart w:id="22" w:name="questions-for-review"/>
    <w:p>
      <w:pPr>
        <w:pStyle w:val="Heading3"/>
      </w:pPr>
      <w:r>
        <w:t xml:space="preserve">2.3.2 Questions for Review</w:t>
      </w:r>
    </w:p>
    <w:p>
      <w:pPr>
        <w:pStyle w:val="FirstParagraph"/>
      </w:pPr>
      <w:r>
        <w:t xml:space="preserve">This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22"/>
    <w:bookmarkStart w:id="26" w:name="X84813ed82bde8b681c1e93fab893fb6ffc8ce2b"/>
    <w:p>
      <w:pPr>
        <w:pStyle w:val="Heading3"/>
      </w:pPr>
      <w:r>
        <w:t xml:space="preserve">2.3.3 Step 1: Criteria for Searching the Literature</w:t>
      </w:r>
    </w:p>
    <w:p>
      <w:pPr>
        <w:pStyle w:val="FirstParagraph"/>
      </w:pPr>
      <w:r>
        <w:t xml:space="preserve">The literature search was conducted using the following academic databases: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 The general search string was defined as shown in Figure 2.1.</w:t>
      </w:r>
    </w:p>
    <w:p>
      <w:pPr>
        <w:pStyle w:val="CaptionedFigure"/>
      </w:pPr>
      <w:r>
        <w:drawing>
          <wp:inline>
            <wp:extent cx="5486400" cy="3383782"/>
            <wp:effectExtent b="0" l="0" r="0" t="0"/>
            <wp:docPr descr="Figure 2.1: SLR search string definition" title="" id="24" name="Picture"/>
            <a:graphic>
              <a:graphicData uri="http://schemas.openxmlformats.org/drawingml/2006/picture">
                <pic:pic>
                  <pic:nvPicPr>
                    <pic:cNvPr descr="media/fig01.png" id="25" name="Picture"/>
                    <pic:cNvPicPr>
                      <a:picLocks noChangeArrowheads="1" noChangeAspect="1"/>
                    </pic:cNvPicPr>
                  </pic:nvPicPr>
                  <pic:blipFill>
                    <a:blip r:embed="rId23"/>
                    <a:stretch>
                      <a:fillRect/>
                    </a:stretch>
                  </pic:blipFill>
                  <pic:spPr bwMode="auto">
                    <a:xfrm>
                      <a:off x="0" y="0"/>
                      <a:ext cx="5486400" cy="3383782"/>
                    </a:xfrm>
                    <a:prstGeom prst="rect">
                      <a:avLst/>
                    </a:prstGeom>
                    <a:noFill/>
                    <a:ln w="9525">
                      <a:noFill/>
                      <a:headEnd/>
                      <a:tailEnd/>
                    </a:ln>
                  </pic:spPr>
                </pic:pic>
              </a:graphicData>
            </a:graphic>
          </wp:inline>
        </w:drawing>
      </w:r>
    </w:p>
    <w:p>
      <w:pPr>
        <w:pStyle w:val="ImageCaption"/>
      </w:pPr>
      <w:r>
        <w:t xml:space="preserve">Figure 2.1: SLR search string definition</w:t>
      </w:r>
    </w:p>
    <w:p>
      <w:pPr>
        <w:pStyle w:val="BodyText"/>
      </w:pPr>
      <w:r>
        <w:rPr>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on</w:t>
      </w:r>
      <w:r>
        <w:t xml:space="preserve"> </w:t>
      </w:r>
      <w:r>
        <w:rPr>
          <w:b/>
          <w:bCs/>
        </w:rPr>
        <w:t xml:space="preserve">15 August 2026</w:t>
      </w:r>
      <w:r>
        <w:t xml:space="preserve">. The search period was selected to capture the rapid development of multi-party trust healthcare data management, decentralised identity, and consent-aware access control while maintaining a sufficiently contemporary evidence base.</w:t>
      </w:r>
    </w:p>
    <w:p>
      <w:pPr>
        <w:pStyle w:val="BodyText"/>
      </w:pPr>
      <w:r>
        <w:t xml:space="preserve">The search results from all databases were exported into a reference management system. Duplicate records were identified using bibliographic metadata, including title, author, digital object identifier (DOI), and publication year. Where duplicate records were identified, the most complete bibliographic record was retained for subsequent screening.</w:t>
      </w:r>
    </w:p>
    <w:p>
      <w:pPr>
        <w:pStyle w:val="BodyText"/>
      </w:pPr>
      <w:r>
        <w:rPr>
          <w:b/>
          <w:bCs/>
        </w:rPr>
        <w:t xml:space="preserve">Required information from the selected papers.</w:t>
      </w:r>
      <w:r>
        <w:t xml:space="preserve"> </w:t>
      </w:r>
      <w:r>
        <w:t xml:space="preserve">For each record, the title, abstract, keywords and full text were required, together with the publication venue, year and the DOI used for duplicate detection.</w:t>
      </w:r>
    </w:p>
    <w:p>
      <w:pPr>
        <w:pStyle w:val="BodyText"/>
      </w:pPr>
      <w:r>
        <w:rPr>
          <w:b/>
          <w:bCs/>
        </w:rPr>
        <w:t xml:space="preserve">Publication time of the records.</w:t>
      </w:r>
      <w:r>
        <w:t xml:space="preserve"> </w:t>
      </w:r>
      <w:r>
        <w:t xml:space="preserve">Only studies published between 2022 and 2026 were considered, because decentralised identity standards and consent-aware access control developed rapidly over that period. The journals and conference proceedings in which the included studies were published are listed in Table 2.1.</w:t>
      </w:r>
    </w:p>
    <w:p>
      <w:pPr>
        <w:pStyle w:val="TableCaption"/>
      </w:pPr>
      <w: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990"/>
        <w:gridCol w:w="4207"/>
        <w:gridCol w:w="990"/>
        <w:gridCol w:w="173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S/N</w:t>
            </w:r>
          </w:p>
        </w:tc>
        <w:tc>
          <w:tcPr>
            <w:tcBorders>
              <w:bottom w:val="single" w:sz="8" w:space="0" w:color="000000"/>
            </w:tcBorders>
            <w:shd w:val="clear" w:color="auto" w:fill="E7E6E6"/>
            <w:vAlign w:val="center"/>
          </w:tcPr>
          <w:p>
            <w:pPr>
              <w:pStyle w:val="Compact"/>
              <w:jc w:val="left"/>
            </w:pPr>
            <w:r>
              <w:rPr>
                <w:b/>
                <w:bCs/>
              </w:rPr>
              <w:t xml:space="preserve">Journal or conference proceedings</w:t>
            </w:r>
          </w:p>
        </w:tc>
        <w:tc>
          <w:tcPr>
            <w:tcBorders>
              <w:bottom w:val="single" w:sz="8" w:space="0" w:color="000000"/>
            </w:tcBorders>
            <w:shd w:val="clear" w:color="auto" w:fill="E7E6E6"/>
            <w:vAlign w:val="center"/>
          </w:tcPr>
          <w:p>
            <w:pPr>
              <w:pStyle w:val="Compact"/>
              <w:jc w:val="left"/>
            </w:pPr>
            <w:r>
              <w:rPr>
                <w:b/>
                <w:bCs/>
              </w:rPr>
              <w:t xml:space="preserve">Type</w:t>
            </w:r>
          </w:p>
        </w:tc>
        <w:tc>
          <w:tcPr>
            <w:tcBorders>
              <w:bottom w:val="single" w:sz="8" w:space="0" w:color="000000"/>
            </w:tcBorders>
            <w:shd w:val="clear" w:color="auto" w:fill="E7E6E6"/>
            <w:vAlign w:val="center"/>
          </w:tcPr>
          <w:p>
            <w:pPr>
              <w:pStyle w:val="Compact"/>
              <w:jc w:val="left"/>
            </w:pPr>
            <w:r>
              <w:rPr>
                <w:b/>
                <w:bCs/>
              </w:rPr>
              <w:t xml:space="preserve">Included studies</w:t>
            </w:r>
          </w:p>
        </w:tc>
      </w:tr>
      <w:tr>
        <w:trPr>
          <w:cantSplit/>
        </w:trPr>
        <w:tc>
          <w:tcPr/>
          <w:p>
            <w:pPr>
              <w:pStyle w:val="Compact"/>
              <w:jc w:val="left"/>
            </w:pPr>
            <w:r>
              <w:t xml:space="preserve">1</w:t>
            </w:r>
          </w:p>
        </w:tc>
        <w:tc>
          <w:tcPr/>
          <w:p>
            <w:pPr>
              <w:pStyle w:val="Compact"/>
              <w:jc w:val="left"/>
            </w:pPr>
            <w:r>
              <w:t xml:space="preserve">IEEE Access</w:t>
            </w:r>
          </w:p>
        </w:tc>
        <w:tc>
          <w:tcPr/>
          <w:p>
            <w:pPr>
              <w:pStyle w:val="Compact"/>
              <w:jc w:val="left"/>
            </w:pPr>
            <w:r>
              <w:t xml:space="preserve">Journal</w:t>
            </w:r>
          </w:p>
        </w:tc>
        <w:tc>
          <w:tcPr/>
          <w:p>
            <w:pPr>
              <w:pStyle w:val="Compact"/>
              <w:jc w:val="left"/>
            </w:pPr>
            <w:r>
              <w:t xml:space="preserve">S2, S7, S10, S30</w:t>
            </w:r>
          </w:p>
        </w:tc>
      </w:tr>
      <w:tr>
        <w:trPr>
          <w:cantSplit/>
        </w:trPr>
        <w:tc>
          <w:tcPr/>
          <w:p>
            <w:pPr>
              <w:pStyle w:val="Compact"/>
              <w:jc w:val="left"/>
            </w:pPr>
            <w:r>
              <w:t xml:space="preserve">2</w:t>
            </w:r>
          </w:p>
        </w:tc>
        <w:tc>
          <w:tcPr/>
          <w:p>
            <w:pPr>
              <w:pStyle w:val="Compact"/>
              <w:jc w:val="left"/>
            </w:pPr>
            <w:r>
              <w:t xml:space="preserve">IEEE Communications Surveys &amp; Tutorials</w:t>
            </w:r>
          </w:p>
        </w:tc>
        <w:tc>
          <w:tcPr/>
          <w:p>
            <w:pPr>
              <w:pStyle w:val="Compact"/>
              <w:jc w:val="left"/>
            </w:pPr>
            <w:r>
              <w:t xml:space="preserve">Journal</w:t>
            </w:r>
          </w:p>
        </w:tc>
        <w:tc>
          <w:tcPr/>
          <w:p>
            <w:pPr>
              <w:pStyle w:val="Compact"/>
              <w:jc w:val="left"/>
            </w:pPr>
            <w:r>
              <w:t xml:space="preserve">S12, S19</w:t>
            </w:r>
          </w:p>
        </w:tc>
      </w:tr>
      <w:tr>
        <w:trPr>
          <w:cantSplit/>
        </w:trPr>
        <w:tc>
          <w:tcPr/>
          <w:p>
            <w:pPr>
              <w:pStyle w:val="Compact"/>
              <w:jc w:val="left"/>
            </w:pPr>
            <w:r>
              <w:t xml:space="preserve">3</w:t>
            </w:r>
          </w:p>
        </w:tc>
        <w:tc>
          <w:tcPr/>
          <w:p>
            <w:pPr>
              <w:pStyle w:val="Compact"/>
              <w:jc w:val="left"/>
            </w:pPr>
            <w:r>
              <w:t xml:space="preserve">ACM Computing Surveys</w:t>
            </w:r>
          </w:p>
        </w:tc>
        <w:tc>
          <w:tcPr/>
          <w:p>
            <w:pPr>
              <w:pStyle w:val="Compact"/>
              <w:jc w:val="left"/>
            </w:pPr>
            <w:r>
              <w:t xml:space="preserve">Journal</w:t>
            </w:r>
          </w:p>
        </w:tc>
        <w:tc>
          <w:tcPr/>
          <w:p>
            <w:pPr>
              <w:pStyle w:val="Compact"/>
              <w:jc w:val="left"/>
            </w:pPr>
            <w:r>
              <w:t xml:space="preserve">S14</w:t>
            </w:r>
          </w:p>
        </w:tc>
      </w:tr>
      <w:tr>
        <w:trPr>
          <w:cantSplit/>
        </w:trPr>
        <w:tc>
          <w:tcPr/>
          <w:p>
            <w:pPr>
              <w:pStyle w:val="Compact"/>
              <w:jc w:val="left"/>
            </w:pPr>
            <w:r>
              <w:t xml:space="preserve">4</w:t>
            </w:r>
          </w:p>
        </w:tc>
        <w:tc>
          <w:tcPr/>
          <w:p>
            <w:pPr>
              <w:pStyle w:val="Compact"/>
              <w:jc w:val="left"/>
            </w:pPr>
            <w:r>
              <w:t xml:space="preserve">ACM Transactions on Management Information Systems</w:t>
            </w:r>
          </w:p>
        </w:tc>
        <w:tc>
          <w:tcPr/>
          <w:p>
            <w:pPr>
              <w:pStyle w:val="Compact"/>
              <w:jc w:val="left"/>
            </w:pPr>
            <w:r>
              <w:t xml:space="preserve">Journal</w:t>
            </w:r>
          </w:p>
        </w:tc>
        <w:tc>
          <w:tcPr/>
          <w:p>
            <w:pPr>
              <w:pStyle w:val="Compact"/>
              <w:jc w:val="left"/>
            </w:pPr>
            <w:r>
              <w:t xml:space="preserve">S20</w:t>
            </w:r>
          </w:p>
        </w:tc>
      </w:tr>
      <w:tr>
        <w:trPr>
          <w:cantSplit/>
        </w:trPr>
        <w:tc>
          <w:tcPr/>
          <w:p>
            <w:pPr>
              <w:pStyle w:val="Compact"/>
              <w:jc w:val="left"/>
            </w:pPr>
            <w:r>
              <w:t xml:space="preserve">5</w:t>
            </w:r>
          </w:p>
        </w:tc>
        <w:tc>
          <w:tcPr/>
          <w:p>
            <w:pPr>
              <w:pStyle w:val="Compact"/>
              <w:jc w:val="left"/>
            </w:pPr>
            <w:r>
              <w:t xml:space="preserve">IEEE Transactions on Computers</w:t>
            </w:r>
          </w:p>
        </w:tc>
        <w:tc>
          <w:tcPr/>
          <w:p>
            <w:pPr>
              <w:pStyle w:val="Compact"/>
              <w:jc w:val="left"/>
            </w:pPr>
            <w:r>
              <w:t xml:space="preserve">Journal</w:t>
            </w:r>
          </w:p>
        </w:tc>
        <w:tc>
          <w:tcPr/>
          <w:p>
            <w:pPr>
              <w:pStyle w:val="Compact"/>
              <w:jc w:val="left"/>
            </w:pPr>
            <w:r>
              <w:t xml:space="preserve">S15</w:t>
            </w:r>
          </w:p>
        </w:tc>
      </w:tr>
      <w:tr>
        <w:trPr>
          <w:cantSplit/>
        </w:trPr>
        <w:tc>
          <w:tcPr/>
          <w:p>
            <w:pPr>
              <w:pStyle w:val="Compact"/>
              <w:jc w:val="left"/>
            </w:pPr>
            <w:r>
              <w:t xml:space="preserve">6</w:t>
            </w:r>
          </w:p>
        </w:tc>
        <w:tc>
          <w:tcPr/>
          <w:p>
            <w:pPr>
              <w:pStyle w:val="Compact"/>
              <w:jc w:val="left"/>
            </w:pPr>
            <w:r>
              <w:t xml:space="preserve">IEEE Transactions on Information Forensics and Security</w:t>
            </w:r>
          </w:p>
        </w:tc>
        <w:tc>
          <w:tcPr/>
          <w:p>
            <w:pPr>
              <w:pStyle w:val="Compact"/>
              <w:jc w:val="left"/>
            </w:pPr>
            <w:r>
              <w:t xml:space="preserve">Journal</w:t>
            </w:r>
          </w:p>
        </w:tc>
        <w:tc>
          <w:tcPr/>
          <w:p>
            <w:pPr>
              <w:pStyle w:val="Compact"/>
              <w:jc w:val="left"/>
            </w:pPr>
            <w:r>
              <w:t xml:space="preserve">S21</w:t>
            </w:r>
          </w:p>
        </w:tc>
      </w:tr>
      <w:tr>
        <w:trPr>
          <w:cantSplit/>
        </w:trPr>
        <w:tc>
          <w:tcPr/>
          <w:p>
            <w:pPr>
              <w:pStyle w:val="Compact"/>
              <w:jc w:val="left"/>
            </w:pPr>
            <w:r>
              <w:t xml:space="preserve">7</w:t>
            </w:r>
          </w:p>
        </w:tc>
        <w:tc>
          <w:tcPr/>
          <w:p>
            <w:pPr>
              <w:pStyle w:val="Compact"/>
              <w:jc w:val="left"/>
            </w:pPr>
            <w:r>
              <w:t xml:space="preserve">Journal of Network and Computer Applications</w:t>
            </w:r>
          </w:p>
        </w:tc>
        <w:tc>
          <w:tcPr/>
          <w:p>
            <w:pPr>
              <w:pStyle w:val="Compact"/>
              <w:jc w:val="left"/>
            </w:pPr>
            <w:r>
              <w:t xml:space="preserve">Journal</w:t>
            </w:r>
          </w:p>
        </w:tc>
        <w:tc>
          <w:tcPr/>
          <w:p>
            <w:pPr>
              <w:pStyle w:val="Compact"/>
              <w:jc w:val="left"/>
            </w:pPr>
            <w:r>
              <w:t xml:space="preserve">S11</w:t>
            </w:r>
          </w:p>
        </w:tc>
      </w:tr>
      <w:tr>
        <w:trPr>
          <w:cantSplit/>
        </w:trPr>
        <w:tc>
          <w:tcPr/>
          <w:p>
            <w:pPr>
              <w:pStyle w:val="Compact"/>
              <w:jc w:val="left"/>
            </w:pPr>
            <w:r>
              <w:t xml:space="preserve">8</w:t>
            </w:r>
          </w:p>
        </w:tc>
        <w:tc>
          <w:tcPr/>
          <w:p>
            <w:pPr>
              <w:pStyle w:val="Compact"/>
              <w:jc w:val="left"/>
            </w:pPr>
            <w:r>
              <w:t xml:space="preserve">Journal of Systems Architecture</w:t>
            </w:r>
          </w:p>
        </w:tc>
        <w:tc>
          <w:tcPr/>
          <w:p>
            <w:pPr>
              <w:pStyle w:val="Compact"/>
              <w:jc w:val="left"/>
            </w:pPr>
            <w:r>
              <w:t xml:space="preserve">Journal</w:t>
            </w:r>
          </w:p>
        </w:tc>
        <w:tc>
          <w:tcPr/>
          <w:p>
            <w:pPr>
              <w:pStyle w:val="Compact"/>
              <w:jc w:val="left"/>
            </w:pPr>
            <w:r>
              <w:t xml:space="preserve">S29</w:t>
            </w:r>
          </w:p>
        </w:tc>
      </w:tr>
      <w:tr>
        <w:trPr>
          <w:cantSplit/>
        </w:trPr>
        <w:tc>
          <w:tcPr/>
          <w:p>
            <w:pPr>
              <w:pStyle w:val="Compact"/>
              <w:jc w:val="left"/>
            </w:pPr>
            <w:r>
              <w:t xml:space="preserve">9</w:t>
            </w:r>
          </w:p>
        </w:tc>
        <w:tc>
          <w:tcPr/>
          <w:p>
            <w:pPr>
              <w:pStyle w:val="Compact"/>
              <w:jc w:val="left"/>
            </w:pPr>
            <w:r>
              <w:t xml:space="preserve">Journal of Information Security and Applications</w:t>
            </w:r>
          </w:p>
        </w:tc>
        <w:tc>
          <w:tcPr/>
          <w:p>
            <w:pPr>
              <w:pStyle w:val="Compact"/>
              <w:jc w:val="left"/>
            </w:pPr>
            <w:r>
              <w:t xml:space="preserve">Journal</w:t>
            </w:r>
          </w:p>
        </w:tc>
        <w:tc>
          <w:tcPr/>
          <w:p>
            <w:pPr>
              <w:pStyle w:val="Compact"/>
              <w:jc w:val="left"/>
            </w:pPr>
            <w:r>
              <w:t xml:space="preserve">S16</w:t>
            </w:r>
          </w:p>
        </w:tc>
      </w:tr>
      <w:tr>
        <w:trPr>
          <w:cantSplit/>
        </w:trPr>
        <w:tc>
          <w:tcPr/>
          <w:p>
            <w:pPr>
              <w:pStyle w:val="Compact"/>
              <w:jc w:val="left"/>
            </w:pPr>
            <w:r>
              <w:t xml:space="preserve">10</w:t>
            </w:r>
          </w:p>
        </w:tc>
        <w:tc>
          <w:tcPr/>
          <w:p>
            <w:pPr>
              <w:pStyle w:val="Compact"/>
              <w:jc w:val="left"/>
            </w:pPr>
            <w:r>
              <w:t xml:space="preserve">Journal of Big Data</w:t>
            </w:r>
          </w:p>
        </w:tc>
        <w:tc>
          <w:tcPr/>
          <w:p>
            <w:pPr>
              <w:pStyle w:val="Compact"/>
              <w:jc w:val="left"/>
            </w:pPr>
            <w:r>
              <w:t xml:space="preserve">Journal</w:t>
            </w:r>
          </w:p>
        </w:tc>
        <w:tc>
          <w:tcPr/>
          <w:p>
            <w:pPr>
              <w:pStyle w:val="Compact"/>
              <w:jc w:val="left"/>
            </w:pPr>
            <w:r>
              <w:t xml:space="preserve">S26</w:t>
            </w:r>
          </w:p>
        </w:tc>
      </w:tr>
      <w:tr>
        <w:trPr>
          <w:cantSplit/>
        </w:trPr>
        <w:tc>
          <w:tcPr/>
          <w:p>
            <w:pPr>
              <w:pStyle w:val="Compact"/>
              <w:jc w:val="left"/>
            </w:pPr>
            <w:r>
              <w:t xml:space="preserve">11</w:t>
            </w:r>
          </w:p>
        </w:tc>
        <w:tc>
          <w:tcPr/>
          <w:p>
            <w:pPr>
              <w:pStyle w:val="Compact"/>
              <w:jc w:val="left"/>
            </w:pPr>
            <w:r>
              <w:t xml:space="preserve">Cluster Computing</w:t>
            </w:r>
          </w:p>
        </w:tc>
        <w:tc>
          <w:tcPr/>
          <w:p>
            <w:pPr>
              <w:pStyle w:val="Compact"/>
              <w:jc w:val="left"/>
            </w:pPr>
            <w:r>
              <w:t xml:space="preserve">Journal</w:t>
            </w:r>
          </w:p>
        </w:tc>
        <w:tc>
          <w:tcPr/>
          <w:p>
            <w:pPr>
              <w:pStyle w:val="Compact"/>
              <w:jc w:val="left"/>
            </w:pPr>
            <w:r>
              <w:t xml:space="preserve">S28</w:t>
            </w:r>
          </w:p>
        </w:tc>
      </w:tr>
      <w:tr>
        <w:trPr>
          <w:cantSplit/>
        </w:trPr>
        <w:tc>
          <w:tcPr/>
          <w:p>
            <w:pPr>
              <w:pStyle w:val="Compact"/>
              <w:jc w:val="left"/>
            </w:pPr>
            <w:r>
              <w:t xml:space="preserve">12</w:t>
            </w:r>
          </w:p>
        </w:tc>
        <w:tc>
          <w:tcPr/>
          <w:p>
            <w:pPr>
              <w:pStyle w:val="Compact"/>
              <w:jc w:val="left"/>
            </w:pPr>
            <w:r>
              <w:t xml:space="preserve">Engineering Reports</w:t>
            </w:r>
          </w:p>
        </w:tc>
        <w:tc>
          <w:tcPr/>
          <w:p>
            <w:pPr>
              <w:pStyle w:val="Compact"/>
              <w:jc w:val="left"/>
            </w:pPr>
            <w:r>
              <w:t xml:space="preserve">Journal</w:t>
            </w:r>
          </w:p>
        </w:tc>
        <w:tc>
          <w:tcPr/>
          <w:p>
            <w:pPr>
              <w:pStyle w:val="Compact"/>
              <w:jc w:val="left"/>
            </w:pPr>
            <w:r>
              <w:t xml:space="preserve">S27</w:t>
            </w:r>
          </w:p>
        </w:tc>
      </w:tr>
      <w:tr>
        <w:trPr>
          <w:cantSplit/>
        </w:trPr>
        <w:tc>
          <w:tcPr/>
          <w:p>
            <w:pPr>
              <w:pStyle w:val="Compact"/>
              <w:jc w:val="left"/>
            </w:pPr>
            <w:r>
              <w:t xml:space="preserve">13</w:t>
            </w:r>
          </w:p>
        </w:tc>
        <w:tc>
          <w:tcPr/>
          <w:p>
            <w:pPr>
              <w:pStyle w:val="Compact"/>
              <w:jc w:val="left"/>
            </w:pPr>
            <w:r>
              <w:t xml:space="preserve">International Journal of Information Management Data Insights</w:t>
            </w:r>
          </w:p>
        </w:tc>
        <w:tc>
          <w:tcPr/>
          <w:p>
            <w:pPr>
              <w:pStyle w:val="Compact"/>
              <w:jc w:val="left"/>
            </w:pPr>
            <w:r>
              <w:t xml:space="preserve">Journal</w:t>
            </w:r>
          </w:p>
        </w:tc>
        <w:tc>
          <w:tcPr/>
          <w:p>
            <w:pPr>
              <w:pStyle w:val="Compact"/>
              <w:jc w:val="left"/>
            </w:pPr>
            <w:r>
              <w:t xml:space="preserve">S23</w:t>
            </w:r>
          </w:p>
        </w:tc>
      </w:tr>
      <w:tr>
        <w:trPr>
          <w:cantSplit/>
        </w:trPr>
        <w:tc>
          <w:tcPr/>
          <w:p>
            <w:pPr>
              <w:pStyle w:val="Compact"/>
              <w:jc w:val="left"/>
            </w:pPr>
            <w:r>
              <w:t xml:space="preserve">14</w:t>
            </w:r>
          </w:p>
        </w:tc>
        <w:tc>
          <w:tcPr/>
          <w:p>
            <w:pPr>
              <w:pStyle w:val="Compact"/>
              <w:jc w:val="left"/>
            </w:pPr>
            <w:r>
              <w:t xml:space="preserve">IEEE Transactions on Network and Service Management</w:t>
            </w:r>
          </w:p>
        </w:tc>
        <w:tc>
          <w:tcPr/>
          <w:p>
            <w:pPr>
              <w:pStyle w:val="Compact"/>
              <w:jc w:val="left"/>
            </w:pPr>
            <w:r>
              <w:t xml:space="preserve">Journal</w:t>
            </w:r>
          </w:p>
        </w:tc>
        <w:tc>
          <w:tcPr/>
          <w:p>
            <w:pPr>
              <w:pStyle w:val="Compact"/>
              <w:jc w:val="left"/>
            </w:pPr>
            <w:r>
              <w:t xml:space="preserve">S24</w:t>
            </w:r>
          </w:p>
        </w:tc>
      </w:tr>
      <w:tr>
        <w:trPr>
          <w:cantSplit/>
        </w:trPr>
        <w:tc>
          <w:tcPr/>
          <w:p>
            <w:pPr>
              <w:pStyle w:val="Compact"/>
              <w:jc w:val="left"/>
            </w:pPr>
            <w:r>
              <w:t xml:space="preserve">15</w:t>
            </w:r>
          </w:p>
        </w:tc>
        <w:tc>
          <w:tcPr/>
          <w:p>
            <w:pPr>
              <w:pStyle w:val="Compact"/>
              <w:jc w:val="left"/>
            </w:pPr>
            <w:r>
              <w:t xml:space="preserve">Electronics</w:t>
            </w:r>
          </w:p>
        </w:tc>
        <w:tc>
          <w:tcPr/>
          <w:p>
            <w:pPr>
              <w:pStyle w:val="Compact"/>
              <w:jc w:val="left"/>
            </w:pPr>
            <w:r>
              <w:t xml:space="preserve">Journal</w:t>
            </w:r>
          </w:p>
        </w:tc>
        <w:tc>
          <w:tcPr/>
          <w:p>
            <w:pPr>
              <w:pStyle w:val="Compact"/>
              <w:jc w:val="left"/>
            </w:pPr>
            <w:r>
              <w:t xml:space="preserve">S3</w:t>
            </w:r>
          </w:p>
        </w:tc>
      </w:tr>
      <w:tr>
        <w:trPr>
          <w:cantSplit/>
        </w:trPr>
        <w:tc>
          <w:tcPr/>
          <w:p>
            <w:pPr>
              <w:pStyle w:val="Compact"/>
              <w:jc w:val="left"/>
            </w:pPr>
            <w:r>
              <w:t xml:space="preserve">16</w:t>
            </w:r>
          </w:p>
        </w:tc>
        <w:tc>
          <w:tcPr/>
          <w:p>
            <w:pPr>
              <w:pStyle w:val="Compact"/>
              <w:jc w:val="left"/>
            </w:pPr>
            <w:r>
              <w:t xml:space="preserve">Systems</w:t>
            </w:r>
          </w:p>
        </w:tc>
        <w:tc>
          <w:tcPr/>
          <w:p>
            <w:pPr>
              <w:pStyle w:val="Compact"/>
              <w:jc w:val="left"/>
            </w:pPr>
            <w:r>
              <w:t xml:space="preserve">Journal</w:t>
            </w:r>
          </w:p>
        </w:tc>
        <w:tc>
          <w:tcPr/>
          <w:p>
            <w:pPr>
              <w:pStyle w:val="Compact"/>
              <w:jc w:val="left"/>
            </w:pPr>
            <w:r>
              <w:t xml:space="preserve">S13</w:t>
            </w:r>
          </w:p>
        </w:tc>
      </w:tr>
      <w:tr>
        <w:trPr>
          <w:cantSplit/>
        </w:trPr>
        <w:tc>
          <w:tcPr/>
          <w:p>
            <w:pPr>
              <w:pStyle w:val="Compact"/>
              <w:jc w:val="left"/>
            </w:pPr>
            <w:r>
              <w:t xml:space="preserve">17</w:t>
            </w:r>
          </w:p>
        </w:tc>
        <w:tc>
          <w:tcPr/>
          <w:p>
            <w:pPr>
              <w:pStyle w:val="Compact"/>
              <w:jc w:val="left"/>
            </w:pPr>
            <w:r>
              <w:t xml:space="preserve">Cryptography</w:t>
            </w:r>
          </w:p>
        </w:tc>
        <w:tc>
          <w:tcPr/>
          <w:p>
            <w:pPr>
              <w:pStyle w:val="Compact"/>
              <w:jc w:val="left"/>
            </w:pPr>
            <w:r>
              <w:t xml:space="preserve">Journal</w:t>
            </w:r>
          </w:p>
        </w:tc>
        <w:tc>
          <w:tcPr/>
          <w:p>
            <w:pPr>
              <w:pStyle w:val="Compact"/>
              <w:jc w:val="left"/>
            </w:pPr>
            <w:r>
              <w:t xml:space="preserve">S22</w:t>
            </w:r>
          </w:p>
        </w:tc>
      </w:tr>
      <w:tr>
        <w:trPr>
          <w:cantSplit/>
        </w:trPr>
        <w:tc>
          <w:tcPr/>
          <w:p>
            <w:pPr>
              <w:pStyle w:val="Compact"/>
              <w:jc w:val="left"/>
            </w:pPr>
            <w:r>
              <w:t xml:space="preserve">18</w:t>
            </w:r>
          </w:p>
        </w:tc>
        <w:tc>
          <w:tcPr/>
          <w:p>
            <w:pPr>
              <w:pStyle w:val="Compact"/>
              <w:jc w:val="left"/>
            </w:pPr>
            <w:r>
              <w:t xml:space="preserve">IoT</w:t>
            </w:r>
          </w:p>
        </w:tc>
        <w:tc>
          <w:tcPr/>
          <w:p>
            <w:pPr>
              <w:pStyle w:val="Compact"/>
              <w:jc w:val="left"/>
            </w:pPr>
            <w:r>
              <w:t xml:space="preserve">Journal</w:t>
            </w:r>
          </w:p>
        </w:tc>
        <w:tc>
          <w:tcPr/>
          <w:p>
            <w:pPr>
              <w:pStyle w:val="Compact"/>
              <w:jc w:val="left"/>
            </w:pPr>
            <w:r>
              <w:t xml:space="preserve">S17</w:t>
            </w:r>
          </w:p>
        </w:tc>
      </w:tr>
      <w:tr>
        <w:trPr>
          <w:cantSplit/>
        </w:trPr>
        <w:tc>
          <w:tcPr/>
          <w:p>
            <w:pPr>
              <w:pStyle w:val="Compact"/>
              <w:jc w:val="left"/>
            </w:pPr>
            <w:r>
              <w:t xml:space="preserve">19</w:t>
            </w:r>
          </w:p>
        </w:tc>
        <w:tc>
          <w:tcPr/>
          <w:p>
            <w:pPr>
              <w:pStyle w:val="Compact"/>
              <w:jc w:val="left"/>
            </w:pPr>
            <w:r>
              <w:t xml:space="preserve">Computer Networks and Communications</w:t>
            </w:r>
          </w:p>
        </w:tc>
        <w:tc>
          <w:tcPr/>
          <w:p>
            <w:pPr>
              <w:pStyle w:val="Compact"/>
              <w:jc w:val="left"/>
            </w:pPr>
            <w:r>
              <w:t xml:space="preserve">Journal</w:t>
            </w:r>
          </w:p>
        </w:tc>
        <w:tc>
          <w:tcPr/>
          <w:p>
            <w:pPr>
              <w:pStyle w:val="Compact"/>
              <w:jc w:val="left"/>
            </w:pPr>
            <w:r>
              <w:t xml:space="preserve">S18</w:t>
            </w:r>
          </w:p>
        </w:tc>
      </w:tr>
      <w:tr>
        <w:trPr>
          <w:cantSplit/>
        </w:trPr>
        <w:tc>
          <w:tcPr/>
          <w:p>
            <w:pPr>
              <w:pStyle w:val="Compact"/>
              <w:jc w:val="left"/>
            </w:pPr>
            <w:r>
              <w:t xml:space="preserve">20</w:t>
            </w:r>
          </w:p>
        </w:tc>
        <w:tc>
          <w:tcPr/>
          <w:p>
            <w:pPr>
              <w:pStyle w:val="Compact"/>
              <w:jc w:val="left"/>
            </w:pPr>
            <w:r>
              <w:t xml:space="preserve">BMC Nursing</w:t>
            </w:r>
          </w:p>
        </w:tc>
        <w:tc>
          <w:tcPr/>
          <w:p>
            <w:pPr>
              <w:pStyle w:val="Compact"/>
              <w:jc w:val="left"/>
            </w:pPr>
            <w:r>
              <w:t xml:space="preserve">Journal</w:t>
            </w:r>
          </w:p>
        </w:tc>
        <w:tc>
          <w:tcPr/>
          <w:p>
            <w:pPr>
              <w:pStyle w:val="Compact"/>
              <w:jc w:val="left"/>
            </w:pPr>
            <w:r>
              <w:t xml:space="preserve">S1</w:t>
            </w:r>
          </w:p>
        </w:tc>
      </w:tr>
      <w:tr>
        <w:trPr>
          <w:cantSplit/>
        </w:trPr>
        <w:tc>
          <w:tcPr/>
          <w:p>
            <w:pPr>
              <w:pStyle w:val="Compact"/>
              <w:jc w:val="left"/>
            </w:pPr>
            <w:r>
              <w:t xml:space="preserve">21</w:t>
            </w:r>
          </w:p>
        </w:tc>
        <w:tc>
          <w:tcPr/>
          <w:p>
            <w:pPr>
              <w:pStyle w:val="Compact"/>
              <w:jc w:val="left"/>
            </w:pPr>
            <w:r>
              <w:t xml:space="preserve">Journal of Digital Health</w:t>
            </w:r>
          </w:p>
        </w:tc>
        <w:tc>
          <w:tcPr/>
          <w:p>
            <w:pPr>
              <w:pStyle w:val="Compact"/>
              <w:jc w:val="left"/>
            </w:pPr>
            <w:r>
              <w:t xml:space="preserve">Journal</w:t>
            </w:r>
          </w:p>
        </w:tc>
        <w:tc>
          <w:tcPr/>
          <w:p>
            <w:pPr>
              <w:pStyle w:val="Compact"/>
              <w:jc w:val="left"/>
            </w:pPr>
            <w:r>
              <w:t xml:space="preserve">S5</w:t>
            </w:r>
          </w:p>
        </w:tc>
      </w:tr>
      <w:tr>
        <w:trPr>
          <w:cantSplit/>
        </w:trPr>
        <w:tc>
          <w:tcPr/>
          <w:p>
            <w:pPr>
              <w:pStyle w:val="Compact"/>
              <w:jc w:val="left"/>
            </w:pPr>
            <w:r>
              <w:t xml:space="preserve">22</w:t>
            </w:r>
          </w:p>
        </w:tc>
        <w:tc>
          <w:tcPr/>
          <w:p>
            <w:pPr>
              <w:pStyle w:val="Compact"/>
              <w:jc w:val="left"/>
            </w:pPr>
            <w:r>
              <w:t xml:space="preserve">JMIR Medical Informatics</w:t>
            </w:r>
          </w:p>
        </w:tc>
        <w:tc>
          <w:tcPr/>
          <w:p>
            <w:pPr>
              <w:pStyle w:val="Compact"/>
              <w:jc w:val="left"/>
            </w:pPr>
            <w:r>
              <w:t xml:space="preserve">Journal</w:t>
            </w:r>
          </w:p>
        </w:tc>
        <w:tc>
          <w:tcPr/>
          <w:p>
            <w:pPr>
              <w:pStyle w:val="Compact"/>
              <w:jc w:val="left"/>
            </w:pPr>
            <w:r>
              <w:t xml:space="preserve">S6</w:t>
            </w:r>
          </w:p>
        </w:tc>
      </w:tr>
      <w:tr>
        <w:trPr>
          <w:cantSplit/>
        </w:trPr>
        <w:tc>
          <w:tcPr/>
          <w:p>
            <w:pPr>
              <w:pStyle w:val="Compact"/>
              <w:jc w:val="left"/>
            </w:pPr>
            <w:r>
              <w:t xml:space="preserve">23</w:t>
            </w:r>
          </w:p>
        </w:tc>
        <w:tc>
          <w:tcPr/>
          <w:p>
            <w:pPr>
              <w:pStyle w:val="Compact"/>
              <w:jc w:val="left"/>
            </w:pPr>
            <w:r>
              <w:t xml:space="preserve">European Journal of Health Law</w:t>
            </w:r>
          </w:p>
        </w:tc>
        <w:tc>
          <w:tcPr/>
          <w:p>
            <w:pPr>
              <w:pStyle w:val="Compact"/>
              <w:jc w:val="left"/>
            </w:pPr>
            <w:r>
              <w:t xml:space="preserve">Journal</w:t>
            </w:r>
          </w:p>
        </w:tc>
        <w:tc>
          <w:tcPr/>
          <w:p>
            <w:pPr>
              <w:pStyle w:val="Compact"/>
              <w:jc w:val="left"/>
            </w:pPr>
            <w:r>
              <w:t xml:space="preserve">S4</w:t>
            </w:r>
          </w:p>
        </w:tc>
      </w:tr>
      <w:tr>
        <w:trPr>
          <w:cantSplit/>
        </w:trPr>
        <w:tc>
          <w:tcPr/>
          <w:p>
            <w:pPr>
              <w:pStyle w:val="Compact"/>
              <w:jc w:val="left"/>
            </w:pPr>
            <w:r>
              <w:t xml:space="preserve">24</w:t>
            </w:r>
          </w:p>
        </w:tc>
        <w:tc>
          <w:tcPr/>
          <w:p>
            <w:pPr>
              <w:pStyle w:val="Compact"/>
              <w:jc w:val="left"/>
            </w:pPr>
            <w:r>
              <w:t xml:space="preserve">Journal of Medical Internet Research</w:t>
            </w:r>
          </w:p>
        </w:tc>
        <w:tc>
          <w:tcPr/>
          <w:p>
            <w:pPr>
              <w:pStyle w:val="Compact"/>
              <w:jc w:val="left"/>
            </w:pPr>
            <w:r>
              <w:t xml:space="preserve">Journal</w:t>
            </w:r>
          </w:p>
        </w:tc>
        <w:tc>
          <w:tcPr/>
          <w:p>
            <w:pPr>
              <w:pStyle w:val="Compact"/>
              <w:jc w:val="left"/>
            </w:pPr>
            <w:r>
              <w:t xml:space="preserve">S9</w:t>
            </w:r>
          </w:p>
        </w:tc>
      </w:tr>
      <w:tr>
        <w:trPr>
          <w:cantSplit/>
        </w:trPr>
        <w:tc>
          <w:tcPr/>
          <w:p>
            <w:pPr>
              <w:pStyle w:val="Compact"/>
              <w:jc w:val="left"/>
            </w:pPr>
            <w:r>
              <w:t xml:space="preserve">25</w:t>
            </w:r>
          </w:p>
        </w:tc>
        <w:tc>
          <w:tcPr/>
          <w:p>
            <w:pPr>
              <w:pStyle w:val="Compact"/>
              <w:jc w:val="left"/>
            </w:pPr>
            <w:r>
              <w:t xml:space="preserve">npj Digital Medicine</w:t>
            </w:r>
          </w:p>
        </w:tc>
        <w:tc>
          <w:tcPr/>
          <w:p>
            <w:pPr>
              <w:pStyle w:val="Compact"/>
              <w:jc w:val="left"/>
            </w:pPr>
            <w:r>
              <w:t xml:space="preserve">Journal</w:t>
            </w:r>
          </w:p>
        </w:tc>
        <w:tc>
          <w:tcPr/>
          <w:p>
            <w:pPr>
              <w:pStyle w:val="Compact"/>
              <w:jc w:val="left"/>
            </w:pPr>
            <w:r>
              <w:t xml:space="preserve">S8</w:t>
            </w:r>
          </w:p>
        </w:tc>
      </w:tr>
      <w:tr>
        <w:trPr>
          <w:cantSplit/>
        </w:trPr>
        <w:tc>
          <w:tcPr/>
          <w:p>
            <w:pPr>
              <w:pStyle w:val="Compact"/>
              <w:jc w:val="left"/>
            </w:pPr>
            <w:r>
              <w:t xml:space="preserve">26</w:t>
            </w:r>
          </w:p>
        </w:tc>
        <w:tc>
          <w:tcPr/>
          <w:p>
            <w:pPr>
              <w:pStyle w:val="Compact"/>
              <w:jc w:val="left"/>
            </w:pPr>
            <w:r>
              <w:t xml:space="preserve">Heliyon</w:t>
            </w:r>
          </w:p>
        </w:tc>
        <w:tc>
          <w:tcPr/>
          <w:p>
            <w:pPr>
              <w:pStyle w:val="Compact"/>
              <w:jc w:val="left"/>
            </w:pPr>
            <w:r>
              <w:t xml:space="preserve">Journal</w:t>
            </w:r>
          </w:p>
        </w:tc>
        <w:tc>
          <w:tcPr/>
          <w:p>
            <w:pPr>
              <w:pStyle w:val="Compact"/>
              <w:jc w:val="left"/>
            </w:pPr>
            <w:r>
              <w:t xml:space="preserve">S31</w:t>
            </w:r>
          </w:p>
        </w:tc>
      </w:tr>
      <w:tr>
        <w:trPr>
          <w:cantSplit/>
        </w:trPr>
        <w:tc>
          <w:tcPr/>
          <w:p>
            <w:pPr>
              <w:pStyle w:val="Compact"/>
              <w:jc w:val="left"/>
            </w:pPr>
            <w:r>
              <w:t xml:space="preserve">27</w:t>
            </w:r>
          </w:p>
        </w:tc>
        <w:tc>
          <w:tcPr/>
          <w:p>
            <w:pPr>
              <w:pStyle w:val="Compact"/>
              <w:jc w:val="left"/>
            </w:pPr>
            <w:r>
              <w:t xml:space="preserve">PeerJ Computer Science</w:t>
            </w:r>
          </w:p>
        </w:tc>
        <w:tc>
          <w:tcPr/>
          <w:p>
            <w:pPr>
              <w:pStyle w:val="Compact"/>
              <w:jc w:val="left"/>
            </w:pPr>
            <w:r>
              <w:t xml:space="preserve">Journal</w:t>
            </w:r>
          </w:p>
        </w:tc>
        <w:tc>
          <w:tcPr/>
          <w:p>
            <w:pPr>
              <w:pStyle w:val="Compact"/>
              <w:jc w:val="left"/>
            </w:pPr>
            <w:r>
              <w:t xml:space="preserve">S32</w:t>
            </w:r>
          </w:p>
        </w:tc>
      </w:tr>
      <w:tr>
        <w:trPr>
          <w:cantSplit/>
        </w:trPr>
        <w:tc>
          <w:tcPr/>
          <w:p>
            <w:pPr>
              <w:pStyle w:val="Compact"/>
              <w:jc w:val="left"/>
            </w:pPr>
            <w:r>
              <w:t xml:space="preserve">28</w:t>
            </w:r>
          </w:p>
        </w:tc>
        <w:tc>
          <w:tcPr/>
          <w:p>
            <w:pPr>
              <w:pStyle w:val="Compact"/>
              <w:jc w:val="left"/>
            </w:pPr>
            <w:r>
              <w:t xml:space="preserve">Wireless Networks</w:t>
            </w:r>
          </w:p>
        </w:tc>
        <w:tc>
          <w:tcPr/>
          <w:p>
            <w:pPr>
              <w:pStyle w:val="Compact"/>
              <w:jc w:val="left"/>
            </w:pPr>
            <w:r>
              <w:t xml:space="preserve">Journal</w:t>
            </w:r>
          </w:p>
        </w:tc>
        <w:tc>
          <w:tcPr/>
          <w:p>
            <w:pPr>
              <w:pStyle w:val="Compact"/>
              <w:jc w:val="left"/>
            </w:pPr>
            <w:r>
              <w:t xml:space="preserve">S25</w:t>
            </w:r>
          </w:p>
        </w:tc>
      </w:tr>
      <w:tr>
        <w:trPr>
          <w:cantSplit/>
        </w:trPr>
        <w:tc>
          <w:tcPr/>
          <w:p>
            <w:pPr>
              <w:pStyle w:val="Compact"/>
              <w:jc w:val="left"/>
            </w:pPr>
            <w:r>
              <w:t xml:space="preserve">29</w:t>
            </w:r>
          </w:p>
        </w:tc>
        <w:tc>
          <w:tcPr/>
          <w:p>
            <w:pPr>
              <w:pStyle w:val="Compact"/>
              <w:jc w:val="left"/>
            </w:pPr>
            <w:r>
              <w:t xml:space="preserve">IFIP International Conference on Distributed Applications and Interoperable Systems (DAIS)</w:t>
            </w:r>
          </w:p>
        </w:tc>
        <w:tc>
          <w:tcPr/>
          <w:p>
            <w:pPr>
              <w:pStyle w:val="Compact"/>
              <w:jc w:val="left"/>
            </w:pPr>
            <w:r>
              <w:t xml:space="preserve">Conference</w:t>
            </w:r>
          </w:p>
        </w:tc>
        <w:tc>
          <w:tcPr/>
          <w:p>
            <w:pPr>
              <w:pStyle w:val="Compact"/>
              <w:jc w:val="left"/>
            </w:pPr>
            <w:r>
              <w:t xml:space="preserve">S33</w:t>
            </w:r>
          </w:p>
        </w:tc>
      </w:tr>
    </w:tbl>
    <w:bookmarkEnd w:id="26"/>
    <w:bookmarkStart w:id="27" w:name="X87f2157b1356acc42089dadf522cb794d6b8b71"/>
    <w:p>
      <w:pPr>
        <w:pStyle w:val="Heading3"/>
      </w:pPr>
      <w:r>
        <w:t xml:space="preserve">2.3.4 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(EHRs),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t xml:space="preserve">Consistent with exclusion criterion 6, five studies from outside the healthcare domain were retained because the mechanism they contribute transfers directly to healthcare authorisation: decentralised trust in multi-stakeholder data sharing [1], privacy-preserving authentication based on decentralised identifiers and verifiable credentials [26], decentralised identity and access control for constrained devices [17, 18], and remote attestation for trusted execution environments [22]. Studies whose subject matter lies outside healthcare data sharing, consent, identity or access control were excluded at the full-text stage as scope mismatches (Figure 2.2). The 2019 policy statement on guardian and proxy access [32] and two survey studies of stakeholder attitudes and intentions towards health-data sharing [14, 16] are cited as background in Chapter 1 but were not retained in the review set, because they fall outside the publication window or do not propose, implement or evaluate an approach (inclusion criterion 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odyText"/>
      </w:pPr>
      <w:r>
        <w:t xml:space="preserve">The stages of evaluating and selecting the relevant papers for the SLR are summarised in Table 2.2.</w:t>
      </w:r>
    </w:p>
    <w:p>
      <w:pPr>
        <w:pStyle w:val="TableCaption"/>
      </w:pPr>
      <w: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664"/>
        <w:gridCol w:w="2824"/>
        <w:gridCol w:w="2824"/>
        <w:gridCol w:w="160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Method</w:t>
            </w:r>
          </w:p>
        </w:tc>
        <w:tc>
          <w:tcPr>
            <w:tcBorders>
              <w:bottom w:val="single" w:sz="8" w:space="0" w:color="000000"/>
            </w:tcBorders>
            <w:shd w:val="clear" w:color="auto" w:fill="E7E6E6"/>
            <w:vAlign w:val="center"/>
          </w:tcPr>
          <w:p>
            <w:pPr>
              <w:pStyle w:val="Compact"/>
              <w:jc w:val="left"/>
            </w:pPr>
            <w:r>
              <w:rPr>
                <w:b/>
                <w:bCs/>
              </w:rPr>
              <w:t xml:space="preserve">Assessment criterion</w:t>
            </w:r>
          </w:p>
        </w:tc>
        <w:tc>
          <w:tcPr>
            <w:tcBorders>
              <w:bottom w:val="single" w:sz="8" w:space="0" w:color="000000"/>
            </w:tcBorders>
            <w:shd w:val="clear" w:color="auto" w:fill="E7E6E6"/>
            <w:vAlign w:val="center"/>
          </w:tcPr>
          <w:p>
            <w:pPr>
              <w:pStyle w:val="Compact"/>
              <w:jc w:val="left"/>
            </w:pPr>
            <w:r>
              <w:rPr>
                <w:b/>
                <w:bCs/>
              </w:rPr>
              <w:t xml:space="preserve">Records</w:t>
            </w:r>
          </w:p>
        </w:tc>
      </w:tr>
      <w:tr>
        <w:trPr>
          <w:cantSplit/>
        </w:trPr>
        <w:tc>
          <w:tcPr/>
          <w:p>
            <w:pPr>
              <w:pStyle w:val="Compact"/>
              <w:jc w:val="left"/>
            </w:pPr>
            <w:r>
              <w:t xml:space="preserve">1st</w:t>
            </w:r>
          </w:p>
        </w:tc>
        <w:tc>
          <w:tcPr/>
          <w:p>
            <w:pPr>
              <w:pStyle w:val="Compact"/>
              <w:jc w:val="left"/>
            </w:pPr>
            <w:r>
              <w:t xml:space="preserve">Identify the related records in the seven databases</w:t>
            </w:r>
          </w:p>
        </w:tc>
        <w:tc>
          <w:tcPr/>
          <w:p>
            <w:pPr>
              <w:pStyle w:val="Compact"/>
              <w:jc w:val="left"/>
            </w:pPr>
            <w:r>
              <w:t xml:space="preserve">Search string of Figure 2.1; publication year 2022–2026; English</w:t>
            </w:r>
          </w:p>
        </w:tc>
        <w:tc>
          <w:tcPr/>
          <w:p>
            <w:pPr>
              <w:pStyle w:val="Compact"/>
              <w:jc w:val="left"/>
            </w:pPr>
            <w:r>
              <w:t xml:space="preserve">125 identified</w:t>
            </w:r>
          </w:p>
        </w:tc>
      </w:tr>
      <w:tr>
        <w:trPr>
          <w:cantSplit/>
        </w:trPr>
        <w:tc>
          <w:tcPr/>
          <w:p>
            <w:pPr>
              <w:pStyle w:val="Compact"/>
              <w:jc w:val="left"/>
            </w:pPr>
            <w:r>
              <w:t xml:space="preserve">2nd</w:t>
            </w:r>
          </w:p>
        </w:tc>
        <w:tc>
          <w:tcPr/>
          <w:p>
            <w:pPr>
              <w:pStyle w:val="Compact"/>
              <w:jc w:val="left"/>
            </w:pPr>
            <w:r>
              <w:t xml:space="preserve">Remove duplicates and records flagged by automation tools</w:t>
            </w:r>
          </w:p>
        </w:tc>
        <w:tc>
          <w:tcPr/>
          <w:p>
            <w:pPr>
              <w:pStyle w:val="Compact"/>
              <w:jc w:val="left"/>
            </w:pPr>
            <w:r>
              <w:t xml:space="preserve">Same DOI, title and authors; automation tools mark the record ineligible</w:t>
            </w:r>
          </w:p>
        </w:tc>
        <w:tc>
          <w:tcPr/>
          <w:p>
            <w:pPr>
              <w:pStyle w:val="Compact"/>
              <w:jc w:val="left"/>
            </w:pPr>
            <w:r>
              <w:t xml:space="preserve">42 removed; 83 screened</w:t>
            </w:r>
          </w:p>
        </w:tc>
      </w:tr>
      <w:tr>
        <w:trPr>
          <w:cantSplit/>
        </w:trPr>
        <w:tc>
          <w:tcPr/>
          <w:p>
            <w:pPr>
              <w:pStyle w:val="Compact"/>
              <w:jc w:val="left"/>
            </w:pPr>
            <w:r>
              <w:t xml:space="preserve">3rd</w:t>
            </w:r>
          </w:p>
        </w:tc>
        <w:tc>
          <w:tcPr/>
          <w:p>
            <w:pPr>
              <w:pStyle w:val="Compact"/>
              <w:jc w:val="left"/>
            </w:pPr>
            <w:r>
              <w:t xml:space="preserve">Screen titles and abstracts</w:t>
            </w:r>
          </w:p>
        </w:tc>
        <w:tc>
          <w:tcPr/>
          <w:p>
            <w:pPr>
              <w:pStyle w:val="Compact"/>
              <w:jc w:val="left"/>
            </w:pPr>
            <w:r>
              <w:t xml:space="preserve">Exclude if unrelated to healthcare data sharing, consent, identity or access control</w:t>
            </w:r>
          </w:p>
        </w:tc>
        <w:tc>
          <w:tcPr/>
          <w:p>
            <w:pPr>
              <w:pStyle w:val="Compact"/>
              <w:jc w:val="left"/>
            </w:pPr>
            <w:r>
              <w:t xml:space="preserve">40 excluded; 43 sought</w:t>
            </w:r>
          </w:p>
        </w:tc>
      </w:tr>
      <w:tr>
        <w:trPr>
          <w:cantSplit/>
        </w:trPr>
        <w:tc>
          <w:tcPr/>
          <w:p>
            <w:pPr>
              <w:pStyle w:val="Compact"/>
              <w:jc w:val="left"/>
            </w:pPr>
            <w:r>
              <w:t xml:space="preserve">4th</w:t>
            </w:r>
          </w:p>
        </w:tc>
        <w:tc>
          <w:tcPr/>
          <w:p>
            <w:pPr>
              <w:pStyle w:val="Compact"/>
              <w:jc w:val="left"/>
            </w:pPr>
            <w:r>
              <w:t xml:space="preserve">Retrieve the full text</w:t>
            </w:r>
          </w:p>
        </w:tc>
        <w:tc>
          <w:tcPr/>
          <w:p>
            <w:pPr>
              <w:pStyle w:val="Compact"/>
              <w:jc w:val="left"/>
            </w:pPr>
            <w:r>
              <w:t xml:space="preserve">Exclude if the full text is inaccessible</w:t>
            </w:r>
          </w:p>
        </w:tc>
        <w:tc>
          <w:tcPr/>
          <w:p>
            <w:pPr>
              <w:pStyle w:val="Compact"/>
              <w:jc w:val="left"/>
            </w:pPr>
            <w:r>
              <w:t xml:space="preserve">3 not retrieved; 40 assessed</w:t>
            </w:r>
          </w:p>
        </w:tc>
      </w:tr>
      <w:tr>
        <w:trPr>
          <w:cantSplit/>
        </w:trPr>
        <w:tc>
          <w:tcPr/>
          <w:p>
            <w:pPr>
              <w:pStyle w:val="Compact"/>
              <w:jc w:val="left"/>
            </w:pPr>
            <w:r>
              <w:t xml:space="preserve">5th</w:t>
            </w:r>
          </w:p>
        </w:tc>
        <w:tc>
          <w:tcPr/>
          <w:p>
            <w:pPr>
              <w:pStyle w:val="Compact"/>
              <w:jc w:val="left"/>
            </w:pPr>
            <w:r>
              <w:t xml:space="preserve">Assess the full text against the inclusion and exclusion criteria and the quality criteria QA1–QA5</w:t>
            </w:r>
          </w:p>
        </w:tc>
        <w:tc>
          <w:tcPr/>
          <w:p>
            <w:pPr>
              <w:pStyle w:val="Compact"/>
              <w:jc w:val="left"/>
            </w:pPr>
            <w:r>
              <w:t xml:space="preserve">Exclude if technical or architectural detail is insufficient (score below 2.5), or if the subject matter is outside the review scope</w:t>
            </w:r>
          </w:p>
        </w:tc>
        <w:tc>
          <w:tcPr/>
          <w:p>
            <w:pPr>
              <w:pStyle w:val="Compact"/>
              <w:jc w:val="left"/>
            </w:pPr>
            <w:r>
              <w:t xml:space="preserve">7 excluded; 33 included</w:t>
            </w:r>
          </w:p>
        </w:tc>
      </w:tr>
    </w:tbl>
    <w:bookmarkEnd w:id="27"/>
    <w:bookmarkStart w:id="31" w:name="Xd7a82ff4baa7a69a0bd33db9f9a267ef3c07ad5"/>
    <w:p>
      <w:pPr>
        <w:pStyle w:val="Heading3"/>
      </w:pPr>
      <w:r>
        <w:t xml:space="preserve">2.3.5 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486400" cy="2946140"/>
            <wp:effectExtent b="0" l="0" r="0" t="0"/>
            <wp:docPr descr="Figure 2.2: PRISMA study selection summary" title="" id="29" name="Picture"/>
            <a:graphic>
              <a:graphicData uri="http://schemas.openxmlformats.org/drawingml/2006/picture">
                <pic:pic>
                  <pic:nvPicPr>
                    <pic:cNvPr descr="media_col/fig02.png" id="30" name="Picture"/>
                    <pic:cNvPicPr>
                      <a:picLocks noChangeArrowheads="1" noChangeAspect="1"/>
                    </pic:cNvPicPr>
                  </pic:nvPicPr>
                  <pic:blipFill>
                    <a:blip r:embed="rId28"/>
                    <a:stretch>
                      <a:fillRect/>
                    </a:stretch>
                  </pic:blipFill>
                  <pic:spPr bwMode="auto">
                    <a:xfrm>
                      <a:off x="0" y="0"/>
                      <a:ext cx="5486400" cy="2946140"/>
                    </a:xfrm>
                    <a:prstGeom prst="rect">
                      <a:avLst/>
                    </a:prstGeom>
                    <a:noFill/>
                    <a:ln w="9525">
                      <a:noFill/>
                      <a:headEnd/>
                      <a:tailEnd/>
                    </a:ln>
                  </pic:spPr>
                </pic:pic>
              </a:graphicData>
            </a:graphic>
          </wp:inline>
        </w:drawing>
      </w:r>
    </w:p>
    <w:p>
      <w:pPr>
        <w:pStyle w:val="ImageCaption"/>
      </w:pPr>
      <w:r>
        <w:t xml:space="preserve">Figure 2.2: PRISMA study selection summary</w:t>
      </w:r>
    </w:p>
    <w:p>
      <w:pPr>
        <w:pStyle w:val="BodyText"/>
      </w:pPr>
      <w:r>
        <w:t xml:space="preserve">Figure 2.2 presents the PRISMA flow diagram for this review, which summarises the identification, screening, eligibility, and inclusion stages of the SLR. The final number of included studies (n = 33) was derived after completing the screening, eligibility and quality assessment across the identified literature base.</w:t>
      </w:r>
    </w:p>
    <w:p>
      <w:pPr>
        <w:pStyle w:val="BodyText"/>
      </w:pPr>
      <w:r>
        <w:rPr>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 (n = 3; Figure 2.2). The 125 records identified comprised IEEE Xplore (n = 31), ACM Digital Library (n = 14), ScienceDirect (n = 23), SpringerLink (n = 18), PubMed (n = 12), Scopus (n = 17) and Web of Science (n = 10).</w:t>
      </w:r>
    </w:p>
    <w:bookmarkEnd w:id="31"/>
    <w:bookmarkStart w:id="32" w:name="X25280fe26ef60600cfdb60dc4ea4fc7d14be763"/>
    <w:p>
      <w:pPr>
        <w:pStyle w:val="Heading3"/>
      </w:pPr>
      <w:r>
        <w:t xml:space="preserve">2.3.6 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 trust healthcare data sharing and consent management. The findings were subsequently used to identify research gaps and to inform the design requirements of the proposed framework.</w:t>
      </w:r>
    </w:p>
    <w:p>
      <w:pPr>
        <w:pStyle w:val="BodyText"/>
      </w:pPr>
      <w: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33 included studies with their identifiers S1–S33, which are used throughout the remainder of the chapter. The papers in each area are summarised in the next section and their issues and limitations with respect to the key requirements of Section 2.2 are discussed.</w:t>
      </w:r>
    </w:p>
    <w:p>
      <w:pPr>
        <w:pStyle w:val="TableCaption"/>
      </w:pPr>
      <w: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642"/>
        <w:gridCol w:w="1872"/>
        <w:gridCol w:w="2729"/>
        <w:gridCol w:w="267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Author(s), year</w:t>
            </w:r>
          </w:p>
        </w:tc>
        <w:tc>
          <w:tcPr>
            <w:tcBorders>
              <w:bottom w:val="single" w:sz="8" w:space="0" w:color="000000"/>
            </w:tcBorders>
            <w:shd w:val="clear" w:color="auto" w:fill="E7E6E6"/>
            <w:vAlign w:val="center"/>
          </w:tcPr>
          <w:p>
            <w:pPr>
              <w:pStyle w:val="Compact"/>
              <w:jc w:val="left"/>
            </w:pPr>
            <w:r>
              <w:rPr>
                <w:b/>
                <w:bCs/>
              </w:rPr>
              <w:t xml:space="preserve">Topic</w:t>
            </w:r>
          </w:p>
        </w:tc>
        <w:tc>
          <w:tcPr>
            <w:tcBorders>
              <w:bottom w:val="single" w:sz="8" w:space="0" w:color="000000"/>
            </w:tcBorders>
            <w:shd w:val="clear" w:color="auto" w:fill="E7E6E6"/>
            <w:vAlign w:val="center"/>
          </w:tcPr>
          <w:p>
            <w:pPr>
              <w:pStyle w:val="Compact"/>
              <w:jc w:val="left"/>
            </w:pPr>
            <w:r>
              <w:rPr>
                <w:b/>
                <w:bCs/>
              </w:rPr>
              <w:t xml:space="preserve">Category</w:t>
            </w:r>
          </w:p>
        </w:tc>
      </w:tr>
      <w:tr>
        <w:trPr>
          <w:cantSplit/>
        </w:trPr>
        <w:tc>
          <w:tcPr/>
          <w:p>
            <w:pPr>
              <w:pStyle w:val="Compact"/>
              <w:jc w:val="left"/>
            </w:pPr>
            <w:r>
              <w:t xml:space="preserve">S1</w:t>
            </w:r>
          </w:p>
        </w:tc>
        <w:tc>
          <w:tcPr/>
          <w:p>
            <w:pPr>
              <w:pStyle w:val="Compact"/>
              <w:jc w:val="left"/>
            </w:pPr>
            <w:r>
              <w:t xml:space="preserve">Ibrahim et al., 2024 [11]</w:t>
            </w:r>
          </w:p>
        </w:tc>
        <w:tc>
          <w:tcPr/>
          <w:p>
            <w:pPr>
              <w:pStyle w:val="Compact"/>
              <w:jc w:val="left"/>
            </w:pPr>
            <w:r>
              <w:t xml:space="preserve">Balancing confidentiality and care coordination: challenges in patient privacy</w:t>
            </w:r>
          </w:p>
        </w:tc>
        <w:tc>
          <w:tcPr/>
          <w:p>
            <w:pPr>
              <w:pStyle w:val="Compact"/>
              <w:jc w:val="left"/>
            </w:pPr>
            <w:r>
              <w:t xml:space="preserve">Healthcare consent and privacy governance</w:t>
            </w:r>
          </w:p>
        </w:tc>
      </w:tr>
      <w:tr>
        <w:trPr>
          <w:cantSplit/>
        </w:trPr>
        <w:tc>
          <w:tcPr/>
          <w:p>
            <w:pPr>
              <w:pStyle w:val="Compact"/>
              <w:jc w:val="left"/>
            </w:pPr>
            <w:r>
              <w:t xml:space="preserve">S2</w:t>
            </w:r>
          </w:p>
        </w:tc>
        <w:tc>
          <w:tcPr/>
          <w:p>
            <w:pPr>
              <w:pStyle w:val="Compact"/>
              <w:jc w:val="left"/>
            </w:pPr>
            <w:r>
              <w:t xml:space="preserve">Jesus and Pandit, 2022 [12]</w:t>
            </w:r>
          </w:p>
        </w:tc>
        <w:tc>
          <w:tcPr/>
          <w:p>
            <w:pPr>
              <w:pStyle w:val="Compact"/>
              <w:jc w:val="left"/>
            </w:pPr>
            <w:r>
              <w:t xml:space="preserve">Consent receipts for a usable and auditable web of personal data</w:t>
            </w:r>
          </w:p>
        </w:tc>
        <w:tc>
          <w:tcPr/>
          <w:p>
            <w:pPr>
              <w:pStyle w:val="Compact"/>
              <w:jc w:val="left"/>
            </w:pPr>
            <w:r>
              <w:t xml:space="preserve">Healthcare consent and privacy governance</w:t>
            </w:r>
          </w:p>
        </w:tc>
      </w:tr>
      <w:tr>
        <w:trPr>
          <w:cantSplit/>
        </w:trPr>
        <w:tc>
          <w:tcPr/>
          <w:p>
            <w:pPr>
              <w:pStyle w:val="Compact"/>
              <w:jc w:val="left"/>
            </w:pPr>
            <w:r>
              <w:t xml:space="preserve">S3</w:t>
            </w:r>
          </w:p>
        </w:tc>
        <w:tc>
          <w:tcPr/>
          <w:p>
            <w:pPr>
              <w:pStyle w:val="Compact"/>
              <w:jc w:val="left"/>
            </w:pPr>
            <w:r>
              <w:t xml:space="preserve">Khalid et al., 2023 [15]</w:t>
            </w:r>
          </w:p>
        </w:tc>
        <w:tc>
          <w:tcPr/>
          <w:p>
            <w:pPr>
              <w:pStyle w:val="Compact"/>
              <w:jc w:val="left"/>
            </w:pPr>
            <w:r>
              <w:t xml:space="preserve">Privacy-first paradigm for dynamic consent management systems</w:t>
            </w:r>
          </w:p>
        </w:tc>
        <w:tc>
          <w:tcPr/>
          <w:p>
            <w:pPr>
              <w:pStyle w:val="Compact"/>
              <w:jc w:val="left"/>
            </w:pPr>
            <w:r>
              <w:t xml:space="preserve">Healthcare consent and privacy governance</w:t>
            </w:r>
          </w:p>
        </w:tc>
      </w:tr>
      <w:tr>
        <w:trPr>
          <w:cantSplit/>
        </w:trPr>
        <w:tc>
          <w:tcPr/>
          <w:p>
            <w:pPr>
              <w:pStyle w:val="Compact"/>
              <w:jc w:val="left"/>
            </w:pPr>
            <w:r>
              <w:t xml:space="preserve">S4</w:t>
            </w:r>
          </w:p>
        </w:tc>
        <w:tc>
          <w:tcPr/>
          <w:p>
            <w:pPr>
              <w:pStyle w:val="Compact"/>
              <w:jc w:val="left"/>
            </w:pPr>
            <w:r>
              <w:t xml:space="preserve">McClelland and Harper, 2022 [21]</w:t>
            </w:r>
          </w:p>
        </w:tc>
        <w:tc>
          <w:tcPr/>
          <w:p>
            <w:pPr>
              <w:pStyle w:val="Compact"/>
              <w:jc w:val="left"/>
            </w:pPr>
            <w:r>
              <w:t xml:space="preserve">Information privacy in healthcare – the vital role of informed consent</w:t>
            </w:r>
          </w:p>
        </w:tc>
        <w:tc>
          <w:tcPr/>
          <w:p>
            <w:pPr>
              <w:pStyle w:val="Compact"/>
              <w:jc w:val="left"/>
            </w:pPr>
            <w:r>
              <w:t xml:space="preserve">Healthcare consent and privacy governance</w:t>
            </w:r>
          </w:p>
        </w:tc>
      </w:tr>
      <w:tr>
        <w:trPr>
          <w:cantSplit/>
        </w:trPr>
        <w:tc>
          <w:tcPr/>
          <w:p>
            <w:pPr>
              <w:pStyle w:val="Compact"/>
              <w:jc w:val="left"/>
            </w:pPr>
            <w:r>
              <w:t xml:space="preserve">S5</w:t>
            </w:r>
          </w:p>
        </w:tc>
        <w:tc>
          <w:tcPr/>
          <w:p>
            <w:pPr>
              <w:pStyle w:val="Compact"/>
              <w:jc w:val="left"/>
            </w:pPr>
            <w:r>
              <w:t xml:space="preserve">Narkhede et al., 2025 [23]</w:t>
            </w:r>
          </w:p>
        </w:tc>
        <w:tc>
          <w:tcPr/>
          <w:p>
            <w:pPr>
              <w:pStyle w:val="Compact"/>
              <w:jc w:val="left"/>
            </w:pPr>
            <w:r>
              <w:t xml:space="preserve">Enhancing patient autonomy in data ownership: privacy models and consent frameworks</w:t>
            </w:r>
          </w:p>
        </w:tc>
        <w:tc>
          <w:tcPr/>
          <w:p>
            <w:pPr>
              <w:pStyle w:val="Compact"/>
              <w:jc w:val="left"/>
            </w:pPr>
            <w:r>
              <w:t xml:space="preserve">Healthcare consent and privacy governance</w:t>
            </w:r>
          </w:p>
        </w:tc>
      </w:tr>
      <w:tr>
        <w:trPr>
          <w:cantSplit/>
        </w:trPr>
        <w:tc>
          <w:tcPr/>
          <w:p>
            <w:pPr>
              <w:pStyle w:val="Compact"/>
              <w:jc w:val="left"/>
            </w:pPr>
            <w:r>
              <w:t xml:space="preserve">S6</w:t>
            </w:r>
          </w:p>
        </w:tc>
        <w:tc>
          <w:tcPr/>
          <w:p>
            <w:pPr>
              <w:pStyle w:val="Compact"/>
              <w:jc w:val="left"/>
            </w:pPr>
            <w:r>
              <w:t xml:space="preserve">Phuyal et al., 2026 [27]</w:t>
            </w:r>
          </w:p>
        </w:tc>
        <w:tc>
          <w:tcPr/>
          <w:p>
            <w:pPr>
              <w:pStyle w:val="Compact"/>
              <w:jc w:val="left"/>
            </w:pPr>
            <w:r>
              <w:t xml:space="preserve">Blockchain-based dynamic and revocable consent for secondary health data use: systematic review</w:t>
            </w:r>
          </w:p>
        </w:tc>
        <w:tc>
          <w:tcPr/>
          <w:p>
            <w:pPr>
              <w:pStyle w:val="Compact"/>
              <w:jc w:val="left"/>
            </w:pPr>
            <w:r>
              <w:t xml:space="preserve">Healthcare consent and privacy governance</w:t>
            </w:r>
          </w:p>
        </w:tc>
      </w:tr>
      <w:tr>
        <w:trPr>
          <w:cantSplit/>
        </w:trPr>
        <w:tc>
          <w:tcPr/>
          <w:p>
            <w:pPr>
              <w:pStyle w:val="Compact"/>
              <w:jc w:val="left"/>
            </w:pPr>
            <w:r>
              <w:t xml:space="preserve">S7</w:t>
            </w:r>
          </w:p>
        </w:tc>
        <w:tc>
          <w:tcPr/>
          <w:p>
            <w:pPr>
              <w:pStyle w:val="Compact"/>
              <w:jc w:val="left"/>
            </w:pPr>
            <w:r>
              <w:t xml:space="preserve">Román et al., 2023 [28]</w:t>
            </w:r>
          </w:p>
        </w:tc>
        <w:tc>
          <w:tcPr/>
          <w:p>
            <w:pPr>
              <w:pStyle w:val="Compact"/>
              <w:jc w:val="left"/>
            </w:pPr>
            <w:r>
              <w:t xml:space="preserve">Blockchain-based service-oriented architecture for consent management, access control, and auditing</w:t>
            </w:r>
          </w:p>
        </w:tc>
        <w:tc>
          <w:tcPr/>
          <w:p>
            <w:pPr>
              <w:pStyle w:val="Compact"/>
              <w:jc w:val="left"/>
            </w:pPr>
            <w:r>
              <w:t xml:space="preserve">Healthcare consent and privacy governance</w:t>
            </w:r>
          </w:p>
        </w:tc>
      </w:tr>
      <w:tr>
        <w:trPr>
          <w:cantSplit/>
        </w:trPr>
        <w:tc>
          <w:tcPr/>
          <w:p>
            <w:pPr>
              <w:pStyle w:val="Compact"/>
              <w:jc w:val="left"/>
            </w:pPr>
            <w:r>
              <w:t xml:space="preserve">S8</w:t>
            </w:r>
          </w:p>
        </w:tc>
        <w:tc>
          <w:tcPr/>
          <w:p>
            <w:pPr>
              <w:pStyle w:val="Compact"/>
              <w:jc w:val="left"/>
            </w:pPr>
            <w:r>
              <w:t xml:space="preserve">Welzel et al., 2025 [33]</w:t>
            </w:r>
          </w:p>
        </w:tc>
        <w:tc>
          <w:tcPr/>
          <w:p>
            <w:pPr>
              <w:pStyle w:val="Compact"/>
              <w:jc w:val="left"/>
            </w:pPr>
            <w:r>
              <w:t xml:space="preserve">Enabling secure and self-determined health data sharing and consent management</w:t>
            </w:r>
          </w:p>
        </w:tc>
        <w:tc>
          <w:tcPr/>
          <w:p>
            <w:pPr>
              <w:pStyle w:val="Compact"/>
              <w:jc w:val="left"/>
            </w:pPr>
            <w:r>
              <w:t xml:space="preserve">Healthcare consent and privacy governance</w:t>
            </w:r>
          </w:p>
        </w:tc>
      </w:tr>
      <w:tr>
        <w:trPr>
          <w:cantSplit/>
        </w:trPr>
        <w:tc>
          <w:tcPr/>
          <w:p>
            <w:pPr>
              <w:pStyle w:val="Compact"/>
              <w:jc w:val="left"/>
            </w:pPr>
            <w:r>
              <w:t xml:space="preserve">S9</w:t>
            </w:r>
          </w:p>
        </w:tc>
        <w:tc>
          <w:tcPr/>
          <w:p>
            <w:pPr>
              <w:pStyle w:val="Compact"/>
              <w:jc w:val="left"/>
            </w:pPr>
            <w:r>
              <w:t xml:space="preserve">Hagström et al., 2022 [10]</w:t>
            </w:r>
          </w:p>
        </w:tc>
        <w:tc>
          <w:tcPr/>
          <w:p>
            <w:pPr>
              <w:pStyle w:val="Compact"/>
              <w:jc w:val="left"/>
            </w:pPr>
            <w:r>
              <w:t xml:space="preserve">Web-based access to paediatric electronic health records for children, adolescents and parents: scoping review</w:t>
            </w:r>
          </w:p>
        </w:tc>
        <w:tc>
          <w:tcPr/>
          <w:p>
            <w:pPr>
              <w:pStyle w:val="Compact"/>
              <w:jc w:val="left"/>
            </w:pPr>
            <w:r>
              <w:t xml:space="preserve">Healthcare consent and privacy governance</w:t>
            </w:r>
          </w:p>
        </w:tc>
      </w:tr>
      <w:tr>
        <w:trPr>
          <w:cantSplit/>
        </w:trPr>
        <w:tc>
          <w:tcPr/>
          <w:p>
            <w:pPr>
              <w:pStyle w:val="Compact"/>
              <w:jc w:val="left"/>
            </w:pPr>
            <w:r>
              <w:t xml:space="preserve">S10</w:t>
            </w:r>
          </w:p>
        </w:tc>
        <w:tc>
          <w:tcPr/>
          <w:p>
            <w:pPr>
              <w:pStyle w:val="Compact"/>
              <w:jc w:val="left"/>
            </w:pPr>
            <w:r>
              <w:t xml:space="preserve">Al Mamun et al., 2022 [2]</w:t>
            </w:r>
          </w:p>
        </w:tc>
        <w:tc>
          <w:tcPr/>
          <w:p>
            <w:pPr>
              <w:pStyle w:val="Compact"/>
              <w:jc w:val="left"/>
            </w:pPr>
            <w:r>
              <w:t xml:space="preserve">Blockchain-based electronic health records management: a comprehensive review</w:t>
            </w:r>
          </w:p>
        </w:tc>
        <w:tc>
          <w:tcPr/>
          <w:p>
            <w:pPr>
              <w:pStyle w:val="Compact"/>
              <w:jc w:val="left"/>
            </w:pPr>
            <w:r>
              <w:t xml:space="preserve">Blockchain-based healthcare data governance</w:t>
            </w:r>
          </w:p>
        </w:tc>
      </w:tr>
      <w:tr>
        <w:trPr>
          <w:cantSplit/>
        </w:trPr>
        <w:tc>
          <w:tcPr/>
          <w:p>
            <w:pPr>
              <w:pStyle w:val="Compact"/>
              <w:jc w:val="left"/>
            </w:pPr>
            <w:r>
              <w:t xml:space="preserve">S11</w:t>
            </w:r>
          </w:p>
        </w:tc>
        <w:tc>
          <w:tcPr/>
          <w:p>
            <w:pPr>
              <w:pStyle w:val="Compact"/>
              <w:jc w:val="left"/>
            </w:pPr>
            <w:r>
              <w:t xml:space="preserve">Andrew et al., 2023 [3]</w:t>
            </w:r>
          </w:p>
        </w:tc>
        <w:tc>
          <w:tcPr/>
          <w:p>
            <w:pPr>
              <w:pStyle w:val="Compact"/>
              <w:jc w:val="left"/>
            </w:pPr>
            <w:r>
              <w:t xml:space="preserve">Blockchain for healthcare systems: architecture, security challenges, trends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S12</w:t>
            </w:r>
          </w:p>
        </w:tc>
        <w:tc>
          <w:tcPr/>
          <w:p>
            <w:pPr>
              <w:pStyle w:val="Compact"/>
              <w:jc w:val="left"/>
            </w:pPr>
            <w:r>
              <w:t xml:space="preserve">Arbabi et al., 2023 [4]</w:t>
            </w:r>
          </w:p>
        </w:tc>
        <w:tc>
          <w:tcPr/>
          <w:p>
            <w:pPr>
              <w:pStyle w:val="Compact"/>
              <w:jc w:val="left"/>
            </w:pPr>
            <w:r>
              <w:t xml:space="preserve">A survey on blockchain for healthcare: challenges, benefits,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S13</w:t>
            </w:r>
          </w:p>
        </w:tc>
        <w:tc>
          <w:tcPr/>
          <w:p>
            <w:pPr>
              <w:pStyle w:val="Compact"/>
              <w:jc w:val="left"/>
            </w:pPr>
            <w:r>
              <w:t xml:space="preserve">Ghosh et al., 2023 [9]</w:t>
            </w:r>
          </w:p>
        </w:tc>
        <w:tc>
          <w:tcPr/>
          <w:p>
            <w:pPr>
              <w:pStyle w:val="Compact"/>
              <w:jc w:val="left"/>
            </w:pPr>
            <w:r>
              <w:t xml:space="preserve">Blockchain application in healthcare systems: a review</w:t>
            </w:r>
          </w:p>
        </w:tc>
        <w:tc>
          <w:tcPr/>
          <w:p>
            <w:pPr>
              <w:pStyle w:val="Compact"/>
              <w:jc w:val="left"/>
            </w:pPr>
            <w:r>
              <w:t xml:space="preserve">Blockchain-based healthcare data governance</w:t>
            </w:r>
          </w:p>
        </w:tc>
      </w:tr>
      <w:tr>
        <w:trPr>
          <w:cantSplit/>
        </w:trPr>
        <w:tc>
          <w:tcPr/>
          <w:p>
            <w:pPr>
              <w:pStyle w:val="Compact"/>
              <w:jc w:val="left"/>
            </w:pPr>
            <w:r>
              <w:t xml:space="preserve">S14</w:t>
            </w:r>
          </w:p>
        </w:tc>
        <w:tc>
          <w:tcPr/>
          <w:p>
            <w:pPr>
              <w:pStyle w:val="Compact"/>
              <w:jc w:val="left"/>
            </w:pPr>
            <w:r>
              <w:t xml:space="preserve">Nguyen et al., 2025 [25]</w:t>
            </w:r>
          </w:p>
        </w:tc>
        <w:tc>
          <w:tcPr/>
          <w:p>
            <w:pPr>
              <w:pStyle w:val="Compact"/>
              <w:jc w:val="left"/>
            </w:pPr>
            <w:r>
              <w:t xml:space="preserve">Blockchain-empowered trustworthy data sharing: fundamentals, applications, and challenges</w:t>
            </w:r>
          </w:p>
        </w:tc>
        <w:tc>
          <w:tcPr/>
          <w:p>
            <w:pPr>
              <w:pStyle w:val="Compact"/>
              <w:jc w:val="left"/>
            </w:pPr>
            <w:r>
              <w:t xml:space="preserve">Blockchain-based healthcare data governance</w:t>
            </w:r>
          </w:p>
        </w:tc>
      </w:tr>
      <w:tr>
        <w:trPr>
          <w:cantSplit/>
        </w:trPr>
        <w:tc>
          <w:tcPr/>
          <w:p>
            <w:pPr>
              <w:pStyle w:val="Compact"/>
              <w:jc w:val="left"/>
            </w:pPr>
            <w:r>
              <w:t xml:space="preserve">S15</w:t>
            </w:r>
          </w:p>
        </w:tc>
        <w:tc>
          <w:tcPr/>
          <w:p>
            <w:pPr>
              <w:pStyle w:val="Compact"/>
              <w:jc w:val="left"/>
            </w:pPr>
            <w:r>
              <w:t xml:space="preserve">Deng et al., 2024 [6]</w:t>
            </w:r>
          </w:p>
        </w:tc>
        <w:tc>
          <w:tcPr/>
          <w:p>
            <w:pPr>
              <w:pStyle w:val="Compact"/>
              <w:jc w:val="left"/>
            </w:pPr>
            <w:r>
              <w:t xml:space="preserve">FutureDID: a fully decentralised identity system with multi-party verification</w:t>
            </w:r>
          </w:p>
        </w:tc>
        <w:tc>
          <w:tcPr/>
          <w:p>
            <w:pPr>
              <w:pStyle w:val="Compact"/>
              <w:jc w:val="left"/>
            </w:pPr>
            <w:r>
              <w:t xml:space="preserve">Decentralised identity and verifiable credentials</w:t>
            </w:r>
          </w:p>
        </w:tc>
      </w:tr>
      <w:tr>
        <w:trPr>
          <w:cantSplit/>
        </w:trPr>
        <w:tc>
          <w:tcPr/>
          <w:p>
            <w:pPr>
              <w:pStyle w:val="Compact"/>
              <w:jc w:val="left"/>
            </w:pPr>
            <w:r>
              <w:t xml:space="preserve">S16</w:t>
            </w:r>
          </w:p>
        </w:tc>
        <w:tc>
          <w:tcPr/>
          <w:p>
            <w:pPr>
              <w:pStyle w:val="Compact"/>
              <w:jc w:val="left"/>
            </w:pPr>
            <w:r>
              <w:t xml:space="preserve">Flamini et al., 2024 [7]</w:t>
            </w:r>
          </w:p>
        </w:tc>
        <w:tc>
          <w:tcPr/>
          <w:p>
            <w:pPr>
              <w:pStyle w:val="Compact"/>
              <w:jc w:val="left"/>
            </w:pPr>
            <w:r>
              <w:t xml:space="preserve">On cryptographic mechanisms for the selective disclosure of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S17</w:t>
            </w:r>
          </w:p>
        </w:tc>
        <w:tc>
          <w:tcPr/>
          <w:p>
            <w:pPr>
              <w:pStyle w:val="Compact"/>
              <w:jc w:val="left"/>
            </w:pPr>
            <w:r>
              <w:t xml:space="preserve">Khayer et al., 2025 [17]</w:t>
            </w:r>
          </w:p>
        </w:tc>
        <w:tc>
          <w:tcPr/>
          <w:p>
            <w:pPr>
              <w:pStyle w:val="Compact"/>
              <w:jc w:val="left"/>
            </w:pPr>
            <w:r>
              <w:t xml:space="preserve">Blockchain for secure IoT: identity management, access control, and trust mechanisms</w:t>
            </w:r>
          </w:p>
        </w:tc>
        <w:tc>
          <w:tcPr/>
          <w:p>
            <w:pPr>
              <w:pStyle w:val="Compact"/>
              <w:jc w:val="left"/>
            </w:pPr>
            <w:r>
              <w:t xml:space="preserve">Decentralised identity and verifiable credentials</w:t>
            </w:r>
          </w:p>
        </w:tc>
      </w:tr>
      <w:tr>
        <w:trPr>
          <w:cantSplit/>
        </w:trPr>
        <w:tc>
          <w:tcPr/>
          <w:p>
            <w:pPr>
              <w:pStyle w:val="Compact"/>
              <w:jc w:val="left"/>
            </w:pPr>
            <w:r>
              <w:t xml:space="preserve">S18</w:t>
            </w:r>
          </w:p>
        </w:tc>
        <w:tc>
          <w:tcPr/>
          <w:p>
            <w:pPr>
              <w:pStyle w:val="Compact"/>
              <w:jc w:val="left"/>
            </w:pPr>
            <w:r>
              <w:t xml:space="preserve">Kyriakidou et al., 2023 [18]</w:t>
            </w:r>
          </w:p>
        </w:tc>
        <w:tc>
          <w:tcPr/>
          <w:p>
            <w:pPr>
              <w:pStyle w:val="Compact"/>
              <w:jc w:val="left"/>
            </w:pPr>
            <w:r>
              <w:t xml:space="preserve">Decentralised identity with applications to security and privacy for the Internet of Things</w:t>
            </w:r>
          </w:p>
        </w:tc>
        <w:tc>
          <w:tcPr/>
          <w:p>
            <w:pPr>
              <w:pStyle w:val="Compact"/>
              <w:jc w:val="left"/>
            </w:pPr>
            <w:r>
              <w:t xml:space="preserve">Decentralised identity and verifiable credentials</w:t>
            </w:r>
          </w:p>
        </w:tc>
      </w:tr>
      <w:tr>
        <w:trPr>
          <w:cantSplit/>
        </w:trPr>
        <w:tc>
          <w:tcPr/>
          <w:p>
            <w:pPr>
              <w:pStyle w:val="Compact"/>
              <w:jc w:val="left"/>
            </w:pPr>
            <w:r>
              <w:t xml:space="preserve">S19</w:t>
            </w:r>
          </w:p>
        </w:tc>
        <w:tc>
          <w:tcPr/>
          <w:p>
            <w:pPr>
              <w:pStyle w:val="Compact"/>
              <w:jc w:val="left"/>
            </w:pPr>
            <w:r>
              <w:t xml:space="preserve">Mazzocca et al., 2025 [20]</w:t>
            </w:r>
          </w:p>
        </w:tc>
        <w:tc>
          <w:tcPr/>
          <w:p>
            <w:pPr>
              <w:pStyle w:val="Compact"/>
              <w:jc w:val="left"/>
            </w:pPr>
            <w:r>
              <w:t xml:space="preserve">A survey on decentralised identifiers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S20</w:t>
            </w:r>
          </w:p>
        </w:tc>
        <w:tc>
          <w:tcPr/>
          <w:p>
            <w:pPr>
              <w:pStyle w:val="Compact"/>
              <w:jc w:val="left"/>
            </w:pPr>
            <w:r>
              <w:t xml:space="preserve">Parameswarath et al., 2022 [26]</w:t>
            </w:r>
          </w:p>
        </w:tc>
        <w:tc>
          <w:tcPr/>
          <w:p>
            <w:pPr>
              <w:pStyle w:val="Compact"/>
              <w:jc w:val="left"/>
            </w:pPr>
            <w:r>
              <w:t xml:space="preserve">User-empowered privacy-preserving authentication based on decentralised identity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S21</w:t>
            </w:r>
          </w:p>
        </w:tc>
        <w:tc>
          <w:tcPr/>
          <w:p>
            <w:pPr>
              <w:pStyle w:val="Compact"/>
              <w:jc w:val="left"/>
            </w:pPr>
            <w:r>
              <w:t xml:space="preserve">Yin et al., 2025 [36]</w:t>
            </w:r>
          </w:p>
        </w:tc>
        <w:tc>
          <w:tcPr/>
          <w:p>
            <w:pPr>
              <w:pStyle w:val="Compact"/>
              <w:jc w:val="left"/>
            </w:pPr>
            <w:r>
              <w:t xml:space="preserve">DP-DID: a dynamic and proactive decentralised identity system</w:t>
            </w:r>
          </w:p>
        </w:tc>
        <w:tc>
          <w:tcPr/>
          <w:p>
            <w:pPr>
              <w:pStyle w:val="Compact"/>
              <w:jc w:val="left"/>
            </w:pPr>
            <w:r>
              <w:t xml:space="preserve">Decentralised identity and verifiable credentials</w:t>
            </w:r>
          </w:p>
        </w:tc>
      </w:tr>
      <w:tr>
        <w:trPr>
          <w:cantSplit/>
        </w:trPr>
        <w:tc>
          <w:tcPr/>
          <w:p>
            <w:pPr>
              <w:pStyle w:val="Compact"/>
              <w:jc w:val="left"/>
            </w:pPr>
            <w:r>
              <w:t xml:space="preserve">S22</w:t>
            </w:r>
          </w:p>
        </w:tc>
        <w:tc>
          <w:tcPr/>
          <w:p>
            <w:pPr>
              <w:pStyle w:val="Compact"/>
              <w:jc w:val="left"/>
            </w:pPr>
            <w:r>
              <w:t xml:space="preserve">Ghafoor Abbasi et al., 2025 [1]</w:t>
            </w:r>
          </w:p>
        </w:tc>
        <w:tc>
          <w:tcPr/>
          <w:p>
            <w:pPr>
              <w:pStyle w:val="Compact"/>
              <w:jc w:val="left"/>
            </w:pPr>
            <w:r>
              <w:t xml:space="preserve">Towards empowering stakeholders through decentralised trust and secure livestock data sharing</w:t>
            </w:r>
          </w:p>
        </w:tc>
        <w:tc>
          <w:tcPr/>
          <w:p>
            <w:pPr>
              <w:pStyle w:val="Compact"/>
              <w:jc w:val="left"/>
            </w:pPr>
            <w:r>
              <w:t xml:space="preserve">Multi-party and decentralised governance</w:t>
            </w:r>
          </w:p>
        </w:tc>
      </w:tr>
      <w:tr>
        <w:trPr>
          <w:cantSplit/>
        </w:trPr>
        <w:tc>
          <w:tcPr/>
          <w:p>
            <w:pPr>
              <w:pStyle w:val="Compact"/>
              <w:jc w:val="left"/>
            </w:pPr>
            <w:r>
              <w:t xml:space="preserve">S23</w:t>
            </w:r>
          </w:p>
        </w:tc>
        <w:tc>
          <w:tcPr/>
          <w:p>
            <w:pPr>
              <w:pStyle w:val="Compact"/>
              <w:jc w:val="left"/>
            </w:pPr>
            <w:r>
              <w:t xml:space="preserve">Lomotey et al., 2022 [19]</w:t>
            </w:r>
          </w:p>
        </w:tc>
        <w:tc>
          <w:tcPr/>
          <w:p>
            <w:pPr>
              <w:pStyle w:val="Compact"/>
              <w:jc w:val="left"/>
            </w:pPr>
            <w:r>
              <w:t xml:space="preserve">Data trusts as a service: a platform for multi-party data sharing</w:t>
            </w:r>
          </w:p>
        </w:tc>
        <w:tc>
          <w:tcPr/>
          <w:p>
            <w:pPr>
              <w:pStyle w:val="Compact"/>
              <w:jc w:val="left"/>
            </w:pPr>
            <w:r>
              <w:t xml:space="preserve">Multi-party and decentralised governance</w:t>
            </w:r>
          </w:p>
        </w:tc>
      </w:tr>
      <w:tr>
        <w:trPr>
          <w:cantSplit/>
        </w:trPr>
        <w:tc>
          <w:tcPr/>
          <w:p>
            <w:pPr>
              <w:pStyle w:val="Compact"/>
              <w:jc w:val="left"/>
            </w:pPr>
            <w:r>
              <w:t xml:space="preserve">S24</w:t>
            </w:r>
          </w:p>
        </w:tc>
        <w:tc>
          <w:tcPr/>
          <w:p>
            <w:pPr>
              <w:pStyle w:val="Compact"/>
              <w:jc w:val="left"/>
            </w:pPr>
            <w:r>
              <w:t xml:space="preserve">Garcia et al., 2022 [8]</w:t>
            </w:r>
          </w:p>
        </w:tc>
        <w:tc>
          <w:tcPr/>
          <w:p>
            <w:pPr>
              <w:pStyle w:val="Compact"/>
              <w:jc w:val="left"/>
            </w:pPr>
            <w:r>
              <w:t xml:space="preserve">Blockchain-aided and privacy-preserving data governance in multi-stakeholder applications</w:t>
            </w:r>
          </w:p>
        </w:tc>
        <w:tc>
          <w:tcPr/>
          <w:p>
            <w:pPr>
              <w:pStyle w:val="Compact"/>
              <w:jc w:val="left"/>
            </w:pPr>
            <w:r>
              <w:t xml:space="preserve">Multi-party and decentralised governance</w:t>
            </w:r>
          </w:p>
        </w:tc>
      </w:tr>
      <w:tr>
        <w:trPr>
          <w:cantSplit/>
        </w:trPr>
        <w:tc>
          <w:tcPr/>
          <w:p>
            <w:pPr>
              <w:pStyle w:val="Compact"/>
              <w:jc w:val="left"/>
            </w:pPr>
            <w:r>
              <w:t xml:space="preserve">S25</w:t>
            </w:r>
          </w:p>
        </w:tc>
        <w:tc>
          <w:tcPr/>
          <w:p>
            <w:pPr>
              <w:pStyle w:val="Compact"/>
              <w:jc w:val="left"/>
            </w:pPr>
            <w:r>
              <w:t xml:space="preserve">Tan et al., 2024 [29]</w:t>
            </w:r>
          </w:p>
        </w:tc>
        <w:tc>
          <w:tcPr/>
          <w:p>
            <w:pPr>
              <w:pStyle w:val="Compact"/>
              <w:jc w:val="left"/>
            </w:pPr>
            <w:r>
              <w:t xml:space="preserve">Secure and privacy-preserving sharing of personal health records with multi-party pre-authorisation verification</w:t>
            </w:r>
          </w:p>
        </w:tc>
        <w:tc>
          <w:tcPr/>
          <w:p>
            <w:pPr>
              <w:pStyle w:val="Compact"/>
              <w:jc w:val="left"/>
            </w:pPr>
            <w:r>
              <w:t xml:space="preserve">Multi-party and decentralised governance</w:t>
            </w:r>
          </w:p>
        </w:tc>
      </w:tr>
      <w:tr>
        <w:trPr>
          <w:cantSplit/>
        </w:trPr>
        <w:tc>
          <w:tcPr/>
          <w:p>
            <w:pPr>
              <w:pStyle w:val="Compact"/>
              <w:jc w:val="left"/>
            </w:pPr>
            <w:r>
              <w:t xml:space="preserve">S26</w:t>
            </w:r>
          </w:p>
        </w:tc>
        <w:tc>
          <w:tcPr/>
          <w:p>
            <w:pPr>
              <w:pStyle w:val="Compact"/>
              <w:jc w:val="left"/>
            </w:pPr>
            <w:r>
              <w:t xml:space="preserve">Jiang et al., 2023 [13]</w:t>
            </w:r>
          </w:p>
        </w:tc>
        <w:tc>
          <w:tcPr/>
          <w:p>
            <w:pPr>
              <w:pStyle w:val="Compact"/>
              <w:jc w:val="left"/>
            </w:pPr>
            <w:r>
              <w:t xml:space="preserve">Risk and UCON-based access control model for healthcare big data</w:t>
            </w:r>
          </w:p>
        </w:tc>
        <w:tc>
          <w:tcPr/>
          <w:p>
            <w:pPr>
              <w:pStyle w:val="Compact"/>
              <w:jc w:val="left"/>
            </w:pPr>
            <w:r>
              <w:t xml:space="preserve">Policy-based and healthcare access control</w:t>
            </w:r>
          </w:p>
        </w:tc>
      </w:tr>
      <w:tr>
        <w:trPr>
          <w:cantSplit/>
        </w:trPr>
        <w:tc>
          <w:tcPr/>
          <w:p>
            <w:pPr>
              <w:pStyle w:val="Compact"/>
              <w:jc w:val="left"/>
            </w:pPr>
            <w:r>
              <w:t xml:space="preserve">S27</w:t>
            </w:r>
          </w:p>
        </w:tc>
        <w:tc>
          <w:tcPr/>
          <w:p>
            <w:pPr>
              <w:pStyle w:val="Compact"/>
              <w:jc w:val="left"/>
            </w:pPr>
            <w:r>
              <w:t xml:space="preserve">Nazir et al., 2026 [24]</w:t>
            </w:r>
          </w:p>
        </w:tc>
        <w:tc>
          <w:tcPr/>
          <w:p>
            <w:pPr>
              <w:pStyle w:val="Compact"/>
              <w:jc w:val="left"/>
            </w:pPr>
            <w:r>
              <w:t xml:space="preserve">Access control in healthcare IoT: a comprehensive survey</w:t>
            </w:r>
          </w:p>
        </w:tc>
        <w:tc>
          <w:tcPr/>
          <w:p>
            <w:pPr>
              <w:pStyle w:val="Compact"/>
              <w:jc w:val="left"/>
            </w:pPr>
            <w:r>
              <w:t xml:space="preserve">Policy-based and healthcare access control</w:t>
            </w:r>
          </w:p>
        </w:tc>
      </w:tr>
      <w:tr>
        <w:trPr>
          <w:cantSplit/>
        </w:trPr>
        <w:tc>
          <w:tcPr/>
          <w:p>
            <w:pPr>
              <w:pStyle w:val="Compact"/>
              <w:jc w:val="left"/>
            </w:pPr>
            <w:r>
              <w:t xml:space="preserve">S28</w:t>
            </w:r>
          </w:p>
        </w:tc>
        <w:tc>
          <w:tcPr/>
          <w:p>
            <w:pPr>
              <w:pStyle w:val="Compact"/>
              <w:jc w:val="left"/>
            </w:pPr>
            <w:r>
              <w:t xml:space="preserve">Tawfik et al., 2025 [30]</w:t>
            </w:r>
          </w:p>
        </w:tc>
        <w:tc>
          <w:tcPr/>
          <w:p>
            <w:pPr>
              <w:pStyle w:val="Compact"/>
              <w:jc w:val="left"/>
            </w:pPr>
            <w:r>
              <w:t xml:space="preserve">Blockchain-based access control and privacy preservation in healthcare: a comprehensive survey</w:t>
            </w:r>
          </w:p>
        </w:tc>
        <w:tc>
          <w:tcPr/>
          <w:p>
            <w:pPr>
              <w:pStyle w:val="Compact"/>
              <w:jc w:val="left"/>
            </w:pPr>
            <w:r>
              <w:t xml:space="preserve">Policy-based and healthcare access control</w:t>
            </w:r>
          </w:p>
        </w:tc>
      </w:tr>
      <w:tr>
        <w:trPr>
          <w:cantSplit/>
        </w:trPr>
        <w:tc>
          <w:tcPr/>
          <w:p>
            <w:pPr>
              <w:pStyle w:val="Compact"/>
              <w:jc w:val="left"/>
            </w:pPr>
            <w:r>
              <w:t xml:space="preserve">S29</w:t>
            </w:r>
          </w:p>
        </w:tc>
        <w:tc>
          <w:tcPr/>
          <w:p>
            <w:pPr>
              <w:pStyle w:val="Compact"/>
              <w:jc w:val="left"/>
            </w:pPr>
            <w:r>
              <w:t xml:space="preserve">Yin et al., 2024 [35]</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Policy-based and healthcare access control</w:t>
            </w:r>
          </w:p>
        </w:tc>
      </w:tr>
      <w:tr>
        <w:trPr>
          <w:cantSplit/>
        </w:trPr>
        <w:tc>
          <w:tcPr/>
          <w:p>
            <w:pPr>
              <w:pStyle w:val="Compact"/>
              <w:jc w:val="left"/>
            </w:pPr>
            <w:r>
              <w:t xml:space="preserve">S30</w:t>
            </w:r>
          </w:p>
        </w:tc>
        <w:tc>
          <w:tcPr/>
          <w:p>
            <w:pPr>
              <w:pStyle w:val="Compact"/>
              <w:jc w:val="left"/>
            </w:pPr>
            <w:r>
              <w:t xml:space="preserve">de Oliveira et al., 2022 [5]</w:t>
            </w:r>
          </w:p>
        </w:tc>
        <w:tc>
          <w:tcPr/>
          <w:p>
            <w:pPr>
              <w:pStyle w:val="Compact"/>
              <w:jc w:val="left"/>
            </w:pPr>
            <w:r>
              <w:t xml:space="preserve">SmartAccess: attribute-based access control system for medical records based on smart contracts</w:t>
            </w:r>
          </w:p>
        </w:tc>
        <w:tc>
          <w:tcPr/>
          <w:p>
            <w:pPr>
              <w:pStyle w:val="Compact"/>
              <w:jc w:val="left"/>
            </w:pPr>
            <w:r>
              <w:t xml:space="preserve">Policy-based and healthcare access control</w:t>
            </w:r>
          </w:p>
        </w:tc>
      </w:tr>
      <w:tr>
        <w:trPr>
          <w:cantSplit/>
        </w:trPr>
        <w:tc>
          <w:tcPr/>
          <w:p>
            <w:pPr>
              <w:pStyle w:val="Compact"/>
              <w:jc w:val="left"/>
            </w:pPr>
            <w:r>
              <w:t xml:space="preserve">S31</w:t>
            </w:r>
          </w:p>
        </w:tc>
        <w:tc>
          <w:tcPr/>
          <w:p>
            <w:pPr>
              <w:pStyle w:val="Compact"/>
              <w:jc w:val="left"/>
            </w:pPr>
            <w:r>
              <w:t xml:space="preserve">Ullah et al., 2024 [31]</w:t>
            </w:r>
          </w:p>
        </w:tc>
        <w:tc>
          <w:tcPr/>
          <w:p>
            <w:pPr>
              <w:pStyle w:val="Compact"/>
              <w:jc w:val="left"/>
            </w:pPr>
            <w:r>
              <w:t xml:space="preserve">Blockchain-enabled EHR access auditing: enhancing healthcare data security</w:t>
            </w:r>
          </w:p>
        </w:tc>
        <w:tc>
          <w:tcPr/>
          <w:p>
            <w:pPr>
              <w:pStyle w:val="Compact"/>
              <w:jc w:val="left"/>
            </w:pPr>
            <w:r>
              <w:t xml:space="preserve">Policy-based and healthcare access control</w:t>
            </w:r>
          </w:p>
        </w:tc>
      </w:tr>
      <w:tr>
        <w:trPr>
          <w:cantSplit/>
        </w:trPr>
        <w:tc>
          <w:tcPr/>
          <w:p>
            <w:pPr>
              <w:pStyle w:val="Compact"/>
              <w:jc w:val="left"/>
            </w:pPr>
            <w:r>
              <w:t xml:space="preserve">S32</w:t>
            </w:r>
          </w:p>
        </w:tc>
        <w:tc>
          <w:tcPr/>
          <w:p>
            <w:pPr>
              <w:pStyle w:val="Compact"/>
              <w:jc w:val="left"/>
            </w:pPr>
            <w:r>
              <w:t xml:space="preserve">Yaqub et al., 2025 [34]</w:t>
            </w:r>
          </w:p>
        </w:tc>
        <w:tc>
          <w:tcPr/>
          <w:p>
            <w:pPr>
              <w:pStyle w:val="Compact"/>
              <w:jc w:val="left"/>
            </w:pPr>
            <w:r>
              <w:t xml:space="preserve">Blockchain-enabled policy-based access control mechanism to restrict unauthorised access to electronic health records</w:t>
            </w:r>
          </w:p>
        </w:tc>
        <w:tc>
          <w:tcPr/>
          <w:p>
            <w:pPr>
              <w:pStyle w:val="Compact"/>
              <w:jc w:val="left"/>
            </w:pPr>
            <w:r>
              <w:t xml:space="preserve">Policy-based and healthcare access control</w:t>
            </w:r>
          </w:p>
        </w:tc>
      </w:tr>
      <w:tr>
        <w:trPr>
          <w:cantSplit/>
        </w:trPr>
        <w:tc>
          <w:tcPr/>
          <w:p>
            <w:pPr>
              <w:pStyle w:val="Compact"/>
              <w:jc w:val="left"/>
            </w:pPr>
            <w:r>
              <w:t xml:space="preserve">S33</w:t>
            </w:r>
          </w:p>
        </w:tc>
        <w:tc>
          <w:tcPr/>
          <w:p>
            <w:pPr>
              <w:pStyle w:val="Compact"/>
              <w:jc w:val="left"/>
            </w:pPr>
            <w:r>
              <w:t xml:space="preserve">Ménétrey et al., 2022 [22]</w:t>
            </w:r>
          </w:p>
        </w:tc>
        <w:tc>
          <w:tcPr/>
          <w:p>
            <w:pPr>
              <w:pStyle w:val="Compact"/>
              <w:jc w:val="left"/>
            </w:pPr>
            <w:r>
              <w:t xml:space="preserve">Attestation mechanisms for trusted execution environments demystified</w:t>
            </w:r>
          </w:p>
        </w:tc>
        <w:tc>
          <w:tcPr/>
          <w:p>
            <w:pPr>
              <w:pStyle w:val="Compact"/>
              <w:jc w:val="left"/>
            </w:pPr>
            <w:r>
              <w:t xml:space="preserve">Trusted Computing and secure execution</w:t>
            </w:r>
          </w:p>
        </w:tc>
      </w:tr>
    </w:tbl>
    <w:bookmarkEnd w:id="32"/>
    <w:bookmarkEnd w:id="33"/>
    <w:bookmarkStart w:id="41" w:name="X47a7c0cd3439350f5b2bab0a0c72b8d78bf1bcb"/>
    <w:p>
      <w:pPr>
        <w:pStyle w:val="Heading2"/>
      </w:pPr>
      <w:r>
        <w:t xml:space="preserve">2.4 Summary of Papers Shortlisted in the SLR</w:t>
      </w:r>
    </w:p>
    <w:p>
      <w:pPr>
        <w:pStyle w:val="FirstParagraph"/>
      </w:pPr>
      <w: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34" w:name="X3643e3a96c176827f6f89acdc5119d36405fe44"/>
    <w:p>
      <w:pPr>
        <w:pStyle w:val="Heading3"/>
      </w:pPr>
      <w:r>
        <w:t xml:space="preserve">2.4.1 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[10, 21].</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[23]. At the same time, privacy-preserving interoperability remains difficult because healthcare systems must balance individual autonomy with the operational requirements of clinical care, coordination, and legitimate secondary data use [11].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[15]. Consent receipts and auditable consent records have also been proposed to improve transparency and accountability by providing evidence of how consent was obtained and exercised [12].</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odyText"/>
      </w:pPr>
      <w:r>
        <w:t xml:space="preserve">More recent architectures go a step further. A blockchain-backed service-oriented architecture stores consents immutably, enforces access to health data according to them and exposes audit tasks to supervisory authorities and to patients themselves [28], and a self-determined consent framework combines blockchain, self-sovereign identity and de-identified tokens so that consent and data use can be tracked across clinical, app and wearable data [33]. Both act on the consent record; neither evaluates the requester’s authority or a collective approval before the record is applied. A recent systematic review of 55 blockchain-based consent frameworks confirms that smart contracts, decentralised identifiers and verifiable credentials have become the common building blocks of programmable consent, while reporting that revocation propagation, interoperability and usability remain unresolved [27].</w:t>
      </w:r>
    </w:p>
    <w:p>
      <w:pPr>
        <w:pStyle w:val="BodyText"/>
      </w:pPr>
      <w:r>
        <w:t xml:space="preserve">Table 2.4 presents a summary of the studies that fall under the healthcare consent and privacy governance category and their coverage of the key requirements.</w:t>
      </w:r>
    </w:p>
    <w:p>
      <w:pPr>
        <w:pStyle w:val="TableCaption"/>
      </w:pPr>
      <w: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 [11]</w:t>
            </w:r>
          </w:p>
        </w:tc>
        <w:tc>
          <w:tcPr/>
          <w:p>
            <w:pPr>
              <w:pStyle w:val="Compact"/>
              <w:jc w:val="left"/>
            </w:pPr>
            <w:r>
              <w:t xml:space="preserve">Cross-sectional study of 150 nurses in a general hospital on how patient confidentiality is balanced against care coordination, measured with Health Insurance Portability and Accountability Act (HIPAA), privacy-impact and EHR security assessment tools.</w:t>
            </w:r>
          </w:p>
        </w:tc>
        <w:tc>
          <w:tcPr/>
          <w:p>
            <w:pPr>
              <w:pStyle w:val="Compact"/>
              <w:jc w:val="left"/>
            </w:pPr>
            <w:r>
              <w:t xml:space="preserve">Studies organisational practice; consent is treated as a compliance matter and no authorisation mechanism is proposed.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 [12]</w:t>
            </w:r>
          </w:p>
        </w:tc>
        <w:tc>
          <w:tcPr/>
          <w:p>
            <w:pPr>
              <w:pStyle w:val="Compact"/>
              <w:jc w:val="left"/>
            </w:pPr>
            <w: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t xml:space="preserve">A receipt proves that consent was given; it does not evaluate whether a later request satisfies identity, authority, approval or scope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 [15]</w:t>
            </w:r>
          </w:p>
        </w:tc>
        <w:tc>
          <w:tcPr/>
          <w:p>
            <w:pPr>
              <w:pStyle w:val="Compact"/>
              <w:jc w:val="left"/>
            </w:pPr>
            <w:r>
              <w:t xml:space="preserve">Privacy-first model for blockchain-based dynamic consent management in which subject data and consent are kept encrypted on-chain and the data-controller role is decentralised.</w:t>
            </w:r>
          </w:p>
        </w:tc>
        <w:tc>
          <w:tcPr/>
          <w:p>
            <w:pPr>
              <w:pStyle w:val="Compact"/>
              <w:jc w:val="left"/>
            </w:pPr>
            <w:r>
              <w:t xml:space="preserve">Consent is stored and shared securely, but a request is not evaluated against the requester’s authority or a multi-party approval threshold.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S4 [21]</w:t>
            </w:r>
          </w:p>
        </w:tc>
        <w:tc>
          <w:tcPr/>
          <w:p>
            <w:pPr>
              <w:pStyle w:val="Compact"/>
              <w:jc w:val="left"/>
            </w:pPr>
            <w:r>
              <w:t xml:space="preserve">Legal analysis of informed consent for the use and disclosure of patient information under the General Data Protection Regulation (GDPR), the common law and professional ethics.</w:t>
            </w:r>
          </w:p>
        </w:tc>
        <w:tc>
          <w:tcPr/>
          <w:p>
            <w:pPr>
              <w:pStyle w:val="Compact"/>
              <w:jc w:val="left"/>
            </w:pPr>
            <w:r>
              <w:t xml:space="preserve">Defines the legal conditions of a valid consent but not an executable authorisation object.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S5 [23]</w:t>
            </w:r>
          </w:p>
        </w:tc>
        <w:tc>
          <w:tcPr/>
          <w:p>
            <w:pPr>
              <w:pStyle w:val="Compact"/>
              <w:jc w:val="left"/>
            </w:pPr>
            <w:r>
              <w:t xml:space="preserve">Review of privacy models and consent frameworks (dynamic and granular consent, blockchain, My Health Record, Estonian e-Health) for patient data ownership.</w:t>
            </w:r>
          </w:p>
        </w:tc>
        <w:tc>
          <w:tcPr/>
          <w:p>
            <w:pPr>
              <w:pStyle w:val="Compact"/>
              <w:jc w:val="left"/>
            </w:pPr>
            <w:r>
              <w:t xml:space="preserve">Descriptive review; the consent frameworks are not connected to identity verification or scope enforcement.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S6 [27]</w:t>
            </w:r>
          </w:p>
        </w:tc>
        <w:tc>
          <w:tcPr/>
          <w:p>
            <w:pPr>
              <w:pStyle w:val="Compact"/>
              <w:jc w:val="left"/>
            </w:pPr>
            <w:r>
              <w:t xml:space="preserve">Systematic review (PRISMA, 55 studies, 2020–2025) of blockchain-based frameworks for dynamic, auditable and revocable consent for the secondary use of health data, analysed by consent lifecycle, auditability, usability and legal alignment.</w:t>
            </w:r>
          </w:p>
        </w:tc>
        <w:tc>
          <w:tcPr/>
          <w:p>
            <w:pPr>
              <w:pStyle w:val="Compact"/>
              <w:jc w:val="left"/>
            </w:pPr>
            <w:r>
              <w:t xml:space="preserve">Confirms that lifecycle automation and auditability are achievable, but reports that revocation propagation, interoperability and usability remain open; consent is evaluated as a record rather than against the requester.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S7 [28]</w:t>
            </w:r>
          </w:p>
        </w:tc>
        <w:tc>
          <w:tcPr/>
          <w:p>
            <w:pPr>
              <w:pStyle w:val="Compact"/>
              <w:jc w:val="left"/>
            </w:pPr>
            <w:r>
              <w:t xml:space="preserve">Service-oriented architecture backed by blockchain that stores subject-of-care consents immutably, enforces fine-grained access to health data according to those consents and exposes audit tasks to supervisory authorities and patients, using HL7 and access-control standards.</w:t>
            </w:r>
          </w:p>
        </w:tc>
        <w:tc>
          <w:tcPr/>
          <w:p>
            <w:pPr>
              <w:pStyle w:val="Compact"/>
              <w:jc w:val="left"/>
            </w:pPr>
            <w:r>
              <w:t xml:space="preserve">Consent is stored and executed, but the requester’s authority and any multi-party approval are outside the model; enforcement follows the record rather than an evaluated decision.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S8 [33]</w:t>
            </w:r>
          </w:p>
        </w:tc>
        <w:tc>
          <w:tcPr/>
          <w:p>
            <w:pPr>
              <w:pStyle w:val="Compact"/>
              <w:jc w:val="left"/>
            </w:pPr>
            <w:r>
              <w:t xml:space="preserve">Conceptual framework that reviews blockchain, self-sovereign identity and de-identified tokens for a consent management system able to track consent and data utilisation across clinical, app and wearable data.</w:t>
            </w:r>
          </w:p>
        </w:tc>
        <w:tc>
          <w:tcPr/>
          <w:p>
            <w:pPr>
              <w:pStyle w:val="Compact"/>
              <w:jc w:val="left"/>
            </w:pPr>
            <w:r>
              <w:t xml:space="preserve">Early-stage conceptual framework; identity and consent components are listed rather than combined into an authorisation decision.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S9 [10]</w:t>
            </w:r>
          </w:p>
        </w:tc>
        <w:tc>
          <w:tcPr/>
          <w:p>
            <w:pPr>
              <w:pStyle w:val="Compact"/>
              <w:jc w:val="left"/>
            </w:pPr>
            <w:r>
              <w:t xml:space="preserve">Scoping review (74 studies, 2007–2021) of the views, use and experiences of children, adolescents, parents and clinicians regarding web-based access to paediatric electronic health records, including parental proxy access and the age at which access changes.</w:t>
            </w:r>
          </w:p>
        </w:tc>
        <w:tc>
          <w:tcPr/>
          <w:p>
            <w:pPr>
              <w:pStyle w:val="Compact"/>
              <w:jc w:val="left"/>
            </w:pPr>
            <w:r>
              <w:t xml:space="preserve">Establishes that guardian and proxy access varies between providers and that adolescent confidentiality is the main concern, but offers no mechanism for verifying a guardian’s authority or for joint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4"/>
    <w:bookmarkStart w:id="35" w:name="X2b887499669ea90de256e63d16984e9c6f7f03a"/>
    <w:p>
      <w:pPr>
        <w:pStyle w:val="Heading3"/>
      </w:pPr>
      <w:r>
        <w:t xml:space="preserve">2.4.2 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[2, 3, 4, 9]. More generally, blockchain has been studied as an infrastructure for trustworthy data sharing and decentralised decision-making across organisational boundaries [8, 25].</w:t>
      </w:r>
    </w:p>
    <w:p>
      <w:pPr>
        <w:pStyle w:val="BodyText"/>
      </w:pPr>
      <w:r>
        <w:t xml:space="preserve">A major contribution of blockchain is its ability to preserve tamper-resistant evidence of transactions and state changes. This characteristic strengthens auditability and provides evidence that recorded information has not been modified without detection [2, 25].</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[3, 4, 9, 30].</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odyText"/>
      </w:pPr>
      <w:r>
        <w:t xml:space="preserve">Table 2.5 summarises the blockchain-based studies and their coverage of the key requirements.</w:t>
      </w:r>
    </w:p>
    <w:p>
      <w:pPr>
        <w:pStyle w:val="TableCaption"/>
      </w:pPr>
      <w: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S10 [2]</w:t>
            </w:r>
          </w:p>
        </w:tc>
        <w:tc>
          <w:tcPr/>
          <w:p>
            <w:pPr>
              <w:pStyle w:val="Compact"/>
              <w:jc w:val="left"/>
            </w:pPr>
            <w:r>
              <w:t xml:space="preserve">Systematic review of 99 blockchain-based EHR proposals analysed by privacy, security, scalability, accessibility, cost, consensus and blockchain type.</w:t>
            </w:r>
          </w:p>
        </w:tc>
        <w:tc>
          <w:tcPr/>
          <w:p>
            <w:pPr>
              <w:pStyle w:val="Compact"/>
              <w:jc w:val="left"/>
            </w:pPr>
            <w:r>
              <w:t xml:space="preserve">Blockchain is evaluated as a storage and audit substrate; participant authority and consent scope are not modelled.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S11 [3]</w:t>
            </w:r>
          </w:p>
        </w:tc>
        <w:tc>
          <w:tcPr/>
          <w:p>
            <w:pPr>
              <w:pStyle w:val="Compact"/>
              <w:jc w:val="left"/>
            </w:pPr>
            <w:r>
              <w:t xml:space="preserve">Survey of blockchain architectures for healthcare systems, their security challenges, trends and future directions.</w:t>
            </w:r>
          </w:p>
        </w:tc>
        <w:tc>
          <w:tcPr/>
          <w:p>
            <w:pPr>
              <w:pStyle w:val="Compact"/>
              <w:jc w:val="left"/>
            </w:pPr>
            <w:r>
              <w:t xml:space="preserve">Architecture-level survey; the access decision itself is left to the individual systems reviewed.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S12 [4]</w:t>
            </w:r>
          </w:p>
        </w:tc>
        <w:tc>
          <w:tcPr/>
          <w:p>
            <w:pPr>
              <w:pStyle w:val="Compact"/>
              <w:jc w:val="left"/>
            </w:pPr>
            <w:r>
              <w:t xml:space="preserve">Survey classifying more than 40 blockchain healthcare systems by entity interactions, functional components, challenges and benefits, with a discussion of GDPR and HIPAA compliance.</w:t>
            </w:r>
          </w:p>
        </w:tc>
        <w:tc>
          <w:tcPr/>
          <w:p>
            <w:pPr>
              <w:pStyle w:val="Compact"/>
              <w:jc w:val="left"/>
            </w:pPr>
            <w:r>
              <w:t xml:space="preserve">Treats consent as a regulatory requirement rather than an evaluable object; authority verification is not addressed.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S13 [9]</w:t>
            </w:r>
          </w:p>
        </w:tc>
        <w:tc>
          <w:tcPr/>
          <w:p>
            <w:pPr>
              <w:pStyle w:val="Compact"/>
              <w:jc w:val="left"/>
            </w:pPr>
            <w:r>
              <w:t xml:space="preserve">Review of 144 articles on blockchain applications in healthcare, their application areas, limitations and research directions.</w:t>
            </w:r>
          </w:p>
        </w:tc>
        <w:tc>
          <w:tcPr/>
          <w:p>
            <w:pPr>
              <w:pStyle w:val="Compact"/>
              <w:jc w:val="left"/>
            </w:pPr>
            <w:r>
              <w:t xml:space="preserve">Confirms the auditability benefit; multi-party approval and authority verification are not treated.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S14 [25]</w:t>
            </w:r>
          </w:p>
        </w:tc>
        <w:tc>
          <w:tcPr/>
          <w:p>
            <w:pPr>
              <w:pStyle w:val="Compact"/>
              <w:jc w:val="left"/>
            </w:pPr>
            <w:r>
              <w:t xml:space="preserve">Survey and reference architecture for blockchain-based data sharing covering provenance, privacy, consent management and incentives across healthcare and other sectors.</w:t>
            </w:r>
          </w:p>
        </w:tc>
        <w:tc>
          <w:tcPr/>
          <w:p>
            <w:pPr>
              <w:pStyle w:val="Compact"/>
              <w:jc w:val="left"/>
            </w:pPr>
            <w:r>
              <w:t xml:space="preserve">Consent management is named as a challenge; the architecture does not specify how a request is evaluated against identity, approval and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5"/>
    <w:bookmarkStart w:id="36" w:name="Xce8374abd25737680a0ea224e7b0673254898a7"/>
    <w:p>
      <w:pPr>
        <w:pStyle w:val="Heading3"/>
      </w:pPr>
      <w:r>
        <w:t xml:space="preserve">2.4.3 Decentralised Identity and Verifiable Credentials</w:t>
      </w:r>
    </w:p>
    <w:p>
      <w:pPr>
        <w:pStyle w:val="FirstParagraph"/>
      </w:pPr>
      <w:r>
        <w:t xml:space="preserve">Decentralised Identifiers (DIDs)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[6, 18, 20, 36].</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[6, 36]. Other studies have examined privacy-preserving authentication and selective disclosure, allowing participants to prove selected attributes without unnecessarily revealing additional information [7, 26].</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 Reviews of blockchain-based identity management for the Internet of Things (IoT) reach the same conclusion for constrained devices [17, 18].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odyText"/>
      </w:pPr>
      <w:r>
        <w:t xml:space="preserve">Table 2.6 summarises the decentralised identity studies and their coverage of the key requirements.</w:t>
      </w:r>
    </w:p>
    <w:p>
      <w:pPr>
        <w:pStyle w:val="TableCaption"/>
      </w:pPr>
      <w: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S15 [6]</w:t>
            </w:r>
          </w:p>
        </w:tc>
        <w:tc>
          <w:tcPr/>
          <w:p>
            <w:pPr>
              <w:pStyle w:val="Compact"/>
              <w:jc w:val="left"/>
            </w:pPr>
            <w:r>
              <w:t xml:space="preserve">FutureDID: a fully decentralised identity system in which identity claims are verified by multiple parties.</w:t>
            </w:r>
          </w:p>
        </w:tc>
        <w:tc>
          <w:tcPr/>
          <w:p>
            <w:pPr>
              <w:pStyle w:val="Compact"/>
              <w:jc w:val="left"/>
            </w:pPr>
            <w:r>
              <w:t xml:space="preserve">Multi-party verification applies to the identity claim, not to the authorisation of data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S16 [7]</w:t>
            </w:r>
          </w:p>
        </w:tc>
        <w:tc>
          <w:tcPr/>
          <w:p>
            <w:pPr>
              <w:pStyle w:val="Compact"/>
              <w:jc w:val="left"/>
            </w:pPr>
            <w:r>
              <w:t xml:space="preserve">Analysis of the cryptographic mechanisms available for the selective disclosure of verifiable credentials.</w:t>
            </w:r>
          </w:p>
        </w:tc>
        <w:tc>
          <w:tcPr/>
          <w:p>
            <w:pPr>
              <w:pStyle w:val="Compact"/>
              <w:jc w:val="left"/>
            </w:pPr>
            <w:r>
              <w:t xml:space="preserve">Concerns what a holder reveals, not whether the holder is authorised for a particular patient’s 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S17 [17]</w:t>
            </w:r>
          </w:p>
        </w:tc>
        <w:tc>
          <w:tcPr/>
          <w:p>
            <w:pPr>
              <w:pStyle w:val="Compact"/>
              <w:jc w:val="left"/>
            </w:pPr>
            <w:r>
              <w:t xml:space="preserve">Review of blockchain-based identity management, access control and trust mechanisms for the IoT.</w:t>
            </w:r>
          </w:p>
        </w:tc>
        <w:tc>
          <w:tcPr/>
          <w:p>
            <w:pPr>
              <w:pStyle w:val="Compact"/>
              <w:jc w:val="left"/>
            </w:pPr>
            <w:r>
              <w:t xml:space="preserve">IoT-oriented; consent and multi-party approval are outside its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S18 [18]</w:t>
            </w:r>
          </w:p>
        </w:tc>
        <w:tc>
          <w:tcPr/>
          <w:p>
            <w:pPr>
              <w:pStyle w:val="Compact"/>
              <w:jc w:val="left"/>
            </w:pPr>
            <w:r>
              <w:t xml:space="preserve">Overview of decentralised and self-sovereign identity for IoT authentication, authorisation and access control.</w:t>
            </w:r>
          </w:p>
        </w:tc>
        <w:tc>
          <w:tcPr/>
          <w:p>
            <w:pPr>
              <w:pStyle w:val="Compact"/>
              <w:jc w:val="left"/>
            </w:pPr>
            <w:r>
              <w:t xml:space="preserve">Establishes DIDs and VCs as the identity pillars; authorisation is derived from the credential alone.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S19 [20]</w:t>
            </w:r>
          </w:p>
        </w:tc>
        <w:tc>
          <w:tcPr/>
          <w:p>
            <w:pPr>
              <w:pStyle w:val="Compact"/>
              <w:jc w:val="left"/>
            </w:pPr>
            <w:r>
              <w:t xml:space="preserve">Survey of decentralised identifiers and verifiable credentials, their standards, architectures and open issues.</w:t>
            </w:r>
          </w:p>
        </w:tc>
        <w:tc>
          <w:tcPr/>
          <w:p>
            <w:pPr>
              <w:pStyle w:val="Compact"/>
              <w:jc w:val="left"/>
            </w:pPr>
            <w:r>
              <w:t xml:space="preserve">Identity and credential validity are the end point; there is no link to consent-defined authority.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S20 [26]</w:t>
            </w:r>
          </w:p>
        </w:tc>
        <w:tc>
          <w:tcPr/>
          <w:p>
            <w:pPr>
              <w:pStyle w:val="Compact"/>
              <w:jc w:val="left"/>
            </w:pPr>
            <w:r>
              <w:t xml:space="preserve">DID/VC-based privacy-preserving authentication protocol with zero-knowledge proofs for electric-vehicle charging.</w:t>
            </w:r>
          </w:p>
        </w:tc>
        <w:tc>
          <w:tcPr/>
          <w:p>
            <w:pPr>
              <w:pStyle w:val="Compact"/>
              <w:jc w:val="left"/>
            </w:pPr>
            <w:r>
              <w:t xml:space="preserve">Shows DID/VC authentication in another domain; no consent or scope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S21 [36]</w:t>
            </w:r>
          </w:p>
        </w:tc>
        <w:tc>
          <w:tcPr/>
          <w:p>
            <w:pPr>
              <w:pStyle w:val="Compact"/>
              <w:jc w:val="left"/>
            </w:pPr>
            <w:r>
              <w:t xml:space="preserve">DP-DID: a dynamic and proactive decentralised identity system that supports identity updates and revocation.</w:t>
            </w:r>
          </w:p>
        </w:tc>
        <w:tc>
          <w:tcPr/>
          <w:p>
            <w:pPr>
              <w:pStyle w:val="Compact"/>
              <w:jc w:val="left"/>
            </w:pPr>
            <w:r>
              <w:t xml:space="preserve">Lifecycle handling applies to the identity, not to the consent that authorises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6"/>
    <w:bookmarkStart w:id="37" w:name="X836fdb855249812e1f666cb0298115c8e62a77c"/>
    <w:p>
      <w:pPr>
        <w:pStyle w:val="Heading3"/>
      </w:pPr>
      <w:r>
        <w:t xml:space="preserve">2.4.4 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[10, 11].</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A decentralised trust framework for multi-stakeholder livestock data sharing shows that controlled exposure to authorised entities can be achieved without a central authority [1]. A blockchain-aided data-governance framework for multi-stakeholder applications lets the data owner manage consent and disclose data selectively while the data consumers verify its provenance, and demonstrates this on an e-prescription case involving patients, doctors and pharmacists [8]. FutureDID further demonstrates that multi-party verification can be incorporated into decentralised identity processes [6].</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odyText"/>
      </w:pPr>
      <w:r>
        <w:t xml:space="preserve">The closest existing approach to threshold-based authorisation is the multi-party pre-authorisation protocol of Tan et al. [29], in which a patient pre-delegates access authorisation to several parties using self-sovereign identity, secure multi-party computation and threshold cryptography, so that a record can be released only when a threshold of shares is combined. The threshold applies to cryptographic shares held by parties chosen in advance, however, and the resulting approval is not evaluated against the requester’s authority or the purpose and scope of the request.</w:t>
      </w:r>
    </w:p>
    <w:p>
      <w:pPr>
        <w:pStyle w:val="BodyText"/>
      </w:pPr>
      <w:r>
        <w:t xml:space="preserve">Table 2.7 summarises the multi-party governance studies and their coverage of the key requirements.</w:t>
      </w:r>
    </w:p>
    <w:p>
      <w:pPr>
        <w:pStyle w:val="TableCaption"/>
      </w:pPr>
      <w: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S22 [1]</w:t>
            </w:r>
          </w:p>
        </w:tc>
        <w:tc>
          <w:tcPr/>
          <w:p>
            <w:pPr>
              <w:pStyle w:val="Compact"/>
              <w:jc w:val="left"/>
            </w:pPr>
            <w:r>
              <w:t xml:space="preserve">FLEX framework for decentralised trust and secure data sharing among livestock supply-chain stakeholders, with STRIDE threat modelling and an open-source implementation.</w:t>
            </w:r>
          </w:p>
        </w:tc>
        <w:tc>
          <w:tcPr/>
          <w:p>
            <w:pPr>
              <w:pStyle w:val="Compact"/>
              <w:jc w:val="left"/>
            </w:pPr>
            <w:r>
              <w:t xml:space="preserve">Controlled exposure to authorised entities is supported, but approvals are not aggregated to a threshold and consent is not modelled.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S23 [19]</w:t>
            </w:r>
          </w:p>
        </w:tc>
        <w:tc>
          <w:tcPr/>
          <w:p>
            <w:pPr>
              <w:pStyle w:val="Compact"/>
              <w:jc w:val="left"/>
            </w:pPr>
            <w:r>
              <w:t xml:space="preserve">Data Trusts as a Service: a platform through which multiple parties take part in data-sharing arrangements and their governance.</w:t>
            </w:r>
          </w:p>
        </w:tc>
        <w:tc>
          <w:tcPr/>
          <w:p>
            <w:pPr>
              <w:pStyle w:val="Compact"/>
              <w:jc w:val="left"/>
            </w:pPr>
            <w:r>
              <w:t xml:space="preserve">Governance is collective, but the individual access decision is not bound to identity verification or consent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S24 [8]</w:t>
            </w:r>
          </w:p>
        </w:tc>
        <w:tc>
          <w:tcPr/>
          <w:p>
            <w:pPr>
              <w:pStyle w:val="Compact"/>
              <w:jc w:val="left"/>
            </w:pPr>
            <w:r>
              <w:t xml:space="preserve">Decentralised data-governance framework for multi-stakeholder applications that combines blockchain, proxy re-encryption and BBS signatures so that data owners can manage consent, disclose data selectively and let consumers verify provenance, evaluated on an e-prescription use case with patients, doctors and pharmacists.</w:t>
            </w:r>
          </w:p>
        </w:tc>
        <w:tc>
          <w:tcPr/>
          <w:p>
            <w:pPr>
              <w:pStyle w:val="Compact"/>
              <w:jc w:val="left"/>
            </w:pPr>
            <w:r>
              <w:t xml:space="preserve">Consent and selective disclosure are controlled by the data owner alone; the requester’s authority and any multi-party approval threshold are not evaluated before the data is released.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S25 [29]</w:t>
            </w:r>
          </w:p>
        </w:tc>
        <w:tc>
          <w:tcPr/>
          <w:p>
            <w:pPr>
              <w:pStyle w:val="Compact"/>
              <w:jc w:val="left"/>
            </w:pPr>
            <w:r>
              <w:t xml:space="preserve">Patient-centric protocol in which the patient pre-delegates authorisation for EHR access to several parties, combining self-sovereign identity with secure multi-party computation and threshold cryptography so that access requires a threshold of shares.</w:t>
            </w:r>
          </w:p>
        </w:tc>
        <w:tc>
          <w:tcPr/>
          <w:p>
            <w:pPr>
              <w:pStyle w:val="Compact"/>
              <w:jc w:val="left"/>
            </w:pPr>
            <w:r>
              <w:t xml:space="preserve">The threshold applies to cryptographic shares held by parties fixed in advance; the approval is not evaluated against the requester’s authority or the purpose and scope of the request.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7"/>
    <w:bookmarkStart w:id="38" w:name="X65ac327857ae873d38ffe426701abf3e34d1162"/>
    <w:p>
      <w:pPr>
        <w:pStyle w:val="Heading3"/>
      </w:pPr>
      <w:r>
        <w:t xml:space="preserve">2.4.5 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[35]. Risk-aware and usage-control models have further investigated how access decisions can incorporate dynamic conditions and constraints beyond traditional role-based permissions [13].</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[24, 30].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odyText"/>
      </w:pPr>
      <w:r>
        <w:t xml:space="preserve">Purpose-based access control has also been combined with blockchain audit trails so that every access is recorded together with its declared purpose [31], and policy-based access control governed by smart contracts allows the subject, controller and requester roles of the GDPR to grant, revoke and inspect access rights [34]. In both cases the purpose is checked against a policy rather than against the purpose the patient consented to. SmartAccess goes further by letting the organisations involved agree jointly on attribute-based access policies enforced by smart contracts [5]; the agreement is between organisations, however, rather than between the patient and the parties who must approve access.</w:t>
      </w:r>
    </w:p>
    <w:p>
      <w:pPr>
        <w:pStyle w:val="BodyText"/>
      </w:pPr>
      <w:r>
        <w:t xml:space="preserve">Table 2.8 summarises the access-control studies and their coverage of the key requirements.</w:t>
      </w:r>
    </w:p>
    <w:p>
      <w:pPr>
        <w:pStyle w:val="TableCaption"/>
      </w:pPr>
      <w: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S26 [13]</w:t>
            </w:r>
          </w:p>
        </w:tc>
        <w:tc>
          <w:tcPr/>
          <w:p>
            <w:pPr>
              <w:pStyle w:val="Compact"/>
              <w:jc w:val="left"/>
            </w:pPr>
            <w:r>
              <w:t xml:space="preserve">RQ-UCON: a usage-control model for healthcare big data that quantifies physician risk from visit history and adjusts access rights in real time.</w:t>
            </w:r>
          </w:p>
        </w:tc>
        <w:tc>
          <w:tcPr/>
          <w:p>
            <w:pPr>
              <w:pStyle w:val="Compact"/>
              <w:jc w:val="left"/>
            </w:pPr>
            <w:r>
              <w:t xml:space="preserve">Access is conditioned on risk and usage, not on patient consent or multi-party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S27 [24]</w:t>
            </w:r>
          </w:p>
        </w:tc>
        <w:tc>
          <w:tcPr/>
          <w:p>
            <w:pPr>
              <w:pStyle w:val="Compact"/>
              <w:jc w:val="left"/>
            </w:pPr>
            <w:r>
              <w:t xml:space="preserve">Survey of access control in healthcare IoT (RBAC, ABAC, CapBAC, CAAC), emergency access, privacy compliance and DID/VC-based authorisation.</w:t>
            </w:r>
          </w:p>
        </w:tc>
        <w:tc>
          <w:tcPr/>
          <w:p>
            <w:pPr>
              <w:pStyle w:val="Compact"/>
              <w:jc w:val="left"/>
            </w:pPr>
            <w:r>
              <w:t xml:space="preserve">Surveys the models in isolation; the integration of consent, identity and collective approval is identified as a gap, not solved.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S28 [30]</w:t>
            </w:r>
          </w:p>
        </w:tc>
        <w:tc>
          <w:tcPr/>
          <w:p>
            <w:pPr>
              <w:pStyle w:val="Compact"/>
              <w:jc w:val="left"/>
            </w:pPr>
            <w:r>
              <w:t xml:space="preserve">Survey of 45 blockchain-based access-control and privacy-preservation frameworks for EHRs, including smart-contract authentication and cryptographic techniques.</w:t>
            </w:r>
          </w:p>
        </w:tc>
        <w:tc>
          <w:tcPr/>
          <w:p>
            <w:pPr>
              <w:pStyle w:val="Compact"/>
              <w:jc w:val="left"/>
            </w:pPr>
            <w:r>
              <w:t xml:space="preserve">Smart contracts enforce rules, but the surveyed frameworks do not evaluate multi-party consent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S29 [35]</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Cryptographic enforcement of attribute policies; authority and consent approval are assumed rather than verified.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S30 [5]</w:t>
            </w:r>
          </w:p>
        </w:tc>
        <w:tc>
          <w:tcPr/>
          <w:p>
            <w:pPr>
              <w:pStyle w:val="Compact"/>
              <w:jc w:val="left"/>
            </w:pPr>
            <w:r>
              <w:t xml:space="preserve">SmartAccess: attribute-based access control for cross-organisation medical-record sharing implemented as smart contracts on a permissioned blockchain, with joint agreement over access policies, a threat model and a performance evaluation.</w:t>
            </w:r>
          </w:p>
        </w:tc>
        <w:tc>
          <w:tcPr/>
          <w:p>
            <w:pPr>
              <w:pStyle w:val="Compact"/>
              <w:jc w:val="left"/>
            </w:pPr>
            <w:r>
              <w:t xml:space="preserve">Policies are agreed jointly by organisations, not by the patient and guardians; the decision follows attributes rather than the purpose and scope of a consent.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S31 [31]</w:t>
            </w:r>
          </w:p>
        </w:tc>
        <w:tc>
          <w:tcPr/>
          <w:p>
            <w:pPr>
              <w:pStyle w:val="Compact"/>
              <w:jc w:val="left"/>
            </w:pPr>
            <w:r>
              <w:t xml:space="preserve">Blockchain-based EHR access auditing that records who accessed which record, when and for what purpose, combined with purpose-based access control enforced by smart contracts.</w:t>
            </w:r>
          </w:p>
        </w:tc>
        <w:tc>
          <w:tcPr/>
          <w:p>
            <w:pPr>
              <w:pStyle w:val="Compact"/>
              <w:jc w:val="left"/>
            </w:pPr>
            <w:r>
              <w:t xml:space="preserve">Purpose is checked against a policy, not against the purpose the patient consented to; no identity verification or collective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S32 [34]</w:t>
            </w:r>
          </w:p>
        </w:tc>
        <w:tc>
          <w:tcPr/>
          <w:p>
            <w:pPr>
              <w:pStyle w:val="Compact"/>
              <w:jc w:val="left"/>
            </w:pPr>
            <w:r>
              <w:t xml:space="preserve">Policy-based access control for EHRs governed by smart contracts, in which the subject, controller and requester roles of the GDPR can grant, revoke and inspect access rights.</w:t>
            </w:r>
          </w:p>
        </w:tc>
        <w:tc>
          <w:tcPr/>
          <w:p>
            <w:pPr>
              <w:pStyle w:val="Compact"/>
              <w:jc w:val="left"/>
            </w:pPr>
            <w:r>
              <w:t xml:space="preserve">Policies are role-based; consent is implicit in the subject’s grant and no threshold of approvals is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8"/>
    <w:bookmarkStart w:id="39" w:name="X70697d1bf80033494359f9b6207e02cd31d6057"/>
    <w:p>
      <w:pPr>
        <w:pStyle w:val="Heading3"/>
      </w:pPr>
      <w:r>
        <w:t xml:space="preserve">2.4.6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[22].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odyText"/>
      </w:pPr>
      <w:r>
        <w:t xml:space="preserve">Table 2.9 summarises the Trusted Computing study and its coverage of the key requirements.</w:t>
      </w:r>
    </w:p>
    <w:p>
      <w:pPr>
        <w:pStyle w:val="TableCaption"/>
      </w:pPr>
      <w:r>
        <w:t xml:space="preserve">Table 2.9: Descriptions, issues and limitations of the studies on Trusted Computing 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 and secure execution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S33 [22]</w:t>
            </w:r>
          </w:p>
        </w:tc>
        <w:tc>
          <w:tcPr/>
          <w:p>
            <w:pPr>
              <w:pStyle w:val="Compact"/>
              <w:jc w:val="left"/>
            </w:pPr>
            <w:r>
              <w:t xml:space="preserve">Systematic explanation of remote-attestation mechanisms for trusted execution environments.</w:t>
            </w:r>
          </w:p>
        </w:tc>
        <w:tc>
          <w:tcPr/>
          <w:p>
            <w:pPr>
              <w:pStyle w:val="Compact"/>
              <w:jc w:val="left"/>
            </w:pPr>
            <w:r>
              <w:t xml:space="preserve">Protects the execution; it says nothing about whether the authorisation policy being executed is correct.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9"/>
    <w:bookmarkStart w:id="40" w:name="X825064b2f9c6a59f6907e485e5a8e31c4a70bee"/>
    <w:p>
      <w:pPr>
        <w:pStyle w:val="Heading3"/>
      </w:pPr>
      <w:r>
        <w:t xml:space="preserve">2.4.7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2.10 summarises the principal focus and limitations of the major research streams and positions the proposed framework relative to the existing literature.</w:t>
      </w:r>
    </w:p>
    <w:p>
      <w:pPr>
        <w:pStyle w:val="TableCaption"/>
      </w:pPr>
      <w:r>
        <w:t xml:space="preserve">Table 2.10: Comparison of the existing research streams and the proposed framework</w:t>
      </w:r>
    </w:p>
    <w:tbl>
      <w:tblPr>
        <w:tblStyle w:val="Table"/>
        <w:tblW w:type="pct" w:w="5000"/>
        <w:tblLayout w:type="fixed"/>
        <w:tblLook w:firstRow="1" w:lastRow="0" w:firstColumn="0" w:lastColumn="0" w:noHBand="0" w:noVBand="0" w:val="0020"/>
        <w:tblCaption w:val="Table 2.10: Comparison of the existing research streams and the proposed framework"/>
      </w:tblPr>
      <w:tblGrid>
        <w:gridCol w:w="2117"/>
        <w:gridCol w:w="2160"/>
        <w:gridCol w:w="2160"/>
        <w:gridCol w:w="148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[10, 12, 15, 21, 23, 27, 28, 33]</w:t>
            </w:r>
          </w:p>
        </w:tc>
      </w:tr>
      <w:tr>
        <w:trPr>
          <w:cantSplit/>
        </w:trPr>
        <w:tc>
          <w:tcPr/>
          <w:p>
            <w:pPr>
              <w:pStyle w:val="Compact"/>
              <w:jc w:val="left"/>
            </w:pPr>
            <w:r>
              <w:t xml:space="preserve">Blockchain-based healthcare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t xml:space="preserve">[2, 3, 4, 9, 25]</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[6, 7, 18, 20, 26, 36]</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t xml:space="preserve">[1, 6, 8, 11, 19, 29]</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[5, 13, 24, 30, 31, 34, 35]</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t xml:space="preserve">[22]</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40"/>
    <w:bookmarkEnd w:id="41"/>
    <w:bookmarkStart w:id="42" w:name="X8f0d5a13a2d56d21e1bec7d2ebd521767d7b0f3"/>
    <w:p>
      <w:pPr>
        <w:pStyle w:val="Heading2"/>
      </w:pPr>
      <w:r>
        <w:t xml:space="preserve">2.5 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From the perspective of the five key requirements defined in Section 2.2, the shortlisted studies (Tables 2.4–2.9) show the following gaps:</w:t>
      </w:r>
    </w:p>
    <w:p>
      <w:pPr>
        <w:numPr>
          <w:ilvl w:val="0"/>
          <w:numId w:val="1004"/>
        </w:numPr>
      </w:pPr>
      <w:r>
        <w:rPr>
          <w:b/>
          <w:bCs/>
        </w:rPr>
        <w:t xml:space="preserve">Consent as an evaluable authorisation object (Req 1).</w:t>
      </w:r>
      <w:r>
        <w:t xml:space="preserve"> </w:t>
      </w:r>
      <w:r>
        <w:t xml:space="preserve">Only S2, S3, S4, S5, S6, S7, S8, S14, S24 treat consent as more than a stored permission, and even these stop at recording, encrypting, executing or legally defining consent. None of the studies represents consent as an object that carries the identity, authority, approval, purpose and scope conditions required to evaluate a later request.</w:t>
      </w:r>
    </w:p>
    <w:p>
      <w:pPr>
        <w:numPr>
          <w:ilvl w:val="0"/>
          <w:numId w:val="1004"/>
        </w:numPr>
      </w:pPr>
      <w:r>
        <w:rPr>
          <w:b/>
          <w:bCs/>
        </w:rPr>
        <w:t xml:space="preserve">Verifiable identity separated from authority (Req 2).</w:t>
      </w:r>
      <w:r>
        <w:t xml:space="preserve"> </w:t>
      </w:r>
      <w:r>
        <w:t xml:space="preserve">The decentralised identity studies (S15, S16, S17, S18, S19, S20, S21), the multi-party and access-control studies S22, S25, S27 and the paediatric record-access review S9 establish who a participant is, but in every case the credential is treated as the end of the decision. No study models the authority required by a particular consent as a condition that is verified separately from identity.</w:t>
      </w:r>
    </w:p>
    <w:p>
      <w:pPr>
        <w:numPr>
          <w:ilvl w:val="0"/>
          <w:numId w:val="1004"/>
        </w:numPr>
      </w:pPr>
      <w:r>
        <w:rPr>
          <w:b/>
          <w:bCs/>
        </w:rPr>
        <w:t xml:space="preserve">Multi-party threshold authorisation (Req 3).</w:t>
      </w:r>
      <w:r>
        <w:t xml:space="preserve"> </w:t>
      </w:r>
      <w:r>
        <w:t xml:space="preserve">Multi-party mechanisms appear in S15, S23, S25: multi-party verification of identity claims, collective governance of data trusts, collective decision-making and threshold-based pre-authorisation of record access. In none of them is a threshold of independently verified approvals attached to the patient’s consent and evaluated when access is requested.</w:t>
      </w:r>
    </w:p>
    <w:p>
      <w:pPr>
        <w:numPr>
          <w:ilvl w:val="0"/>
          <w:numId w:val="1004"/>
        </w:numPr>
      </w:pPr>
      <w:r>
        <w:rPr>
          <w:b/>
          <w:bCs/>
        </w:rPr>
        <w:t xml:space="preserve">Purpose- and scope-bound access (Req 4).</w:t>
      </w:r>
      <w:r>
        <w:t xml:space="preserve"> </w:t>
      </w:r>
      <w:r>
        <w:t xml:space="preserve">Policy-based enforcement is well covered (S7, S10, S11, S12, S13, S17, S18, S22, S23, S24, S26, S27, S28, S29, S30, S31, S32), yet the policy is evaluated against roles, attributes, purpose trees or risk rather than against the purpose and data scope stated in the patient’s consent, so a verified and approved requester can still obtain data outside the authorised scope.</w:t>
      </w:r>
    </w:p>
    <w:p>
      <w:pPr>
        <w:numPr>
          <w:ilvl w:val="0"/>
          <w:numId w:val="1004"/>
        </w:numPr>
      </w:pPr>
      <w:r>
        <w:rPr>
          <w:b/>
          <w:bCs/>
        </w:rPr>
        <w:t xml:space="preserve">Lifecycle validity and auditable evidence (Req 5).</w:t>
      </w:r>
      <w:r>
        <w:t xml:space="preserve"> </w:t>
      </w:r>
      <w:r>
        <w:t xml:space="preserve">Audit trails and revocation are provided by S2, S3, S6, S7, S8, S10, S11, S12, S13, S14, S21, S22, S24, S26, S28, S30, S31, S32, but expiry, revocation and state transitions of the consent itself are not evaluated at the time of the request, and the recorded evidence describes transactions rather than the trust conditions under which each decision was made.</w:t>
      </w:r>
    </w:p>
    <w:p>
      <w:pPr>
        <w:pStyle w:val="FirstParagraph"/>
      </w:pPr>
      <w:r>
        <w:t xml:space="preserve">These gaps are addressed in the following order by the research objectives of Chapter 4: 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42"/>
    <w:bookmarkStart w:id="43" w:name="conclusion"/>
    <w:p>
      <w:pPr>
        <w:pStyle w:val="Heading2"/>
      </w:pPr>
      <w:r>
        <w:t xml:space="preserve">2.6 Conclusion</w:t>
      </w:r>
    </w:p>
    <w:p>
      <w:pPr>
        <w:pStyle w:val="FirstParagraph"/>
      </w:pPr>
      <w: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33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odyText"/>
      </w:pPr>
      <w:r>
        <w:t xml:space="preserve">These findings motivate the research questions and objectives presented in Chapters 3 and 4 and the trust-oriented consent authorisation framework proposed in Chapters 5 and 6, in which decentralised identifiers, verifiable credentials, threshold-based approval and policy evaluation contribute to one explainable decision.</w:t>
      </w:r>
    </w:p>
    <w:bookmarkEnd w:id="43"/>
    <w:bookmarkEnd w:id="44"/>
    <w:bookmarkStart w:id="55" w:name="research-gaps-and-questions"/>
    <w:p>
      <w:pPr>
        <w:pStyle w:val="Heading1"/>
      </w:pPr>
      <w:r>
        <w:t xml:space="preserve">3 Research Gaps and Questions</w:t>
      </w:r>
    </w:p>
    <w:bookmarkStart w:id="45"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odyText"/>
      </w:pPr>
      <w:r>
        <w:t xml:space="preserve">The review defined five key requirements for a trust-oriented consent authorisation framework (Section 2.2) and assessed each of the 33 shortlisted studies against them (Tables 2.4–2.9). No study satisfies more than three of the five requirements, and none treats consent as an evaluable object (Req 1) while also providing multi-party threshold authorisation (Req 3); the gaps are stated requirement by requirement in Section 2.5.</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45"/>
    <w:bookmarkStart w:id="46"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the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46"/>
    <w:bookmarkStart w:id="53"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7"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w:t>
      </w:r>
      <w:r>
        <w:t xml:space="preserve"> </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Stage 2 extends this object to</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where</w:t>
      </w:r>
      <w:r>
        <w:t xml:space="preserve"> </w:t>
      </w:r>
      <m:oMath>
        <m:r>
          <m:t>T</m:t>
        </m:r>
      </m:oMath>
      <w:r>
        <w:t xml:space="preserve"> </w:t>
      </w:r>
      <w:r>
        <w:t xml:space="preserve">is the validity interval and</w:t>
      </w:r>
      <w:r>
        <w:t xml:space="preserve"> </w:t>
      </w:r>
      <m:oMath>
        <m:r>
          <m:t>L</m:t>
        </m:r>
      </m:oMath>
      <w:r>
        <w:t xml:space="preserve"> </w:t>
      </w:r>
      <w: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7"/>
    <w:bookmarkStart w:id="48"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identity is not authorisation (Eq. (1)). 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8"/>
    <w:bookmarkStart w:id="49"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49"/>
    <w:bookmarkStart w:id="50"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the request in Eq. (4) must be rejected because</w:t>
      </w:r>
      <w:r>
        <w:t xml:space="preserve"> </w:t>
      </w:r>
      <m:oMath>
        <m:sSub>
          <m:e>
            <m:r>
              <m:t>S</m:t>
            </m:r>
          </m:e>
          <m:sub>
            <m:r>
              <m:t>R</m:t>
            </m:r>
          </m:sub>
        </m:sSub>
        <m:r>
          <m:rPr>
            <m:sty m:val="p"/>
          </m:rPr>
          <m:t>⊈</m:t>
        </m:r>
        <m:sSub>
          <m:e>
            <m:r>
              <m:t>S</m:t>
            </m:r>
          </m:e>
          <m:sub>
            <m:r>
              <m:t>C</m:t>
            </m:r>
          </m:sub>
        </m:sSub>
      </m:oMath>
      <w:r>
        <w:t xml:space="preserve"> </w:t>
      </w:r>
      <w:r>
        <w:t xml:space="preserve">(Eq. (5)).</w:t>
      </w:r>
    </w:p>
    <w:p>
      <w:pPr>
        <w:pStyle w:val="BodyText"/>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50"/>
    <w:bookmarkStart w:id="51"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t xml:space="preserve">,</w:t>
      </w:r>
      <w:r>
        <w:t xml:space="preserve"> </w:t>
      </w:r>
      <w:r>
        <w:rPr>
          <w:i/>
          <w:iCs/>
        </w:rPr>
        <w:t xml:space="preserve">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12</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13</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14</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15</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51"/>
    <w:bookmarkStart w:id="52"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16</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17</m:t>
          </m:r>
          <m:r>
            <m:rPr>
              <m:sty m:val="p"/>
            </m:rPr>
            <m:t>)</m:t>
          </m:r>
        </m:oMath>
      </m:oMathPara>
    </w:p>
    <w:p>
      <w:pPr>
        <w:pStyle w:val="FirstParagraph"/>
      </w:pPr>
      <w:r>
        <w:t xml:space="preserve">authorisation integrity,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18</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19</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20</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21</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[41]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22</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23</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52"/>
    <w:bookmarkEnd w:id="53"/>
    <w:bookmarkStart w:id="54"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24</m:t>
          </m:r>
          <m:r>
            <m:rPr>
              <m:sty m:val="p"/>
            </m:rPr>
            <m:t>)</m:t>
          </m:r>
        </m:oMath>
      </m:oMathPara>
    </w:p>
    <w:p>
      <w:pPr>
        <w:pStyle w:val="FirstParagraph"/>
      </w:pPr>
      <w:r>
        <w:t xml:space="preserve">In Eq. (24),</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as stated by Eq. (18).</w:t>
      </w:r>
    </w:p>
    <w:p>
      <w:pPr>
        <w:pStyle w:val="BodyText"/>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consent representation, which directly fosters participant trust. This trust then translates into a framework for collective authorisation, providing the necessary foundation for policy enforcement. Consequently, this enables dynamic temporal and lifecycle control over data and processes, culminating in security assurance and validation.</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54"/>
    <w:bookmarkEnd w:id="55"/>
    <w:bookmarkStart w:id="63"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the current stage, while the final two objectives extend and evaluate these mechanisms as part of the next research programme.</w:t>
      </w:r>
    </w:p>
    <w:bookmarkStart w:id="56"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SRQ1 and establishes the conceptual foundation for the remaining objectives. In particular, it defines the information that must be represented before consent can be interpreted as an authorisation decision rather than merely as a static approval record.</w:t>
      </w:r>
    </w:p>
    <w:bookmarkEnd w:id="56"/>
    <w:bookmarkStart w:id="57"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SRQ2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7"/>
    <w:bookmarkStart w:id="58"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SRQ3 and extends the consent model from an individual permission statement to a collective authorisation decision.</w:t>
      </w:r>
    </w:p>
    <w:bookmarkEnd w:id="58"/>
    <w:bookmarkStart w:id="59"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SRQ4 and completes the foundational authorisation model investigated during the current stage. Together, RO1–RO4 establish the representation, verification, collective authorisation, and policy-enforcement mechanisms required for a trust-oriented healthcare data-sharing decision.</w:t>
      </w:r>
    </w:p>
    <w:bookmarkEnd w:id="59"/>
    <w:bookmarkStart w:id="60"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SRQ5 and extends the foundational current stage authorisation model into a dynamic consent environment. Whereas the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next-stage research programme. It will investigate how temporal and lifecycle conditions can be incorporated into the authorisation decision without weakening the trust relationships established by the current stage mechanisms.</w:t>
      </w:r>
    </w:p>
    <w:bookmarkEnd w:id="60"/>
    <w:bookmarkStart w:id="61"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SRQ6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the next-stage work.</w:t>
      </w:r>
    </w:p>
    <w:bookmarkEnd w:id="61"/>
    <w:bookmarkStart w:id="62"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4.1 and Table 4.2. The mapping follows the structure of the research programme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odyText"/>
      </w:pPr>
      <w:r>
        <w:t xml:space="preserve">Each objective also responds to one of the key requirements identified in the literature review: RO1 to Req 1, RO2 to Req 2, RO3 to Req 3, RO4 to Req 4, and RO5 to Req 5 (Section 2.2), while RO6 provides the formal and empirical assurance that the requirements are met (Section 2.5).</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The current stage establishes the foundational mechanisms and their conceptual relationships, whereas the next stage investigates whether these mechanisms remain reliable under dynamic lifecycle conditions and whether their security and practical effectiveness can be formally and empirically demonstrated.</w:t>
      </w:r>
    </w:p>
    <w:p>
      <w:pPr>
        <w:pStyle w:val="TableCaption"/>
      </w:pPr>
      <w:r>
        <w:t xml:space="preserve">Table 4.1: Research Questions, Research Objectives, and Thesis Chapters for Current Stage</w:t>
      </w:r>
    </w:p>
    <w:tbl>
      <w:tblPr>
        <w:tblStyle w:val="Table"/>
        <w:tblW w:type="pct" w:w="5000"/>
        <w:tblLayout w:type="fixed"/>
        <w:tblLook w:firstRow="1" w:lastRow="0" w:firstColumn="0" w:lastColumn="0" w:noHBand="0" w:noVBand="0" w:val="0020"/>
        <w:tblCaption w:val="Table 4.1: Research Questions, Research Objectives, and Thesis Chapters for Current Stage"/>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4.2: Research Questions, Research Objectives, and Thesis Chapters (continued: SRQ4 current stage; SRQ5–SRQ6 CA3)</w:t>
      </w:r>
    </w:p>
    <w:tbl>
      <w:tblPr>
        <w:tblStyle w:val="Table"/>
        <w:tblW w:type="pct" w:w="5000"/>
        <w:tblLayout w:type="fixed"/>
        <w:tblLook w:firstRow="1" w:lastRow="0" w:firstColumn="0" w:lastColumn="0" w:noHBand="0" w:noVBand="0" w:val="0020"/>
        <w:tblCaption w:val="Table 4.2: Research Questions, Research Objectives, and Thesis Chapters (continued: SRQ4 current stage; SRQ5–SRQ6 CA3)"/>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 the authorisation decision is given by Eq. (6).</w:t>
      </w:r>
    </w:p>
    <w:p>
      <w:pPr>
        <w:pStyle w:val="BodyText"/>
      </w:pPr>
      <w:r>
        <w:t xml:space="preserve">In Eq. (6),</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 as given by Eq. (24).</w:t>
      </w:r>
    </w:p>
    <w:p>
      <w:pPr>
        <w:pStyle w:val="BodyText"/>
      </w:pPr>
      <w:r>
        <w:t xml:space="preserve">In Eq. (24),</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next-stage research on dynamic trust, formal assurance, and comprehensive validation.</w:t>
      </w:r>
    </w:p>
    <w:bookmarkEnd w:id="62"/>
    <w:bookmarkEnd w:id="63"/>
    <w:bookmarkStart w:id="91"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 interact with it</w:t>
      </w:r>
      <w:r>
        <w:t xml:space="preserve">, and</w:t>
      </w:r>
      <w:r>
        <w:t xml:space="preserve"> </w:t>
      </w:r>
      <w:r>
        <w:rPr>
          <w:i/>
          <w:iCs/>
        </w:rPr>
        <w:t xml:space="preserve">how trust is enforced</w:t>
      </w:r>
      <w:r>
        <w:t xml:space="preserve">.</w:t>
      </w:r>
    </w:p>
    <w:bookmarkStart w:id="77"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 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5.1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486400" cy="5618799"/>
            <wp:effectExtent b="0" l="0" r="0" t="0"/>
            <wp:docPr descr="Figure 5.1: Layered MVC Architecture and Component Decomposition of the HALAH Framework" title="" id="65" name="Picture"/>
            <a:graphic>
              <a:graphicData uri="http://schemas.openxmlformats.org/drawingml/2006/picture">
                <pic:pic>
                  <pic:nvPicPr>
                    <pic:cNvPr descr="media_col/fig03.png" id="66" name="Picture"/>
                    <pic:cNvPicPr>
                      <a:picLocks noChangeArrowheads="1" noChangeAspect="1"/>
                    </pic:cNvPicPr>
                  </pic:nvPicPr>
                  <pic:blipFill>
                    <a:blip r:embed="rId64"/>
                    <a:stretch>
                      <a:fillRect/>
                    </a:stretch>
                  </pic:blipFill>
                  <pic:spPr bwMode="auto">
                    <a:xfrm>
                      <a:off x="0" y="0"/>
                      <a:ext cx="5486400" cy="5618799"/>
                    </a:xfrm>
                    <a:prstGeom prst="rect">
                      <a:avLst/>
                    </a:prstGeom>
                    <a:noFill/>
                    <a:ln w="9525">
                      <a:noFill/>
                      <a:headEnd/>
                      <a:tailEnd/>
                    </a:ln>
                  </pic:spPr>
                </pic:pic>
              </a:graphicData>
            </a:graphic>
          </wp:inline>
        </w:drawing>
      </w:r>
    </w:p>
    <w:p>
      <w:pPr>
        <w:pStyle w:val="ImageCaption"/>
      </w:pPr>
      <w:r>
        <w:t xml:space="preserve">Figure 5.1: Layered MVC Architecture and Component Decomposition of the HALAH Framework</w:t>
      </w:r>
    </w:p>
    <w:bookmarkStart w:id="70"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CaptionedFigure"/>
      </w:pPr>
      <w:r>
        <w:drawing>
          <wp:inline>
            <wp:extent cx="5486400" cy="3008970"/>
            <wp:effectExtent b="0" l="0" r="0" t="0"/>
            <wp:docPr descr="Figure 5.2: Functional Decomposition of the MVC Components" title="" id="68" name="Picture"/>
            <a:graphic>
              <a:graphicData uri="http://schemas.openxmlformats.org/drawingml/2006/picture">
                <pic:pic>
                  <pic:nvPicPr>
                    <pic:cNvPr descr="media_col/fig04.png" id="69" name="Picture"/>
                    <pic:cNvPicPr>
                      <a:picLocks noChangeArrowheads="1" noChangeAspect="1"/>
                    </pic:cNvPicPr>
                  </pic:nvPicPr>
                  <pic:blipFill>
                    <a:blip r:embed="rId67"/>
                    <a:stretch>
                      <a:fillRect/>
                    </a:stretch>
                  </pic:blipFill>
                  <pic:spPr bwMode="auto">
                    <a:xfrm>
                      <a:off x="0" y="0"/>
                      <a:ext cx="5486400" cy="3008970"/>
                    </a:xfrm>
                    <a:prstGeom prst="rect">
                      <a:avLst/>
                    </a:prstGeom>
                    <a:noFill/>
                    <a:ln w="9525">
                      <a:noFill/>
                      <a:headEnd/>
                      <a:tailEnd/>
                    </a:ln>
                  </pic:spPr>
                </pic:pic>
              </a:graphicData>
            </a:graphic>
          </wp:inline>
        </w:drawing>
      </w:r>
    </w:p>
    <w:p>
      <w:pPr>
        <w:pStyle w:val="ImageCaption"/>
      </w:pPr>
      <w:r>
        <w:t xml:space="preserve">Figure 5.2: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 Engine</w:t>
      </w:r>
      <w:r>
        <w:t xml:space="preserve"> </w:t>
      </w:r>
      <w:r>
        <w:t xml:space="preserve">combines the resulting predicates into the final authorisation decision. Finally,</w:t>
      </w:r>
      <w:r>
        <w:t xml:space="preserve"> </w:t>
      </w:r>
      <w:r>
        <w:rPr>
          <w:i/>
          <w:iCs/>
        </w:rPr>
        <w:t xml:space="preserve">Audit 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70"/>
    <w:bookmarkStart w:id="74"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trust predicates introduced by SRQ1–SRQ5 and the resulting authorisation decision are illustrated in Figure 5.3.</w:t>
      </w:r>
    </w:p>
    <w:p>
      <w:pPr>
        <w:pStyle w:val="BodyText"/>
      </w:pPr>
      <w:r>
        <w:t xml:space="preserve">Figure 5.3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is therefore given by Eq. (24).</w:t>
      </w:r>
    </w:p>
    <w:p>
      <w:pPr>
        <w:pStyle w:val="BodyText"/>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 DENY (Eq. (18)).</w:t>
      </w:r>
    </w:p>
    <w:p>
      <w:pPr>
        <w:pStyle w:val="CaptionedFigure"/>
      </w:pPr>
      <w:r>
        <w:drawing>
          <wp:inline>
            <wp:extent cx="3419856" cy="7671897"/>
            <wp:effectExtent b="0" l="0" r="0" t="0"/>
            <wp:docPr descr="Figure 5.3: Trust Predicate Evaluation and Authorisation Decision Flow" title="" id="72" name="Picture"/>
            <a:graphic>
              <a:graphicData uri="http://schemas.openxmlformats.org/drawingml/2006/picture">
                <pic:pic>
                  <pic:nvPicPr>
                    <pic:cNvPr descr="media_col/fig05.png" id="73" name="Picture"/>
                    <pic:cNvPicPr>
                      <a:picLocks noChangeArrowheads="1" noChangeAspect="1"/>
                    </pic:cNvPicPr>
                  </pic:nvPicPr>
                  <pic:blipFill>
                    <a:blip r:embed="rId71"/>
                    <a:stretch>
                      <a:fillRect/>
                    </a:stretch>
                  </pic:blipFill>
                  <pic:spPr bwMode="auto">
                    <a:xfrm>
                      <a:off x="0" y="0"/>
                      <a:ext cx="3419856" cy="7671897"/>
                    </a:xfrm>
                    <a:prstGeom prst="rect">
                      <a:avLst/>
                    </a:prstGeom>
                    <a:noFill/>
                    <a:ln w="9525">
                      <a:noFill/>
                      <a:headEnd/>
                      <a:tailEnd/>
                    </a:ln>
                  </pic:spPr>
                </pic:pic>
              </a:graphicData>
            </a:graphic>
          </wp:inline>
        </w:drawing>
      </w:r>
    </w:p>
    <w:p>
      <w:pPr>
        <w:pStyle w:val="ImageCaption"/>
      </w:pPr>
      <w:r>
        <w:t xml:space="preserve">Figure 5.3: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74"/>
    <w:bookmarkStart w:id="75"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follows:</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75"/>
    <w:bookmarkStart w:id="76"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76"/>
    <w:bookmarkEnd w:id="77"/>
    <w:bookmarkStart w:id="81" w:name="X558a2b42e7f558743af400a9676e37558071ee0"/>
    <w:p>
      <w:pPr>
        <w:pStyle w:val="Heading2"/>
      </w:pPr>
      <w:r>
        <w:t xml:space="preserve">5.2 Trust-Oriented Consent Authorisation Workflow</w:t>
      </w:r>
    </w:p>
    <w:p>
      <w:pPr>
        <w:pStyle w:val="FirstParagraph"/>
      </w:pPr>
      <w:r>
        <w:t xml:space="preserve">Figure 5.4 presents the end-to-end workflow of the proposed trust-oriented patient consent authorisation framework. The workflow operationalises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authorisation, and policy compliance. Accordingly, the proposed workflow transforms a patient’s consent from a static permission record into an evaluable authorisation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authorisation conditions. This step establishes what the patient intends to authorise and provides the policy context against which subsequent access requests can be evaluated. Therefore, consent is not represented merely as an approval flag, but as a structured object containing the information required for subsequent authorisation decisions.</w:t>
      </w:r>
    </w:p>
    <w:p>
      <w:pPr>
        <w:pStyle w:val="BodyText"/>
      </w:pPr>
      <w:r>
        <w:t xml:space="preserve">The next stage performs decentralised identity and authority verification using Decentralised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authorisation.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authorised participant.</w:t>
      </w:r>
    </w:p>
    <w:p>
      <w:pPr>
        <w:pStyle w:val="BodyText"/>
      </w:pPr>
      <w:r>
        <w:t xml:space="preserve">After identity and authority verification, the framework identifies the participants required to establish the consent decision. The authorisation requirement may involve multiple independent participants, such as a patient together with one or more guardians or other authorised parties. The framework then collects their independent approvals and evaluates whether the predefined authorisation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authorisation threshold. Multi-party authorisation is satisfied when</w:t>
      </w:r>
      <w:r>
        <w:t xml:space="preserve"> </w:t>
      </w:r>
      <m:oMath>
        <m:d>
          <m:dPr>
            <m:begChr m:val="|"/>
            <m:sepChr m:val=""/>
            <m:endChr m:val="|"/>
            <m:grow/>
          </m:dPr>
          <m:e>
            <m:sSub>
              <m:e>
                <m:r>
                  <m:t>A</m:t>
                </m:r>
              </m:e>
              <m:sub>
                <m:r>
                  <m:t>v</m:t>
                </m:r>
              </m:sub>
            </m:sSub>
          </m:e>
        </m:d>
        <m:r>
          <m:rPr>
            <m:sty m:val="p"/>
          </m:rPr>
          <m:t>≥</m:t>
        </m:r>
        <m:r>
          <m:t>N</m:t>
        </m:r>
      </m:oMath>
      <w:r>
        <w:t xml:space="preserve"> </w:t>
      </w:r>
      <w:r>
        <w:t xml:space="preserve">(Eq. (9)).</w:t>
      </w:r>
    </w:p>
    <w:p>
      <w:pPr>
        <w:pStyle w:val="CaptionedFigure"/>
      </w:pPr>
      <w:r>
        <w:drawing>
          <wp:inline>
            <wp:extent cx="5486400" cy="5326747"/>
            <wp:effectExtent b="0" l="0" r="0" t="0"/>
            <wp:docPr descr="Figure 5.4: End-to-End Workflow of Trust-Oriented Consent Authorisation Framework" title="" id="79" name="Picture"/>
            <a:graphic>
              <a:graphicData uri="http://schemas.openxmlformats.org/drawingml/2006/picture">
                <pic:pic>
                  <pic:nvPicPr>
                    <pic:cNvPr descr="media_col/fig06.png" id="80" name="Picture"/>
                    <pic:cNvPicPr>
                      <a:picLocks noChangeArrowheads="1" noChangeAspect="1"/>
                    </pic:cNvPicPr>
                  </pic:nvPicPr>
                  <pic:blipFill>
                    <a:blip r:embed="rId78"/>
                    <a:stretch>
                      <a:fillRect/>
                    </a:stretch>
                  </pic:blipFill>
                  <pic:spPr bwMode="auto">
                    <a:xfrm>
                      <a:off x="0" y="0"/>
                      <a:ext cx="5486400" cy="5326747"/>
                    </a:xfrm>
                    <a:prstGeom prst="rect">
                      <a:avLst/>
                    </a:prstGeom>
                    <a:noFill/>
                    <a:ln w="9525">
                      <a:noFill/>
                      <a:headEnd/>
                      <a:tailEnd/>
                    </a:ln>
                  </pic:spPr>
                </pic:pic>
              </a:graphicData>
            </a:graphic>
          </wp:inline>
        </w:drawing>
      </w:r>
    </w:p>
    <w:p>
      <w:pPr>
        <w:pStyle w:val="ImageCaption"/>
      </w:pPr>
      <w:r>
        <w:t xml:space="preserve">Figure 5.4: End-to-End Workflow of Trust-Oriented Consent Authorisation Framework</w:t>
      </w:r>
    </w:p>
    <w:p>
      <w:pPr>
        <w:pStyle w:val="BodyText"/>
      </w:pPr>
      <w:r>
        <w:t xml:space="preserve">If the required threshold is not satisfied, the authorisation process terminates with a denial decision. This prevents a single participant from unilaterally establishing authorisation when the consent policy requires collective approval.</w:t>
      </w:r>
    </w:p>
    <w:p>
      <w:pPr>
        <w:pStyle w:val="BodyText"/>
      </w:pPr>
      <w:r>
        <w:t xml:space="preserve">When the authorisation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the request in Eq. (4) must not be authorised.</w:t>
      </w:r>
    </w:p>
    <w:p>
      <w:pPr>
        <w:pStyle w:val="BodyText"/>
      </w:pP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authorisation decision is therefore determined by the conjunction of identity and authority verification, multi-party authorisation, and policy compliance. For the current stage scope of the proposed framework, the decision is given by Eq. (6).</w:t>
      </w:r>
    </w:p>
    <w:p>
      <w:pPr>
        <w:pStyle w:val="BodyText"/>
      </w:pPr>
      <w:r>
        <w:t xml:space="preserve">In Eq. (6),</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authorisation evidence in the audit layer. Importantly, both successful and denied decisions should be recorded because a trustworthy authorisation framework requires accountability not only for data that were released but also for access attempts that were rejected. The audit evidence can therefore provide a traceable record of the authorisation decision, including the relevant consent, participants, policy evaluation, decision outcome, and associated evidence. In this manner, the workflow connects consent specification with identity trust, collective authorisation, policy enforcement, and accountability, providing the operational foundation of the proposed trust-oriented authorisation framework.</w:t>
      </w:r>
    </w:p>
    <w:bookmarkEnd w:id="81"/>
    <w:bookmarkStart w:id="82"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stage scope, the core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In Eq. (7),</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is then given by Eq. (9).</w:t>
      </w:r>
    </w:p>
    <w:p>
      <w:pPr>
        <w:pStyle w:val="BodyText"/>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25</m:t>
          </m:r>
          <m:r>
            <m:rPr>
              <m:sty m:val="p"/>
            </m:rPr>
            <m:t>)</m:t>
          </m:r>
        </m:oMath>
      </m:oMathPara>
    </w:p>
    <w:p>
      <w:pPr>
        <w:pStyle w:val="FirstParagraph"/>
      </w:pPr>
      <w:r>
        <w:t xml:space="preserve">If the requested data exceed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stage implementation, the Model focuses on the foundational dimensions of identity, authority, multi-party approval, policy constraints, and authorisation evidence. The next-stage research will extend this representation to include temporal validity, expiration, revocation, lifecycle transitions, and formal security properties.</w:t>
      </w:r>
    </w:p>
    <w:bookmarkEnd w:id="82"/>
    <w:bookmarkStart w:id="83"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 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83"/>
    <w:bookmarkStart w:id="84"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 Identity verification is given by Eq. (8).</w:t>
      </w:r>
    </w:p>
    <w:p>
      <w:pPr>
        <w:pStyle w:val="BodyText"/>
      </w:pPr>
      <w:r>
        <w:t xml:space="preserve">In Eq. (8),</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 identity is not authorisation (Eq. (1)).</w:t>
      </w:r>
    </w:p>
    <w:p>
      <w:pPr>
        <w:pStyle w:val="BodyText"/>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verified approval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is given by Eq. (11).</w:t>
      </w:r>
    </w:p>
    <w:p>
      <w:pPr>
        <w:pStyle w:val="BodyText"/>
      </w:pPr>
      <w:r>
        <w:t xml:space="preserve">The overall current stage authorisation decision is therefore determined by the conjunction of the foundational trust conditions in Eq. (6).</w:t>
      </w:r>
    </w:p>
    <w:p>
      <w:pPr>
        <w:pStyle w:val="BodyText"/>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84"/>
    <w:bookmarkStart w:id="85"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26</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27</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decision-making. Trust is not assumed to reside in a single privileged entity. Instead, it emerges from the coordinated satisfaction of independently verifiable requirements across multiple participants.</w:t>
      </w:r>
    </w:p>
    <w:bookmarkEnd w:id="85"/>
    <w:bookmarkStart w:id="86"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 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For example, if a healthcare professional requests the scope in Eq. (4), the request exceeds the consented scope (Eq. (5)) and the Controller must return DENY.</w:t>
      </w:r>
    </w:p>
    <w:p>
      <w:pPr>
        <w:pStyle w:val="BodyText"/>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86"/>
    <w:bookmarkStart w:id="87"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28</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87"/>
    <w:bookmarkStart w:id="88"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multi-party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authorisation evidence</w:t>
      </w:r>
      <w:r>
        <w:t xml:space="preserve">. The system maintains evidence concerning the conditions that produced an authorisation decision, thereby supporting auditing and subsequent verification. These properties can be summarised as shown in Table 5.1.</w:t>
      </w:r>
    </w:p>
    <w:p>
      <w:pPr>
        <w:pStyle w:val="TableCaption"/>
      </w:pPr>
      <w:r>
        <w:t xml:space="preserve">Table 5.1: Security Properties Supported by the Proposed MVC-Based Consent Architecture</w:t>
      </w:r>
    </w:p>
    <w:tbl>
      <w:tblPr>
        <w:tblStyle w:val="Table"/>
        <w:tblW w:type="pct" w:w="5000"/>
        <w:tblLayout w:type="fixed"/>
        <w:tblLook w:firstRow="1" w:lastRow="0" w:firstColumn="0" w:lastColumn="0" w:noHBand="0" w:noVBand="0" w:val="0020"/>
        <w:tblCaption w:val="Table 5.1: Security Properties Supported by the Proposed MVC-Based Consent Architecture"/>
      </w:tblPr>
      <w:tblGrid>
        <w:gridCol w:w="2310"/>
        <w:gridCol w:w="2805"/>
        <w:gridCol w:w="280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bookmarkEnd w:id="88"/>
    <w:bookmarkStart w:id="89"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This mapping is summarised in Table 5.2, which also lists the next-stage objectives RO5 and RO6 for completeness.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TableCaption"/>
      </w:pPr>
      <w:r>
        <w:t xml:space="preserve">Table 5.2: Mapping Between Research Objectives and MVC Components</w:t>
      </w:r>
    </w:p>
    <w:tbl>
      <w:tblPr>
        <w:tblStyle w:val="Table"/>
        <w:tblW w:type="pct" w:w="5000"/>
        <w:tblLayout w:type="fixed"/>
        <w:tblLook w:firstRow="1" w:lastRow="0" w:firstColumn="0" w:lastColumn="0" w:noHBand="0" w:noVBand="0" w:val="0020"/>
        <w:tblCaption w:val="Table 5.2: Mapping Between Research Objectives and MVC Components"/>
      </w:tblPr>
      <w:tblGrid>
        <w:gridCol w:w="1190"/>
        <w:gridCol w:w="1449"/>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bookmarkEnd w:id="89"/>
    <w:bookmarkStart w:id="90"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SRQ1–SRQ4. The implemented HALAH prototype provides the practical environment in which these mechanisms can be instantiated and evaluated through representative healthcare data-sharing scenarios.</w:t>
      </w:r>
    </w:p>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the next stage 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90"/>
    <w:bookmarkEnd w:id="91"/>
    <w:bookmarkStart w:id="135" w:name="proposed-solution"/>
    <w:p>
      <w:pPr>
        <w:pStyle w:val="Heading1"/>
      </w:pPr>
      <w:r>
        <w:t xml:space="preserve">6 Proposed Solution</w:t>
      </w:r>
    </w:p>
    <w:bookmarkStart w:id="98" w:name="trust-centric-consent-model-for-ro1"/>
    <w:p>
      <w:pPr>
        <w:pStyle w:val="Heading2"/>
      </w:pPr>
      <w:r>
        <w:t xml:space="preserve">6.1 Trust-Centric Consent Model for RO1</w:t>
      </w:r>
    </w:p>
    <w:p>
      <w:pPr>
        <w:pStyle w:val="FirstParagraph"/>
      </w:pPr>
      <w:r>
        <w:t xml:space="preserve">RO1 addresses SRQ1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In Eq. (7),</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95" w:name="ro1-consent-creation-workflow"/>
    <w:p>
      <w:pPr>
        <w:pStyle w:val="Heading3"/>
      </w:pPr>
      <w:r>
        <w:t xml:space="preserve">6.1.1 RO1 Consent Creation Workflow</w:t>
      </w:r>
    </w:p>
    <w:p>
      <w:pPr>
        <w:pStyle w:val="FirstParagraph"/>
      </w:pPr>
      <w:r>
        <w:t xml:space="preserve">The following workflow (Figure 6.1)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This interface is shown in Figure 7.1 (Section 7.2). The implementation also collects the start and expiry time of the consent.</w:t>
      </w:r>
    </w:p>
    <w:p>
      <w:pPr>
        <w:pStyle w:val="CaptionedFigure"/>
      </w:pPr>
      <w:r>
        <w:drawing>
          <wp:inline>
            <wp:extent cx="3374136" cy="7681329"/>
            <wp:effectExtent b="0" l="0" r="0" t="0"/>
            <wp:docPr descr="Figure 6.1: RO1 workflow for trust-centric consent creation" title="" id="93" name="Picture"/>
            <a:graphic>
              <a:graphicData uri="http://schemas.openxmlformats.org/drawingml/2006/picture">
                <pic:pic>
                  <pic:nvPicPr>
                    <pic:cNvPr descr="media_col/fig07.png" id="94" name="Picture"/>
                    <pic:cNvPicPr>
                      <a:picLocks noChangeArrowheads="1" noChangeAspect="1"/>
                    </pic:cNvPicPr>
                  </pic:nvPicPr>
                  <pic:blipFill>
                    <a:blip r:embed="rId92"/>
                    <a:stretch>
                      <a:fillRect/>
                    </a:stretch>
                  </pic:blipFill>
                  <pic:spPr bwMode="auto">
                    <a:xfrm>
                      <a:off x="0" y="0"/>
                      <a:ext cx="3374136" cy="7681329"/>
                    </a:xfrm>
                    <a:prstGeom prst="rect">
                      <a:avLst/>
                    </a:prstGeom>
                    <a:noFill/>
                    <a:ln w="9525">
                      <a:noFill/>
                      <a:headEnd/>
                      <a:tailEnd/>
                    </a:ln>
                  </pic:spPr>
                </pic:pic>
              </a:graphicData>
            </a:graphic>
          </wp:inline>
        </w:drawing>
      </w:r>
    </w:p>
    <w:p>
      <w:pPr>
        <w:pStyle w:val="ImageCaption"/>
      </w:pPr>
      <w:r>
        <w:t xml:space="preserve">Figure 6.1: RO1 workflow for trust-centric consent creation</w:t>
      </w:r>
    </w:p>
    <w:p>
      <w:pPr>
        <w:pStyle w:val="BodyText"/>
      </w:pPr>
      <w:r>
        <w:t xml:space="preserve">The specification is accepted only when the required fields are valid. For example, the expiry time must be later than the start time. After validation, the system assigns a consent identifier, creates the consent object, persists the record, and records the creation event in the audit layer. This process ensures that the consent object contains sufficient information for subsequent identity verification, multi-party authorisation, policy evaluation, and auditability.</w:t>
      </w:r>
    </w:p>
    <w:bookmarkEnd w:id="95"/>
    <w:bookmarkStart w:id="96"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5"/>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6"/>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7"/>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8"/>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9"/>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10"/>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t xml:space="preserve">,</w:t>
      </w:r>
      <w:r>
        <w:t xml:space="preserve"> </w:t>
      </w:r>
      <w:r>
        <w:rPr>
          <w:i/>
          <w:iCs/>
        </w:rPr>
        <w:t xml:space="preserve">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t xml:space="preserve">&gt;</w:t>
      </w:r>
      <w:r>
        <w:t xml:space="preserve"> </w:t>
      </w:r>
      <w:r>
        <w:rPr>
          <w:i/>
          <w:iCs/>
        </w:rPr>
        <w:t xml:space="preserve">t</w:t>
      </w:r>
      <w:r>
        <w:rPr>
          <w:vertAlign w:val="subscript"/>
        </w:rPr>
        <w:t xml:space="preserve">s</w:t>
      </w:r>
      <w:r>
        <w:t xml:space="preserve">. If this condition is not satisfied, the consent request is rejected.</w:t>
      </w:r>
    </w:p>
    <w:p>
      <w:pPr>
        <w:pStyle w:val="Compact"/>
        <w:numPr>
          <w:ilvl w:val="0"/>
          <w:numId w:val="1011"/>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2"/>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3"/>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4"/>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5"/>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6"/>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BodyText"/>
      </w:pPr>
      <w:r>
        <w:t xml:space="preserve">In the HALAH prototype (Section 7.2), Steps 1–3 are not yet enforced at creation: the doctor and guardian DIDs are accepted as entered, a syntactic DID check is applied later at guardian approval and doctor access, and credential-based authority validation is scheduled for Stage 2. Step 6 is implemented: the patient interface rejects an expiry time that is not later than the start time.</w:t>
      </w:r>
    </w:p>
    <w:bookmarkEnd w:id="96"/>
    <w:bookmarkStart w:id="97" w:name="algorithm-1-trust-aware-consent-creation"/>
    <w:p>
      <w:pPr>
        <w:pStyle w:val="Heading3"/>
      </w:pPr>
      <w:r>
        <w:t xml:space="preserve">6.1.3 Algorithm 1: Trust-Aware Consent Creation</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p>
    <w:p>
      <w:pPr>
        <w:pStyle w:val="Algorithm"/>
      </w:pPr>
      <w:r>
        <w:t xml:space="preserve">| 10:</w:t>
      </w:r>
      <w:r>
        <w:t xml:space="preserve"> </w:t>
      </w:r>
      <w:r>
        <w:rPr>
          <w:b/>
          <w:bCs/>
        </w:rPr>
        <w:t xml:space="preserve">if</w:t>
      </w:r>
      <w:r>
        <w:t xml:space="preserve"> </w:t>
      </w:r>
      <m:oMath>
        <m:r>
          <m:t>D</m:t>
        </m:r>
      </m:oMath>
      <w:r>
        <w:t xml:space="preserve">,</w:t>
      </w:r>
      <w:r>
        <w:t xml:space="preserve"> </w:t>
      </w:r>
      <m:oMath>
        <m:r>
          <m:t>G</m:t>
        </m:r>
      </m:oMath>
      <w:r>
        <w:t xml:space="preserve">,</w:t>
      </w:r>
      <w:r>
        <w:t xml:space="preserve"> </w:t>
      </w:r>
      <m:oMath>
        <m:sSub>
          <m:e>
            <m:r>
              <m:t>P</m:t>
            </m:r>
          </m:e>
          <m:sub>
            <m:r>
              <m:t>u</m:t>
            </m:r>
          </m:sub>
        </m:sSub>
      </m:oMath>
      <w:r>
        <w:t xml:space="preserve"> </w:t>
      </w:r>
      <w:r>
        <w:t xml:space="preserve">or</w:t>
      </w:r>
      <w:r>
        <w:t xml:space="preserve"> </w:t>
      </w:r>
      <m:oMath>
        <m:sSub>
          <m:e>
            <m:r>
              <m:t>S</m:t>
            </m:r>
          </m:e>
          <m:sub>
            <m:r>
              <m:t>C</m:t>
            </m:r>
          </m:sub>
        </m:sSub>
      </m:oMath>
      <w:r>
        <w:t xml:space="preserve"> </w:t>
      </w:r>
      <w:r>
        <w:t xml:space="preserve">is invalid</w:t>
      </w:r>
      <w:r>
        <w:t xml:space="preserve"> </w:t>
      </w:r>
      <w:r>
        <w:rPr>
          <w:b/>
          <w:bCs/>
        </w:rPr>
        <w:t xml:space="preserve">or</w:t>
      </w:r>
      <w:r>
        <w:t xml:space="preserve"> </w:t>
      </w:r>
      <m:oMath>
        <m:sSub>
          <m:e>
            <m:r>
              <m:t>t</m:t>
            </m:r>
          </m:e>
          <m:sub>
            <m:r>
              <m:t>e</m:t>
            </m:r>
          </m:sub>
        </m:sSub>
        <m:r>
          <m:rPr>
            <m:sty m:val="p"/>
          </m:rPr>
          <m:t>≤</m:t>
        </m:r>
        <m:sSub>
          <m:e>
            <m:r>
              <m:t>t</m:t>
            </m:r>
          </m:e>
          <m:sub>
            <m:r>
              <m:t>s</m:t>
            </m:r>
          </m:sub>
        </m:sSub>
      </m:oMath>
      <w:r>
        <w:t xml:space="preserve"> </w:t>
      </w:r>
      <w:r>
        <w:rPr>
          <w:b/>
          <w:bCs/>
        </w:rPr>
        <w:t xml:space="preserve">then</w:t>
      </w:r>
      <w:r>
        <w:t xml:space="preserve"> </w:t>
      </w:r>
      <w:r>
        <w:t xml:space="preserve">|     11:</w:t>
      </w:r>
      <w:r>
        <w:t xml:space="preserve"> </w:t>
      </w:r>
      <w:r>
        <w:rPr>
          <w:b/>
          <w:bCs/>
        </w:rPr>
        <w:t xml:space="preserve">return</w:t>
      </w:r>
      <w:r>
        <w:t xml:space="preserve"> </w:t>
      </w:r>
      <w:r>
        <w:t xml:space="preserve">REJECT</w:t>
      </w:r>
      <w:r>
        <w:t xml:space="preserve"> </w:t>
      </w:r>
      <w:r>
        <w:t xml:space="preserve">| 12:</w:t>
      </w:r>
      <w:r>
        <w:t xml:space="preserve"> </w:t>
      </w:r>
      <w:r>
        <w:rPr>
          <w:b/>
          <w:bCs/>
        </w:rPr>
        <w:t xml:space="preserve">end if</w:t>
      </w:r>
      <w:r>
        <w:t xml:space="preserve"> </w:t>
      </w:r>
      <w:r>
        <w:t xml:space="preserve">| 13: Define authorisation requirement</w:t>
      </w:r>
      <w:r>
        <w:t xml:space="preserve"> </w:t>
      </w:r>
      <m:oMath>
        <m:r>
          <m:t>A</m:t>
        </m:r>
      </m:oMath>
      <w:r>
        <w:t xml:space="preserve"> </w:t>
      </w:r>
      <w:r>
        <w:t xml:space="preserve">| 14: Generate consent identifier</w:t>
      </w:r>
      <w:r>
        <w:t xml:space="preserve"> </w:t>
      </w:r>
      <m:oMath>
        <m:r>
          <m:t>i</m:t>
        </m:r>
        <m:sSub>
          <m:e>
            <m:r>
              <m:t>d</m:t>
            </m:r>
          </m:e>
          <m:sub>
            <m:r>
              <m:t>C</m:t>
            </m:r>
          </m:sub>
        </m:sSub>
      </m:oMath>
      <w:r>
        <w:t xml:space="preserve"> </w:t>
      </w:r>
      <w:r>
        <w:t xml:space="preserve">| 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 16: Persist</w:t>
      </w:r>
      <w:r>
        <w:t xml:space="preserve"> </w:t>
      </w:r>
      <m:oMath>
        <m:r>
          <m:t>C</m:t>
        </m:r>
      </m:oMath>
      <w:r>
        <w:t xml:space="preserve"> </w:t>
      </w:r>
      <w:r>
        <w:t xml:space="preserve">| 17: Record consent creation evidence</w:t>
      </w:r>
      <w:r>
        <w:t xml:space="preserve"> </w:t>
      </w:r>
      <w:r>
        <w:t xml:space="preserve">| 18:</w:t>
      </w:r>
      <w:r>
        <w:t xml:space="preserve"> </w:t>
      </w:r>
      <w:r>
        <w:rPr>
          <w:b/>
          <w:bCs/>
        </w:rPr>
        <w:t xml:space="preserve">return</w:t>
      </w:r>
      <w:r>
        <w:t xml:space="preserve"> </w:t>
      </w:r>
      <m:oMath>
        <m:r>
          <m:t>C</m:t>
        </m:r>
      </m:oMath>
    </w:p>
    <w:p>
      <w:pPr>
        <w:pStyle w:val="BodyText"/>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97"/>
    <w:bookmarkEnd w:id="98"/>
    <w:bookmarkStart w:id="105" w:name="X3b93ca6d6b3213e06bf792918c5f2e554ad197d"/>
    <w:p>
      <w:pPr>
        <w:pStyle w:val="Heading2"/>
      </w:pPr>
      <w:r>
        <w:t xml:space="preserve">6.2 Decentralised Identity and Authority Trust for RO2</w:t>
      </w:r>
    </w:p>
    <w:p>
      <w:pPr>
        <w:pStyle w:val="FirstParagraph"/>
      </w:pPr>
      <w:r>
        <w:t xml:space="preserve">RO2 addresses SRQ2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 that identity is not authorisation (Eq. (1)).</w:t>
      </w:r>
    </w:p>
    <w:p>
      <w:pPr>
        <w:pStyle w:val="BodyText"/>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is given by Eq. (8).</w:t>
      </w:r>
    </w:p>
    <w:p>
      <w:pPr>
        <w:pStyle w:val="BodyText"/>
      </w:pPr>
      <w:r>
        <w:t xml:space="preserve">In Eq. (8),</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102" w:name="X40f13bf52dbab2e76356a6753423f1584e794fb"/>
    <w:p>
      <w:pPr>
        <w:pStyle w:val="Heading3"/>
      </w:pPr>
      <w:r>
        <w:t xml:space="preserve">6.2.1 RO2 Identity and Authority Verification Workflow</w:t>
      </w:r>
    </w:p>
    <w:p>
      <w:pPr>
        <w:pStyle w:val="FirstParagraph"/>
      </w:pPr>
      <w:r>
        <w:t xml:space="preserve">The workflow, shown in Figure 6.2,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CaptionedFigure"/>
      </w:pPr>
      <w:r>
        <w:drawing>
          <wp:inline>
            <wp:extent cx="5486400" cy="3223605"/>
            <wp:effectExtent b="0" l="0" r="0" t="0"/>
            <wp:docPr descr="Figure 6.2: RO2 workflow for decentralised identity and authority verification" title="" id="100" name="Picture"/>
            <a:graphic>
              <a:graphicData uri="http://schemas.openxmlformats.org/drawingml/2006/picture">
                <pic:pic>
                  <pic:nvPicPr>
                    <pic:cNvPr descr="media_col/fig08.png" id="101" name="Picture"/>
                    <pic:cNvPicPr>
                      <a:picLocks noChangeArrowheads="1" noChangeAspect="1"/>
                    </pic:cNvPicPr>
                  </pic:nvPicPr>
                  <pic:blipFill>
                    <a:blip r:embed="rId99"/>
                    <a:stretch>
                      <a:fillRect/>
                    </a:stretch>
                  </pic:blipFill>
                  <pic:spPr bwMode="auto">
                    <a:xfrm>
                      <a:off x="0" y="0"/>
                      <a:ext cx="5486400" cy="3223605"/>
                    </a:xfrm>
                    <a:prstGeom prst="rect">
                      <a:avLst/>
                    </a:prstGeom>
                    <a:noFill/>
                    <a:ln w="9525">
                      <a:noFill/>
                      <a:headEnd/>
                      <a:tailEnd/>
                    </a:ln>
                  </pic:spPr>
                </pic:pic>
              </a:graphicData>
            </a:graphic>
          </wp:inline>
        </w:drawing>
      </w:r>
    </w:p>
    <w:p>
      <w:pPr>
        <w:pStyle w:val="ImageCaption"/>
      </w:pPr>
      <w:r>
        <w:t xml:space="preserve">Figure 6.2: RO2 workflow for decentralised identity and authority verification</w:t>
      </w:r>
    </w:p>
    <w:p>
      <w:pPr>
        <w:pStyle w:val="BodyText"/>
      </w:pPr>
      <w:r>
        <w:t xml:space="preserve">In the HALAH prototype, identity and authority are established in two separate steps. First, the guardian’s DID is checked for syntactic validity. Second, the guardian’s approval is expressed as an EIP-712 typed-data signature [42]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[44, 45], covering issuer, proof, credential status and validity period (Steps 3–4 below), is specified here but has not yet been implemented and is scheduled for Stage 2 (CA3). The prototype therefore already separates</w:t>
      </w:r>
      <w:r>
        <w:t xml:space="preserve"> </w:t>
      </w:r>
      <w:r>
        <w:rPr>
          <w:i/>
          <w:iCs/>
        </w:rPr>
        <w:t xml:space="preserve">who</w:t>
      </w:r>
      <w:r>
        <w:t xml:space="preserve"> </w:t>
      </w:r>
      <w:r>
        <w:t xml:space="preserve">the guardian is from</w:t>
      </w:r>
      <w:r>
        <w:t xml:space="preserve"> </w:t>
      </w:r>
      <w:r>
        <w:rPr>
          <w:i/>
          <w:iCs/>
        </w:rPr>
        <w:t xml:space="preserve">whether</w:t>
      </w:r>
      <w:r>
        <w:t xml:space="preserve"> </w:t>
      </w:r>
      <w: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102"/>
    <w:bookmarkStart w:id="103"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7"/>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8"/>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ompact"/>
        <w:numPr>
          <w:ilvl w:val="0"/>
          <w:numId w:val="1019"/>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20"/>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 In the HALAH prototype, this step is specified but not yet implemented (Section 7.13).</w:t>
      </w:r>
    </w:p>
    <w:p>
      <w:pPr>
        <w:pStyle w:val="Compact"/>
        <w:numPr>
          <w:ilvl w:val="0"/>
          <w:numId w:val="1021"/>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2"/>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3"/>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4"/>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5"/>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103"/>
    <w:bookmarkStart w:id="104"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104"/>
    <w:bookmarkEnd w:id="105"/>
    <w:bookmarkStart w:id="112" w:name="X2fe5cbf561c8a3bc135795b66ae3ba1eef8bc71"/>
    <w:p>
      <w:pPr>
        <w:pStyle w:val="Heading2"/>
      </w:pPr>
      <w:r>
        <w:t xml:space="preserve">6.3 Trustworthy Multi-Party Authorisation for RO3</w:t>
      </w:r>
    </w:p>
    <w:p>
      <w:pPr>
        <w:pStyle w:val="FirstParagraph"/>
      </w:pPr>
      <w:r>
        <w:t xml:space="preserve">RO3 addresses SRQ3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given by Eq. (9).</w:t>
      </w:r>
    </w:p>
    <w:p>
      <w:pPr>
        <w:pStyle w:val="BodyText"/>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109" w:name="ro3-multi-party-authorisation-workflow"/>
    <w:p>
      <w:pPr>
        <w:pStyle w:val="Heading3"/>
      </w:pPr>
      <w:r>
        <w:t xml:space="preserve">6.3.1 RO3 Multi-Party Authorisation Workflow</w:t>
      </w:r>
    </w:p>
    <w:p>
      <w:pPr>
        <w:pStyle w:val="FirstParagraph"/>
      </w:pPr>
      <w:r>
        <w:t xml:space="preserve">The workflow, shown in Figure 6.3,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CaptionedFigure"/>
      </w:pPr>
      <w:r>
        <w:drawing>
          <wp:inline>
            <wp:extent cx="5486400" cy="5363379"/>
            <wp:effectExtent b="0" l="0" r="0" t="0"/>
            <wp:docPr descr="Figure 6.3: RO3 workflow for threshold-based multi-party authorisation" title="" id="107" name="Picture"/>
            <a:graphic>
              <a:graphicData uri="http://schemas.openxmlformats.org/drawingml/2006/picture">
                <pic:pic>
                  <pic:nvPicPr>
                    <pic:cNvPr descr="media_col/fig09.png" id="108" name="Picture"/>
                    <pic:cNvPicPr>
                      <a:picLocks noChangeArrowheads="1" noChangeAspect="1"/>
                    </pic:cNvPicPr>
                  </pic:nvPicPr>
                  <pic:blipFill>
                    <a:blip r:embed="rId106"/>
                    <a:stretch>
                      <a:fillRect/>
                    </a:stretch>
                  </pic:blipFill>
                  <pic:spPr bwMode="auto">
                    <a:xfrm>
                      <a:off x="0" y="0"/>
                      <a:ext cx="5486400" cy="5363379"/>
                    </a:xfrm>
                    <a:prstGeom prst="rect">
                      <a:avLst/>
                    </a:prstGeom>
                    <a:noFill/>
                    <a:ln w="9525">
                      <a:noFill/>
                      <a:headEnd/>
                      <a:tailEnd/>
                    </a:ln>
                  </pic:spPr>
                </pic:pic>
              </a:graphicData>
            </a:graphic>
          </wp:inline>
        </w:drawing>
      </w:r>
    </w:p>
    <w:p>
      <w:pPr>
        <w:pStyle w:val="ImageCaption"/>
      </w:pPr>
      <w:r>
        <w:t xml:space="preserve">Figure 6.3: RO3 workflow for threshold-based multi-party authorisation</w:t>
      </w:r>
    </w:p>
    <w:p>
      <w:pPr>
        <w:pStyle w:val="BodyText"/>
      </w:pPr>
      <w:r>
        <w:t xml:space="preserve">In the HALAH prototype, the guardian workflow (Figure 7.2,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7.4; the v3 contract adds on-chain validity checks and ERC-5484 consensual burn [43].</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109"/>
    <w:bookmarkStart w:id="110"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6"/>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ompact"/>
        <w:numPr>
          <w:ilvl w:val="0"/>
          <w:numId w:val="1027"/>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 In the HALAH prototype,</w:t>
      </w:r>
      <w:r>
        <w:t xml:space="preserve"> </w:t>
      </w:r>
      <m:oMath>
        <m:r>
          <m:t>N</m:t>
        </m:r>
        <m:r>
          <m:rPr>
            <m:sty m:val="p"/>
          </m:rPr>
          <m:t>=</m:t>
        </m:r>
        <m:d>
          <m:dPr>
            <m:begChr m:val="|"/>
            <m:sepChr m:val=""/>
            <m:endChr m:val="|"/>
            <m:grow/>
          </m:dPr>
          <m:e>
            <m:r>
              <m:t>G</m:t>
            </m:r>
          </m:e>
        </m:d>
        <m:r>
          <m:rPr>
            <m:sty m:val="p"/>
          </m:rPr>
          <m:t>[</m:t>
        </m:r>
      </m:oMath>
      <w:r>
        <w:t xml:space="preserve"> </w:t>
      </w:r>
      <w:r>
        <w:t xml:space="preserve">(all designated guardians must approve); configurable k-of-n thresholds are Stage 2 work.]{.odel}$, so all designated guardians must approve. Configurable k-of-n thresholds are planned for Stage 2.</w:t>
      </w:r>
    </w:p>
    <w:p>
      <w:pPr>
        <w:pStyle w:val="Compact"/>
        <w:numPr>
          <w:ilvl w:val="0"/>
          <w:numId w:val="1028"/>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9"/>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30"/>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1"/>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2"/>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3"/>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4"/>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5"/>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6"/>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7"/>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8"/>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29</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30</m:t>
          </m:r>
          <m:r>
            <m:rPr>
              <m:sty m:val="p"/>
            </m:rPr>
            <m:t>)</m:t>
          </m:r>
        </m:oMath>
      </m:oMathPara>
    </w:p>
    <w:bookmarkEnd w:id="110"/>
    <w:bookmarkStart w:id="111"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unauthorised,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11"/>
    <w:bookmarkEnd w:id="112"/>
    <w:bookmarkStart w:id="119" w:name="X77d8a567f90fbf98e40547b4be1462ed72e9750"/>
    <w:p>
      <w:pPr>
        <w:pStyle w:val="Heading2"/>
      </w:pPr>
      <w:r>
        <w:t xml:space="preserve">6.4 Policy- and Context-Aware Access Control for RO4</w:t>
      </w:r>
    </w:p>
    <w:p>
      <w:pPr>
        <w:pStyle w:val="FirstParagraph"/>
      </w:pPr>
      <w:r>
        <w:t xml:space="preserve">RO4 addresses SRQ4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31</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32</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current-stage authorisation decision is given by Eq. (6).</w:t>
      </w:r>
    </w:p>
    <w:bookmarkStart w:id="116" w:name="ro4-policy-aware-access-workflow"/>
    <w:p>
      <w:pPr>
        <w:pStyle w:val="Heading3"/>
      </w:pPr>
      <w:r>
        <w:t xml:space="preserve">6.4.1 RO4 Policy-Aware Access Workflow</w:t>
      </w:r>
    </w:p>
    <w:p>
      <w:pPr>
        <w:pStyle w:val="FirstParagraph"/>
      </w:pPr>
      <w:r>
        <w:t xml:space="preserve">The workflow, shown in Figure 6.4, begins when a doctor submits a request for patient data. The system retrieves the relevant consent object, verifies the requesting participant and evaluates the consent state. It then checks whether the required multi-party authorisation has been established.</w:t>
      </w:r>
    </w:p>
    <w:p>
      <w:pPr>
        <w:pStyle w:val="CaptionedFigure"/>
      </w:pPr>
      <w:r>
        <w:drawing>
          <wp:inline>
            <wp:extent cx="5486400" cy="6503056"/>
            <wp:effectExtent b="0" l="0" r="0" t="0"/>
            <wp:docPr descr="Figure 6.4: RO4 workflow for policy- and context-aware access control" title="" id="114" name="Picture"/>
            <a:graphic>
              <a:graphicData uri="http://schemas.openxmlformats.org/drawingml/2006/picture">
                <pic:pic>
                  <pic:nvPicPr>
                    <pic:cNvPr descr="media_col/fig10.png" id="115" name="Picture"/>
                    <pic:cNvPicPr>
                      <a:picLocks noChangeArrowheads="1" noChangeAspect="1"/>
                    </pic:cNvPicPr>
                  </pic:nvPicPr>
                  <pic:blipFill>
                    <a:blip r:embed="rId113"/>
                    <a:stretch>
                      <a:fillRect/>
                    </a:stretch>
                  </pic:blipFill>
                  <pic:spPr bwMode="auto">
                    <a:xfrm>
                      <a:off x="0" y="0"/>
                      <a:ext cx="5486400" cy="6503056"/>
                    </a:xfrm>
                    <a:prstGeom prst="rect">
                      <a:avLst/>
                    </a:prstGeom>
                    <a:noFill/>
                    <a:ln w="9525">
                      <a:noFill/>
                      <a:headEnd/>
                      <a:tailEnd/>
                    </a:ln>
                  </pic:spPr>
                </pic:pic>
              </a:graphicData>
            </a:graphic>
          </wp:inline>
        </w:drawing>
      </w:r>
    </w:p>
    <w:p>
      <w:pPr>
        <w:pStyle w:val="ImageCaption"/>
      </w:pPr>
      <w:r>
        <w:t xml:space="preserve">Figure 6.4: RO4 workflow for policy- and context-aware access control</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This behaviour is shown in Figures 7.3–7.4 (Section 7.4).</w:t>
      </w:r>
    </w:p>
    <w:p>
      <w:pPr>
        <w:pStyle w:val="BodyText"/>
      </w:pPr>
      <w:r>
        <w:t xml:space="preserve">For example, the request in Eq. (4) must be denied. This rule prevents a legitimate participant from obtaining data outside the patient’s authorised scope.</w:t>
      </w:r>
    </w:p>
    <w:p>
      <w:pPr>
        <w:pStyle w:val="BodyText"/>
      </w:pPr>
      <w:r>
        <w:rPr>
          <w:b/>
          <w:bCs/>
        </w:rPr>
        <w:t xml:space="preserve">Prototype status of</w:t>
      </w:r>
      <w:r>
        <w:rPr>
          <w:b/>
          <w:bCs/>
        </w:rPr>
        <w:t xml:space="preserve"> </w:t>
      </w:r>
      <m:oMath>
        <m:sSub>
          <m:e>
            <m:r>
              <m:t>V</m:t>
            </m:r>
          </m:e>
          <m:sub>
            <m:r>
              <m:t>P</m:t>
            </m:r>
          </m:sub>
        </m:sSub>
      </m:oMath>
      <w:r>
        <w:rPr>
          <w:b/>
          <w:bCs/>
        </w:rPr>
        <w:t xml:space="preserve">.</w:t>
      </w:r>
      <w:r>
        <w:t xml:space="preserve"> </w:t>
      </w:r>
      <w:r>
        <w:t xml:space="preserve">In the HALAH prototype, scope compatibility</w:t>
      </w:r>
      <w:r>
        <w:t xml:space="preserve"> </w:t>
      </w:r>
      <m:oMath>
        <m:sSub>
          <m:e>
            <m:r>
              <m:t>V</m:t>
            </m:r>
          </m:e>
          <m:sub>
            <m:r>
              <m:t>S</m:t>
            </m:r>
          </m:sub>
        </m:sSub>
        <m:r>
          <m:rPr>
            <m:sty m:val="p"/>
          </m:rPr>
          <m:t>(</m:t>
        </m:r>
        <m:r>
          <m:t>C</m:t>
        </m:r>
        <m:r>
          <m:rPr>
            <m:sty m:val="p"/>
          </m:rPr>
          <m:t>,</m:t>
        </m:r>
        <m:r>
          <m:t>R</m:t>
        </m:r>
        <m:r>
          <m:rPr>
            <m:sty m:val="p"/>
          </m:rPr>
          <m:t>)</m:t>
        </m:r>
      </m:oMath>
      <w:r>
        <w:t xml:space="preserve"> </w:t>
      </w:r>
      <w:r>
        <w:t xml:space="preserve">is enforced: the doctor interface offers only modules from the consented scope, and the service layer independently verifies</w:t>
      </w:r>
      <w:r>
        <w:t xml:space="preserve"> </w:t>
      </w:r>
      <m:oMath>
        <m:sSub>
          <m:e>
            <m:r>
              <m:t>S</m:t>
            </m:r>
          </m:e>
          <m:sub>
            <m:r>
              <m:t>R</m:t>
            </m:r>
          </m:sub>
        </m:sSub>
        <m:r>
          <m:rPr>
            <m:sty m:val="p"/>
          </m:rPr>
          <m:t>⊆</m:t>
        </m:r>
        <m:sSub>
          <m:e>
            <m:r>
              <m:t>S</m:t>
            </m:r>
          </m:e>
          <m:sub>
            <m:r>
              <m:t>C</m:t>
            </m:r>
          </m:sub>
        </m:sSub>
      </m:oMath>
      <w:r>
        <w:t xml:space="preserve"> </w:t>
      </w:r>
      <w:r>
        <w:t xml:space="preserve">before any data are returned; a failed check produces an ACCESS DENIED result that is recorded in the audit log. Purpose compatibility</w:t>
      </w:r>
      <w:r>
        <w:t xml:space="preserve"> </w:t>
      </w:r>
      <m:oMath>
        <m:sSub>
          <m:e>
            <m:r>
              <m:t>V</m:t>
            </m:r>
          </m:e>
          <m:sub>
            <m:r>
              <m:t>U</m:t>
            </m:r>
          </m:sub>
        </m:sSub>
        <m:r>
          <m:rPr>
            <m:sty m:val="p"/>
          </m:rPr>
          <m:t>(</m:t>
        </m:r>
        <m:r>
          <m:t>C</m:t>
        </m:r>
        <m:r>
          <m:rPr>
            <m:sty m:val="p"/>
          </m:rPr>
          <m:t>,</m:t>
        </m:r>
        <m:r>
          <m:t>R</m:t>
        </m:r>
        <m:r>
          <m:rPr>
            <m:sty m:val="p"/>
          </m:rPr>
          <m:t>)</m:t>
        </m:r>
      </m:oMath>
      <w:r>
        <w:t xml:space="preserve"> </w:t>
      </w:r>
      <w:r>
        <w:t xml:space="preserve">is only partly implemented: the consent purpose is checked against the permitted set {Treatment, Research, Emergency}, but the requester does not yet declare a purpose, so the comparison</w:t>
      </w:r>
      <w:r>
        <w:t xml:space="preserve"> </w:t>
      </w:r>
      <m:oMath>
        <m:sSub>
          <m:e>
            <m:r>
              <m:t>P</m:t>
            </m:r>
          </m:e>
          <m:sub>
            <m:r>
              <m:t>R</m:t>
            </m:r>
          </m:sub>
        </m:sSub>
        <m:r>
          <m:rPr>
            <m:sty m:val="p"/>
          </m:rPr>
          <m:t>⊨</m:t>
        </m:r>
        <m:sSub>
          <m:e>
            <m:r>
              <m:t>P</m:t>
            </m:r>
          </m:e>
          <m:sub>
            <m:r>
              <m:t>C</m:t>
            </m:r>
          </m:sub>
        </m:sSub>
      </m:oMath>
      <w:r>
        <w:t xml:space="preserve"> </w:t>
      </w:r>
      <w:r>
        <w:t xml:space="preserve">is scheduled for Stage 2. In addition, the full decision matrix (</w:t>
      </w:r>
      <m:oMath>
        <m:sSub>
          <m:e>
            <m:r>
              <m:t>V</m:t>
            </m:r>
          </m:e>
          <m:sub>
            <m:r>
              <m:t>I</m:t>
            </m:r>
          </m:sub>
        </m:sSub>
      </m:oMath>
      <w:r>
        <w:t xml:space="preserve">,</w:t>
      </w:r>
      <w:r>
        <w:t xml:space="preserve"> </w:t>
      </w:r>
      <m:oMath>
        <m:sSub>
          <m:e>
            <m:r>
              <m:t>V</m:t>
            </m:r>
          </m:e>
          <m:sub>
            <m:r>
              <m:t>A</m:t>
            </m:r>
          </m:sub>
        </m:sSub>
      </m:oMath>
      <w:r>
        <w:t xml:space="preserve">,</w:t>
      </w:r>
      <w:r>
        <w:t xml:space="preserve"> </w:t>
      </w:r>
      <m:oMath>
        <m:sSub>
          <m:e>
            <m:r>
              <m:t>V</m:t>
            </m:r>
          </m:e>
          <m:sub>
            <m:r>
              <m:t>P</m:t>
            </m:r>
          </m:sub>
        </m:sSub>
      </m:oMath>
      <w:r>
        <w:t xml:space="preserve">,</w:t>
      </w:r>
      <w:r>
        <w:t xml:space="preserve"> </w:t>
      </w:r>
      <m:oMath>
        <m:sSub>
          <m:e>
            <m:r>
              <m:t>V</m:t>
            </m:r>
          </m:e>
          <m:sub>
            <m:r>
              <m:t>T</m:t>
            </m:r>
          </m:sub>
        </m:sSub>
      </m:oMath>
      <w:r>
        <w:t xml:space="preserve">,</w:t>
      </w:r>
      <w:r>
        <w:t xml:space="preserve"> </w:t>
      </w:r>
      <m:oMath>
        <m:sSub>
          <m:e>
            <m:r>
              <m:t>V</m:t>
            </m:r>
          </m:e>
          <m:sub>
            <m:r>
              <m:t>L</m:t>
            </m:r>
          </m:sub>
        </m:sSub>
      </m:oMath>
      <w:r>
        <w:t xml:space="preserve">) is computed and displayed to the requester, whereas the data-release gate currently requires an ACTIVE consent state, a valid access proof, and a valid scope. Routing the release decision through the full matrix is a small planned change that will make the implemented gate identical to Eq. (24).</w:t>
      </w:r>
    </w:p>
    <w:bookmarkEnd w:id="116"/>
    <w:bookmarkStart w:id="117" w:name="X9b9350abce928b4bfd4821dc61b387a8eede2be"/>
    <w:p>
      <w:pPr>
        <w:pStyle w:val="Heading3"/>
      </w:pPr>
      <w:r>
        <w:t xml:space="preserve">6.4.2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9"/>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40"/>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1"/>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2"/>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3"/>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t xml:space="preserve">Here, ⊨ denotes that the requested purpose</w:t>
      </w:r>
      <w:r>
        <w:t xml:space="preserve"> </w:t>
      </w:r>
      <m:oMath>
        <m:sSub>
          <m:e>
            <m:r>
              <m:t>P</m:t>
            </m:r>
          </m:e>
          <m:sub>
            <m:r>
              <m:t>R</m:t>
            </m:r>
          </m:sub>
        </m:sSub>
      </m:oMath>
      <w:r>
        <w:t xml:space="preserve"> </w:t>
      </w:r>
      <w:r>
        <w:t xml:space="preserve">is permitted by the consented purpose</w:t>
      </w:r>
      <w:r>
        <w:t xml:space="preserve"> </w:t>
      </w:r>
      <m:oMath>
        <m:sSub>
          <m:e>
            <m:r>
              <m:t>P</m:t>
            </m:r>
          </m:e>
          <m:sub>
            <m:r>
              <m:t>C</m:t>
            </m:r>
          </m:sub>
        </m:sSub>
      </m:oMath>
      <w: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4"/>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5"/>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6"/>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7"/>
        </w:numPr>
      </w:pPr>
      <w:r>
        <w:rPr>
          <w:b/>
          <w:bCs/>
        </w:rPr>
        <w:t xml:space="preserve">Step 9 – Retrieve the Authorised Healthcare Data.</w:t>
      </w:r>
    </w:p>
    <w:p>
      <w:pPr>
        <w:pStyle w:val="FirstParagraph"/>
      </w:pPr>
      <w:r>
        <w:t xml:space="preserve">Once the request has been successfully authorised, the system retrieves only the healthcare data within the requested scope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8"/>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9"/>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17"/>
    <w:bookmarkStart w:id="118"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18"/>
    <w:bookmarkEnd w:id="119"/>
    <w:bookmarkStart w:id="126" w:name="temporal-and-lifecycle-trust-for-ro5"/>
    <w:p>
      <w:pPr>
        <w:pStyle w:val="Heading2"/>
      </w:pPr>
      <w:r>
        <w:t xml:space="preserve">6.5 Temporal and Lifecycle Trust for RO5</w:t>
      </w:r>
    </w:p>
    <w:p>
      <w:pPr>
        <w:pStyle w:val="FirstParagraph"/>
      </w:pPr>
      <w:r>
        <w:t xml:space="preserve">RO5 addresses SRQ5 and extends the foundational current-stage authorisation model 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current-stage model evaluates identity, collective authorisation, and policy compliance. RO5 extends this model by introducing temporal validity</w:t>
      </w:r>
      <w:r>
        <w:t xml:space="preserve"> </w:t>
      </w:r>
      <m:oMath>
        <m:sSub>
          <m:e>
            <m:r>
              <m:t>V</m:t>
            </m:r>
          </m:e>
          <m:sub>
            <m:r>
              <m:t>T</m:t>
            </m:r>
          </m:sub>
        </m:sSub>
        <m:r>
          <m:rPr>
            <m:sty m:val="p"/>
          </m:rPr>
          <m:t>(</m:t>
        </m:r>
        <m:r>
          <m:t>C</m:t>
        </m:r>
        <m:r>
          <m:rPr>
            <m:sty m:val="p"/>
          </m:rPr>
          <m:t>,</m:t>
        </m:r>
        <m:r>
          <m:t>t</m:t>
        </m:r>
        <m:r>
          <m:rPr>
            <m:sty m:val="p"/>
          </m:rPr>
          <m:t>)</m:t>
        </m:r>
      </m:oMath>
      <w:r>
        <w:t xml:space="preserve"> </w:t>
      </w:r>
      <w:r>
        <w:t xml:space="preserve">(Eq. (12)).</w:t>
      </w:r>
    </w:p>
    <w:p>
      <w:pPr>
        <w:pStyle w:val="BodyText"/>
      </w:pPr>
      <w:r>
        <w:t xml:space="preserve">It also introduces lifecycle validity</w:t>
      </w:r>
      <w:r>
        <w:t xml:space="preserve"> </w:t>
      </w:r>
      <m:oMath>
        <m:sSub>
          <m:e>
            <m:r>
              <m:t>V</m:t>
            </m:r>
          </m:e>
          <m:sub>
            <m:r>
              <m:t>L</m:t>
            </m:r>
          </m:sub>
        </m:sSub>
        <m:r>
          <m:rPr>
            <m:sty m:val="p"/>
          </m:rPr>
          <m:t>(</m:t>
        </m:r>
        <m:r>
          <m:t>C</m:t>
        </m:r>
        <m:r>
          <m:rPr>
            <m:sty m:val="p"/>
          </m:rPr>
          <m:t>)</m:t>
        </m:r>
      </m:oMath>
      <w:r>
        <w:t xml:space="preserve"> </w:t>
      </w:r>
      <w:r>
        <w:t xml:space="preserve">(Eq. (15)).</w:t>
      </w:r>
    </w:p>
    <w:p>
      <w:pPr>
        <w:pStyle w:val="BodyText"/>
      </w:pPr>
      <w:r>
        <w:t xml:space="preserve">The extended authorisation decision is therefore given by Eq. (24).</w:t>
      </w:r>
    </w:p>
    <w:p>
      <w:pPr>
        <w:pStyle w:val="BodyText"/>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23" w:name="ro5-temporal-and-lifecycle-workflow"/>
    <w:p>
      <w:pPr>
        <w:pStyle w:val="Heading3"/>
      </w:pPr>
      <w:r>
        <w:t xml:space="preserve">6.5.1 RO5 Temporal and Lifecycle Workflow</w:t>
      </w:r>
    </w:p>
    <w:p>
      <w:pPr>
        <w:pStyle w:val="FirstParagraph"/>
      </w:pPr>
      <w:r>
        <w:t xml:space="preserve">The planned workflow, shown in Figure 6.5, evaluates the consent’s temporal interval, lifecycle state, revocation status and requested transition before the system proceeds with the remaining authorisation conditions. This design ensures that a consent is not treated as permanently valid after it has expired or entered a state that no longer permits access.</w:t>
      </w:r>
    </w:p>
    <w:p>
      <w:pPr>
        <w:pStyle w:val="CaptionedFigure"/>
      </w:pPr>
      <w:r>
        <w:drawing>
          <wp:inline>
            <wp:extent cx="5486400" cy="4557281"/>
            <wp:effectExtent b="0" l="0" r="0" t="0"/>
            <wp:docPr descr="Figure 6.5: RO5 planned workflow for temporal and consent lifecycle trust" title="" id="121" name="Picture"/>
            <a:graphic>
              <a:graphicData uri="http://schemas.openxmlformats.org/drawingml/2006/picture">
                <pic:pic>
                  <pic:nvPicPr>
                    <pic:cNvPr descr="media_col/fig11.png" id="122" name="Picture"/>
                    <pic:cNvPicPr>
                      <a:picLocks noChangeArrowheads="1" noChangeAspect="1"/>
                    </pic:cNvPicPr>
                  </pic:nvPicPr>
                  <pic:blipFill>
                    <a:blip r:embed="rId120"/>
                    <a:stretch>
                      <a:fillRect/>
                    </a:stretch>
                  </pic:blipFill>
                  <pic:spPr bwMode="auto">
                    <a:xfrm>
                      <a:off x="0" y="0"/>
                      <a:ext cx="5486400" cy="4557281"/>
                    </a:xfrm>
                    <a:prstGeom prst="rect">
                      <a:avLst/>
                    </a:prstGeom>
                    <a:noFill/>
                    <a:ln w="9525">
                      <a:noFill/>
                      <a:headEnd/>
                      <a:tailEnd/>
                    </a:ln>
                  </pic:spPr>
                </pic:pic>
              </a:graphicData>
            </a:graphic>
          </wp:inline>
        </w:drawing>
      </w:r>
    </w:p>
    <w:p>
      <w:pPr>
        <w:pStyle w:val="ImageCaption"/>
      </w:pPr>
      <w:r>
        <w:t xml:space="preserve">Figure 6.5: RO5 planned workflow for temporal and consent lifecycle trust</w:t>
      </w:r>
    </w:p>
    <w:p>
      <w:pPr>
        <w:pStyle w:val="BodyText"/>
      </w:pPr>
      <w:r>
        <w:t xml:space="preserve">The HALAH prototype already implements a first version of this workflow. The consent engine evaluates the consent state in the order REVOKED, PENDING_SIGNATURE, PENDING_TOKEN, NOT_STARTED, EXPIRED, and ACTIVE, and only an ACTIVE consent can release data;</w:t>
      </w:r>
      <w:r>
        <w:t xml:space="preserve"> </w:t>
      </w:r>
      <m:oMath>
        <m:sSub>
          <m:e>
            <m:r>
              <m:t>V</m:t>
            </m:r>
          </m:e>
          <m:sub>
            <m:r>
              <m:t>T</m:t>
            </m:r>
          </m:sub>
        </m:sSub>
        <m:r>
          <m:rPr>
            <m:sty m:val="p"/>
          </m:rPr>
          <m:t>(</m:t>
        </m:r>
        <m:r>
          <m:t>C</m:t>
        </m:r>
        <m:r>
          <m:rPr>
            <m:sty m:val="p"/>
          </m:rPr>
          <m:t>,</m:t>
        </m:r>
        <m:r>
          <m:t>t</m:t>
        </m:r>
        <m:r>
          <m:rPr>
            <m:sty m:val="p"/>
          </m:rPr>
          <m:t>)</m:t>
        </m:r>
      </m:oMath>
      <w:r>
        <w:t xml:space="preserve"> </w:t>
      </w:r>
      <w: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 temporal and lifecycle properties (Eqs. (20)–(21)) and adversarial evaluation.</w:t>
      </w:r>
    </w:p>
    <w:p>
      <w:pPr>
        <w:pStyle w:val="BodyText"/>
      </w:pPr>
      <w:r>
        <w:rPr>
          <w:b/>
          <w:bCs/>
        </w:rPr>
        <w:t xml:space="preserve">Notation note.</w:t>
      </w:r>
      <w:r>
        <w:t xml:space="preserve"> </w:t>
      </w:r>
      <w:r>
        <w:t xml:space="preserve">The prototype’s decision matrix currently uses the label VL for a jurisdiction check (consent jurisdiction equals requester jurisdiction, default</w:t>
      </w:r>
      <w:r>
        <w:t xml:space="preserve"> </w:t>
      </w:r>
      <w:r>
        <w:t xml:space="preserve">‘AU’</w:t>
      </w:r>
      <w:r>
        <w:t xml:space="preserve">), whereas this report defines</w:t>
      </w:r>
      <w:r>
        <w:t xml:space="preserve"> </w:t>
      </w:r>
      <m:oMath>
        <m:sSub>
          <m:e>
            <m:r>
              <m:t>V</m:t>
            </m:r>
          </m:e>
          <m:sub>
            <m:r>
              <m:t>L</m:t>
            </m:r>
          </m:sub>
        </m:sSub>
        <m:r>
          <m:rPr>
            <m:sty m:val="p"/>
          </m:rPr>
          <m:t>(</m:t>
        </m:r>
        <m:r>
          <m:t>C</m:t>
        </m:r>
        <m:r>
          <m:rPr>
            <m:sty m:val="p"/>
          </m:rPr>
          <m:t>)</m:t>
        </m:r>
      </m:oMath>
      <w:r>
        <w:t xml:space="preserve"> </w:t>
      </w:r>
      <w:r>
        <w:t xml:space="preserve">as lifecycle validity (Eq. (15)). To avoid ambiguity, the jurisdiction predicate will be renamed</w:t>
      </w:r>
      <w:r>
        <w:t xml:space="preserve"> </w:t>
      </w:r>
      <m:oMath>
        <m:sSub>
          <m:e>
            <m:r>
              <m:t>V</m:t>
            </m:r>
          </m:e>
          <m:sub>
            <m:r>
              <m:t>J</m:t>
            </m:r>
          </m:sub>
        </m:sSub>
      </m:oMath>
      <w:r>
        <w:t xml:space="preserve"> </w:t>
      </w:r>
      <w:r>
        <w:t xml:space="preserve">in the code and contract, and</w:t>
      </w:r>
      <w:r>
        <w:t xml:space="preserve"> </w:t>
      </w:r>
      <m:oMath>
        <m:sSub>
          <m:e>
            <m:r>
              <m:t>V</m:t>
            </m:r>
          </m:e>
          <m:sub>
            <m:r>
              <m:t>L</m:t>
            </m:r>
          </m:sub>
        </m:sSub>
      </m:oMath>
      <w:r>
        <w:t xml:space="preserve"> </w:t>
      </w:r>
      <w:r>
        <w:t xml:space="preserve">is reserved for lifecycle validity as defined here.</w:t>
      </w:r>
    </w:p>
    <w:bookmarkEnd w:id="123"/>
    <w:bookmarkStart w:id="124" w:name="X76e1ecd5ca9116901ef2fba9faaf6fcb0ec1702"/>
    <w:p>
      <w:pPr>
        <w:pStyle w:val="Heading3"/>
      </w:pPr>
      <w:r>
        <w:t xml:space="preserve">6.5.2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50"/>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1"/>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2"/>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3"/>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 state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4"/>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5"/>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6"/>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 ∧</w:t>
      </w:r>
      <w:r>
        <w:t xml:space="preserve"> </w:t>
      </w:r>
      <w:r>
        <w:rPr>
          <w:i/>
          <w:iCs/>
        </w:rPr>
        <w:t xml:space="preserve">StateValid</w:t>
      </w:r>
      <w:r>
        <w:t xml:space="preserve">(</w:t>
      </w:r>
      <w:r>
        <w:rPr>
          <w:i/>
          <w:iCs/>
        </w:rPr>
        <w:t xml:space="preserve">C, q</w:t>
      </w:r>
      <w:r>
        <w:t xml:space="preserve">) ∧ ¬</w:t>
      </w:r>
      <w:r>
        <w:rPr>
          <w:i/>
          <w:iCs/>
        </w:rPr>
        <w:t xml:space="preserve">Revoked</w:t>
      </w:r>
      <w:r>
        <w:t xml:space="preserve">(</w:t>
      </w:r>
      <w:r>
        <w:rPr>
          <w:i/>
          <w:iCs/>
        </w:rPr>
        <w:t xml:space="preserve">C</w:t>
      </w:r>
      <w:r>
        <w:t xml:space="preserve">) ∧</w:t>
      </w:r>
      <w:r>
        <w:t xml:space="preserve"> </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57"/>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8"/>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 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24"/>
    <w:bookmarkStart w:id="125" w:name="X43f085cbe35cf9229d124bd6c8707d40ef3f488"/>
    <w:p>
      <w:pPr>
        <w:pStyle w:val="Heading3"/>
      </w:pPr>
      <w:r>
        <w:t xml:space="preserve">6.5.3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BodyText"/>
      </w:pPr>
      <w:r>
        <w:t xml:space="preserve">Algorithm 5 extends the current-stage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25"/>
    <w:bookmarkEnd w:id="126"/>
    <w:bookmarkStart w:id="133" w:name="X28e4c471c7af957781c5be37513d338d1f9028e"/>
    <w:p>
      <w:pPr>
        <w:pStyle w:val="Heading2"/>
      </w:pPr>
      <w:r>
        <w:t xml:space="preserve">6.6 Formal Security Assurance and Empirical Validation for RO6</w:t>
      </w:r>
    </w:p>
    <w:p>
      <w:pPr>
        <w:pStyle w:val="FirstParagraph"/>
      </w:pPr>
      <w:r>
        <w:t xml:space="preserve">RO6 addresses SRQ6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given by Eq. (24).</w:t>
      </w:r>
    </w:p>
    <w:p>
      <w:pPr>
        <w:pStyle w:val="BodyText"/>
      </w:pPr>
      <w:r>
        <w:t xml:space="preserve">For the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33</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34</m:t>
          </m:r>
          <m:r>
            <m:rPr>
              <m:sty m:val="p"/>
            </m:rPr>
            <m:t>)</m:t>
          </m:r>
        </m:oMath>
      </m:oMathPara>
    </w:p>
    <w:bookmarkStart w:id="130" w:name="ro6-assurance-and-validation-workflow"/>
    <w:p>
      <w:pPr>
        <w:pStyle w:val="Heading3"/>
      </w:pPr>
      <w:r>
        <w:t xml:space="preserve">6.6.1 RO6 Assurance and Validation Workflow</w:t>
      </w:r>
    </w:p>
    <w:p>
      <w:pPr>
        <w:pStyle w:val="FirstParagraph"/>
      </w:pPr>
      <w:r>
        <w:t xml:space="preserve">The validation process, shown in Figure 6.6,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CaptionedFigure"/>
      </w:pPr>
      <w:r>
        <w:drawing>
          <wp:inline>
            <wp:extent cx="3511296" cy="7673247"/>
            <wp:effectExtent b="0" l="0" r="0" t="0"/>
            <wp:docPr descr="Figure 6.6: RO6 planned workflow for formal security assurance and empirical validation" title="" id="128" name="Picture"/>
            <a:graphic>
              <a:graphicData uri="http://schemas.openxmlformats.org/drawingml/2006/picture">
                <pic:pic>
                  <pic:nvPicPr>
                    <pic:cNvPr descr="media_col/fig12.png" id="129" name="Picture"/>
                    <pic:cNvPicPr>
                      <a:picLocks noChangeArrowheads="1" noChangeAspect="1"/>
                    </pic:cNvPicPr>
                  </pic:nvPicPr>
                  <pic:blipFill>
                    <a:blip r:embed="rId127"/>
                    <a:stretch>
                      <a:fillRect/>
                    </a:stretch>
                  </pic:blipFill>
                  <pic:spPr bwMode="auto">
                    <a:xfrm>
                      <a:off x="0" y="0"/>
                      <a:ext cx="3511296" cy="7673247"/>
                    </a:xfrm>
                    <a:prstGeom prst="rect">
                      <a:avLst/>
                    </a:prstGeom>
                    <a:noFill/>
                    <a:ln w="9525">
                      <a:noFill/>
                      <a:headEnd/>
                      <a:tailEnd/>
                    </a:ln>
                  </pic:spPr>
                </pic:pic>
              </a:graphicData>
            </a:graphic>
          </wp:inline>
        </w:drawing>
      </w:r>
    </w:p>
    <w:p>
      <w:pPr>
        <w:pStyle w:val="ImageCaption"/>
      </w:pPr>
      <w:r>
        <w:t xml:space="preserve">Figure 6.6: RO6 planned workflow for formal security assurance and empirical validation</w:t>
      </w:r>
    </w:p>
    <w:p>
      <w:pPr>
        <w:pStyle w:val="BodyText"/>
      </w:pPr>
      <w:r>
        <w:t xml:space="preserve">The empirical component will evaluate both valid and negative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 Current evidence from the prototype is reported in Sections 7.11–7.12.</w:t>
      </w:r>
    </w:p>
    <w:bookmarkEnd w:id="130"/>
    <w:bookmarkStart w:id="131"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ompact"/>
        <w:numPr>
          <w:ilvl w:val="0"/>
          <w:numId w:val="1059"/>
        </w:numPr>
      </w:pPr>
      <w:r>
        <w:rPr>
          <w:b/>
          <w:bCs/>
        </w:rPr>
        <w:t xml:space="preserve">Step 1 – Define the Expected Authorisation Properties.</w:t>
      </w:r>
    </w:p>
    <w:p>
      <w:pPr>
        <w:pStyle w:val="FirstParagraph"/>
      </w:pPr>
      <w:r>
        <w:t xml:space="preserve">The first step is to define the security and authorisation properties</w:t>
      </w:r>
      <w:r>
        <w:t xml:space="preserve"> </w:t>
      </w:r>
      <w:r>
        <w:rPr>
          <w:i/>
          <w:iCs/>
        </w:rPr>
        <w:t xml:space="preserve">P</w:t>
      </w:r>
      <w:r>
        <w:t xml:space="preserve"> </w:t>
      </w:r>
      <w:r>
        <w:t xml:space="preserve">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60"/>
        </w:numPr>
      </w:pPr>
      <w:r>
        <w:rPr>
          <w:b/>
          <w:bCs/>
        </w:rPr>
        <w:t xml:space="preserve">Step 2 – Define Valid Scenarios.</w:t>
      </w:r>
    </w:p>
    <w:p>
      <w:pPr>
        <w:pStyle w:val="FirstParagraph"/>
      </w:pPr>
      <w:r>
        <w:t xml:space="preserve">The system defines a set of valid scenarios</w:t>
      </w:r>
      <w:r>
        <w:t xml:space="preserve"> </w:t>
      </w:r>
      <w:r>
        <w:rPr>
          <w:i/>
          <w:iCs/>
        </w:rPr>
        <w:t xml:space="preserve">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1"/>
        </w:numPr>
      </w:pPr>
      <w:r>
        <w:rPr>
          <w:b/>
          <w:bCs/>
        </w:rPr>
        <w:t xml:space="preserve">Step 3 – Define Negative Scenarios.</w:t>
      </w:r>
    </w:p>
    <w:p>
      <w:pPr>
        <w:pStyle w:val="FirstParagraph"/>
      </w:pPr>
      <w:r>
        <w:t xml:space="preserve">The system defines a set of negative scenarios</w:t>
      </w:r>
      <w:r>
        <w:t xml:space="preserve"> </w:t>
      </w:r>
      <w:r>
        <w:rPr>
          <w:i/>
          <w:iCs/>
        </w:rPr>
        <w:t xml:space="preserve">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2"/>
        </w:numPr>
      </w:pPr>
      <w:r>
        <w:rPr>
          <w:b/>
          <w:bCs/>
        </w:rPr>
        <w:t xml:space="preserve">Step 4 – Define Adversarial Scenarios.</w:t>
      </w:r>
    </w:p>
    <w:p>
      <w:pPr>
        <w:pStyle w:val="FirstParagraph"/>
      </w:pPr>
      <w:r>
        <w:t xml:space="preserve">The system defines adversarial scenarios</w:t>
      </w:r>
      <w:r>
        <w:t xml:space="preserve"> </w:t>
      </w:r>
      <w:r>
        <w:rPr>
          <w:i/>
          <w:iCs/>
        </w:rPr>
        <w:t xml:space="preserve">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3"/>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w:t>
      </w:r>
      <w:r>
        <w:t xml:space="preserve"> </w:t>
      </w:r>
      <w:r>
        <w:rPr>
          <w:i/>
          <w:iCs/>
        </w:rPr>
        <w:t xml:space="preserve">S</w:t>
      </w:r>
      <w:r>
        <w:t xml:space="preserve"> </w:t>
      </w:r>
      <w:r>
        <w:t xml:space="preserve">is associated with an expected authorisation outcome and the security properties that it is intended to evaluate.</w:t>
      </w:r>
    </w:p>
    <w:p>
      <w:pPr>
        <w:pStyle w:val="Compact"/>
        <w:numPr>
          <w:ilvl w:val="0"/>
          <w:numId w:val="1064"/>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5"/>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6"/>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7"/>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8"/>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9"/>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70"/>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1"/>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2"/>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3"/>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4"/>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5"/>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bookmarkEnd w:id="131"/>
    <w:bookmarkStart w:id="132" w:name="Xb697f75e4cb43d67a9074b27c380a0731d6d029"/>
    <w:p>
      <w:pPr>
        <w:pStyle w:val="Heading3"/>
      </w:pPr>
      <w:r>
        <w:t xml:space="preserve">6.6.3 Algorithm 6: Formal and Empirical Authorisation Validation</w:t>
      </w:r>
    </w:p>
    <w:p>
      <w:pPr>
        <w:pStyle w:val="Algorithm"/>
      </w:pPr>
      <w:r>
        <w:rPr>
          <w:b/>
          <w:bCs/>
        </w:rPr>
        <w:t xml:space="preserve">Algorithm 6</w:t>
      </w:r>
      <w:r>
        <w:t xml:space="preserve"> </w:t>
      </w:r>
      <w:r>
        <w:t xml:space="preserve">Formal and Empirical Authorisation Validation</w:t>
      </w:r>
    </w:p>
    <w:p>
      <w:pPr>
        <w:pStyle w:val="Algorithm"/>
      </w:pPr>
      <w:r>
        <w:t xml:space="preserve">|</w:t>
      </w:r>
      <w:r>
        <w:t xml:space="preserve"> </w:t>
      </w:r>
      <w:r>
        <w:rPr>
          <w:b/>
          <w:bCs/>
        </w:rPr>
        <w:t xml:space="preserve">Require:</w:t>
      </w:r>
      <w:r>
        <w:t xml:space="preserve"> </w:t>
      </w:r>
      <w:r>
        <w:t xml:space="preserve">Framework implementation</w:t>
      </w:r>
      <w:r>
        <w:t xml:space="preserve"> </w:t>
      </w:r>
      <m:oMath>
        <m:r>
          <m:t>F</m:t>
        </m:r>
      </m:oMath>
      <w:r>
        <w:t xml:space="preserve"> </w:t>
      </w:r>
      <w:r>
        <w:t xml:space="preserve">|</w:t>
      </w:r>
      <w:r>
        <w:t xml:space="preserve"> </w:t>
      </w:r>
      <w:r>
        <w:rPr>
          <w:b/>
          <w:bCs/>
        </w:rPr>
        <w:t xml:space="preserve">Ensure:</w:t>
      </w:r>
      <w:r>
        <w:t xml:space="preserve"> </w:t>
      </w:r>
      <w:r>
        <w:t xml:space="preserve">Validation evidence and evaluation results</w:t>
      </w:r>
      <w:r>
        <w:t xml:space="preserve"> </w:t>
      </w:r>
      <w:r>
        <w:t xml:space="preserve">| 1: Define expected authorisation properties</w:t>
      </w:r>
      <w:r>
        <w:t xml:space="preserve"> </w:t>
      </w:r>
      <m:oMath>
        <m:r>
          <m:t>P</m:t>
        </m:r>
      </m:oMath>
      <w:r>
        <w:t xml:space="preserve"> </w:t>
      </w:r>
      <w:r>
        <w:t xml:space="preserve">| 2: Define valid scenarios</w:t>
      </w:r>
      <w:r>
        <w:t xml:space="preserve"> </w:t>
      </w:r>
      <m:oMath>
        <m:sSub>
          <m:e>
            <m:r>
              <m:t>S</m:t>
            </m:r>
          </m:e>
          <m:sub>
            <m:r>
              <m:t>v</m:t>
            </m:r>
            <m:r>
              <m:t>a</m:t>
            </m:r>
            <m:r>
              <m:t>l</m:t>
            </m:r>
            <m:r>
              <m:t>i</m:t>
            </m:r>
            <m:r>
              <m:t>d</m:t>
            </m:r>
          </m:sub>
        </m:sSub>
      </m:oMath>
      <w:r>
        <w:t xml:space="preserve"> </w:t>
      </w:r>
      <w:r>
        <w:t xml:space="preserve">| 3: Define negative scenarios</w:t>
      </w:r>
      <w:r>
        <w:t xml:space="preserve"> </w:t>
      </w:r>
      <m:oMath>
        <m:sSub>
          <m:e>
            <m:r>
              <m:t>S</m:t>
            </m:r>
          </m:e>
          <m:sub>
            <m:r>
              <m:t>n</m:t>
            </m:r>
            <m:r>
              <m:t>e</m:t>
            </m:r>
            <m:r>
              <m:t>g</m:t>
            </m:r>
            <m:r>
              <m:t>a</m:t>
            </m:r>
            <m:r>
              <m:t>t</m:t>
            </m:r>
            <m:r>
              <m:t>i</m:t>
            </m:r>
            <m:r>
              <m:t>v</m:t>
            </m:r>
            <m:r>
              <m:t>e</m:t>
            </m:r>
          </m:sub>
        </m:sSub>
      </m:oMath>
      <w:r>
        <w:t xml:space="preserve"> </w:t>
      </w:r>
      <w:r>
        <w:t xml:space="preserve">| 4: Define adversarial scenarios</w:t>
      </w:r>
      <w:r>
        <w:t xml:space="preserve"> </w:t>
      </w:r>
      <m:oMath>
        <m:sSub>
          <m:e>
            <m:r>
              <m:t>S</m:t>
            </m:r>
          </m:e>
          <m:sub>
            <m:r>
              <m:t>a</m:t>
            </m:r>
            <m:r>
              <m:t>d</m:t>
            </m:r>
            <m:r>
              <m:t>v</m:t>
            </m:r>
          </m:sub>
        </m:sSub>
      </m:oMath>
      <w:r>
        <w:t xml:space="preserve"> </w:t>
      </w:r>
      <w:r>
        <w:t xml:space="preserve">| 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oMath>
      <w:r>
        <w:t xml:space="preserve"> </w:t>
      </w:r>
      <w:r>
        <w:rPr>
          <w:b/>
          <w:bCs/>
        </w:rPr>
        <w:t xml:space="preserve">do</w:t>
      </w:r>
      <w:r>
        <w:t xml:space="preserve"> </w:t>
      </w:r>
      <w:r>
        <w:t xml:space="preserve">|     6: Execute</w:t>
      </w:r>
      <w:r>
        <w:t xml:space="preserve"> </w:t>
      </w:r>
      <m:oMath>
        <m:r>
          <m:t>s</m:t>
        </m:r>
      </m:oMath>
      <w:r>
        <w:t xml:space="preserve"> </w:t>
      </w:r>
      <w:r>
        <w:t xml:space="preserve">using framework</w:t>
      </w:r>
      <w:r>
        <w:t xml:space="preserve"> </w:t>
      </w:r>
      <m:oMath>
        <m:r>
          <m:t>F</m:t>
        </m:r>
      </m:oMath>
      <w:r>
        <w:t xml:space="preserve"> </w:t>
      </w:r>
      <w:r>
        <w:t xml:space="preserve">|     7: Collect authorisation decision</w:t>
      </w:r>
      <w:r>
        <w:t xml:space="preserve"> </w:t>
      </w:r>
      <w:r>
        <w:t xml:space="preserve">|     8: Collect identity, approval, policy, and audit evidence</w:t>
      </w:r>
      <w:r>
        <w:t xml:space="preserve"> </w:t>
      </w:r>
      <w:r>
        <w:t xml:space="preserve">|     9: Compare observed decision with expected decision</w:t>
      </w:r>
      <w:r>
        <w:t xml:space="preserve"> </w:t>
      </w:r>
      <w:r>
        <w:t xml:space="preserve">|     10: Record pass or failure result</w:t>
      </w:r>
      <w:r>
        <w:t xml:space="preserve"> </w:t>
      </w:r>
      <w:r>
        <w:t xml:space="preserve">| 11:</w:t>
      </w:r>
      <w:r>
        <w:t xml:space="preserve"> </w:t>
      </w:r>
      <w:r>
        <w:rPr>
          <w:b/>
          <w:bCs/>
        </w:rPr>
        <w:t xml:space="preserve">end for</w:t>
      </w:r>
      <w:r>
        <w:t xml:space="preserve"> </w:t>
      </w:r>
      <w:r>
        <w:t xml:space="preserve">| 12: Evaluate soundness property</w:t>
      </w:r>
      <w:r>
        <w:t xml:space="preserve"> </w:t>
      </w:r>
      <w:r>
        <w:t xml:space="preserve">| 13: Evaluate denial property</w:t>
      </w:r>
      <w:r>
        <w:t xml:space="preserve"> </w:t>
      </w:r>
      <w:r>
        <w:t xml:space="preserve">| 14: Evaluate threshold correctness</w:t>
      </w:r>
      <w:r>
        <w:t xml:space="preserve"> </w:t>
      </w:r>
      <w:r>
        <w:t xml:space="preserve">| 15: Evaluate policy-scope enforcement</w:t>
      </w:r>
      <w:r>
        <w:t xml:space="preserve"> </w:t>
      </w:r>
      <w:r>
        <w:t xml:space="preserve">| 16: Evaluate audit consistency</w:t>
      </w:r>
      <w:r>
        <w:t xml:space="preserve"> </w:t>
      </w:r>
      <w:r>
        <w:t xml:space="preserve">| 17: Analyse failures and limitations</w:t>
      </w:r>
      <w:r>
        <w:t xml:space="preserve"> </w:t>
      </w:r>
      <w:r>
        <w:t xml:space="preserve">| 18:</w:t>
      </w:r>
      <w:r>
        <w:t xml:space="preserve"> </w:t>
      </w:r>
      <w:r>
        <w:rPr>
          <w:b/>
          <w:bCs/>
        </w:rPr>
        <w:t xml:space="preserve">return</w:t>
      </w:r>
      <w:r>
        <w:t xml:space="preserve"> </w:t>
      </w:r>
      <w:r>
        <w:t xml:space="preserve">Validation results</w:t>
      </w:r>
    </w:p>
    <w:p>
      <w:pPr>
        <w:pStyle w:val="BodyText"/>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32"/>
    <w:bookmarkEnd w:id="133"/>
    <w:bookmarkStart w:id="134"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the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and Authority Trust, 2) Collective Authorisation, 3) Policy Compliance, 4) Temporal and Lifecycle Trust. For the current-stage implementation, the operational decision is based on Eq. (6).</w:t>
      </w:r>
    </w:p>
    <w:p>
      <w:pPr>
        <w:pStyle w:val="BodyText"/>
      </w:pPr>
      <w:r>
        <w:t xml:space="preserve">The CA3 extension incorporates temporal and lifecycle conditions, as in Eq. (24).</w:t>
      </w:r>
    </w:p>
    <w:p>
      <w:pPr>
        <w:pStyle w:val="BodyText"/>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34"/>
    <w:bookmarkEnd w:id="135"/>
    <w:bookmarkStart w:id="167" w:name="halah-system-and-workflow"/>
    <w:p>
      <w:pPr>
        <w:pStyle w:val="Heading1"/>
      </w:pPr>
      <w:r>
        <w:t xml:space="preserve">7 HALAH System and Workflow</w:t>
      </w:r>
    </w:p>
    <w:p>
      <w:pPr>
        <w:pStyle w:val="FirstParagraph"/>
      </w:pPr>
      <w: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BodyText"/>
      </w:pPr>
      <w:r>
        <w:t xml:space="preserve">The overall workflow of the implementation is therefore consistent with the proposed authorisation model as</w:t>
      </w:r>
    </w:p>
    <w:p>
      <w:pPr>
        <w:pStyle w:val="BodyText"/>
      </w:pPr>
      <m:oMathPara>
        <m:oMathParaPr>
          <m:jc m:val="center"/>
        </m:oMathParaPr>
        <m:oMath>
          <m:m>
            <m:mPr>
              <m:baseJc m:val="center"/>
              <m:plcHide m:val="on"/>
              <m:mcs>
                <m:mc>
                  <m:mcPr>
                    <m:count m:val="1"/>
                    <m:mcJc m:val="left"/>
                  </m:mcPr>
                </m:mc>
              </m:mcs>
            </m:mPr>
            <m:mr>
              <m:e>
                <m:r>
                  <m:rPr>
                    <m:nor/>
                  </m:rPr>
                  <m:t>Create Consent</m:t>
                </m:r>
                <m:r>
                  <m:rPr>
                    <m:sty m:val="p"/>
                  </m:rPr>
                  <m:t>→</m:t>
                </m:r>
                <m:r>
                  <m:rPr>
                    <m:nor/>
                  </m:rPr>
                  <m:t>Guardian Approval</m:t>
                </m:r>
                <m:r>
                  <m:rPr>
                    <m:sty m:val="p"/>
                  </m:rPr>
                  <m:t>→</m:t>
                </m:r>
                <m:r>
                  <m:rPr>
                    <m:nor/>
                  </m:rPr>
                  <m:t>Multi-signature Validation</m:t>
                </m:r>
              </m:e>
            </m:mr>
            <m:mr>
              <m:e>
                <m:r>
                  <m:rPr>
                    <m:sty m:val="p"/>
                  </m:rPr>
                  <m:t>→</m:t>
                </m:r>
                <m:r>
                  <m:rPr>
                    <m:nor/>
                  </m:rPr>
                  <m:t>Consent Activation</m:t>
                </m:r>
                <m:r>
                  <m:rPr>
                    <m:sty m:val="p"/>
                  </m:rPr>
                  <m:t>→</m:t>
                </m:r>
                <m:r>
                  <m:rPr>
                    <m:nor/>
                  </m:rPr>
                  <m:t>Doctor Access</m:t>
                </m:r>
                <m:r>
                  <m:rPr>
                    <m:sty m:val="p"/>
                  </m:rPr>
                  <m:t>→</m:t>
                </m:r>
                <m:r>
                  <m:rPr>
                    <m:nor/>
                  </m:rPr>
                  <m:t>Audit</m:t>
                </m:r>
              </m:e>
            </m:mr>
          </m:m>
        </m:oMath>
      </m:oMathPara>
    </w:p>
    <w:p>
      <w:pPr>
        <w:pStyle w:val="FirstParagraph"/>
      </w:pPr>
      <w:r>
        <w:t xml:space="preserve">This sequence provides an end-to-end demonstration of how the conceptual consent model is translated into an operational healthcare data-sharing process.</w:t>
      </w:r>
    </w:p>
    <w:bookmarkStart w:id="136" w:name="halah-system"/>
    <w:p>
      <w:pPr>
        <w:pStyle w:val="Heading2"/>
      </w:pPr>
      <w:r>
        <w:t xml:space="preserve">7.1 HALAH System</w:t>
      </w:r>
    </w:p>
    <w:p>
      <w:pPr>
        <w:pStyle w:val="FirstParagraph"/>
      </w:pPr>
      <w:r>
        <w:t xml:space="preserve">The main HALAH subsystem presents the system as a</w:t>
      </w:r>
      <w:r>
        <w:t xml:space="preserve"> </w:t>
      </w:r>
      <w:r>
        <w:rPr>
          <w:b/>
          <w:bCs/>
        </w:rPr>
        <w:t xml:space="preserve">Patient Consent Management Platform for History Access by Authorised Healthcare Providers</w:t>
      </w:r>
      <w:r>
        <w:t xml:space="preserve">. The subsystem provides a role-oriented environment in which different participants interact with the same consent lifecycle according to their respective authorisation responsibilities.</w:t>
      </w:r>
    </w:p>
    <w:p>
      <w:pPr>
        <w:pStyle w:val="BodyText"/>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BodyText"/>
      </w:pPr>
      <w:r>
        <w:t xml:space="preserve">This design corresponds to the overall HALAH architecture, in which</w:t>
      </w:r>
      <w:r>
        <w:t xml:space="preserve"> </w:t>
      </w:r>
      <w:r>
        <w:rPr>
          <w:b/>
          <w:bCs/>
        </w:rPr>
        <w:t xml:space="preserve">decentralised identifiers (DIDs)</w:t>
      </w:r>
      <w:r>
        <w:t xml:space="preserve"> </w:t>
      </w:r>
      <w:r>
        <w:t xml:space="preserve">provide identity pointers, the consent object defines the authorisation conditions, cryptographic signatures provide evidence of approval, and the blockchain-based ledger provides lifecycle traceability.</w:t>
      </w:r>
    </w:p>
    <w:p>
      <w:pPr>
        <w:pStyle w:val="BodyText"/>
      </w:pPr>
      <w:r>
        <w:t xml:space="preserve">The subsystem therefore serves as the entry point for demonstrating the complete authorisation process rather than functioning merely as a conventional patient-record application.</w:t>
      </w:r>
    </w:p>
    <w:bookmarkEnd w:id="136"/>
    <w:bookmarkStart w:id="140" w:name="X858cfcdf50eeab536ac64fcc0cad8eb3398a81c"/>
    <w:p>
      <w:pPr>
        <w:pStyle w:val="Heading2"/>
      </w:pPr>
      <w:r>
        <w:t xml:space="preserve">7.2 Create Smart Consent Contract: Patient Subsystem</w:t>
      </w:r>
    </w:p>
    <w:p>
      <w:pPr>
        <w:pStyle w:val="FirstParagraph"/>
      </w:pPr>
      <w:r>
        <w:t xml:space="preserve">The first functional subsystem is the</w:t>
      </w:r>
      <w:r>
        <w:t xml:space="preserve"> </w:t>
      </w:r>
      <w:r>
        <w:rPr>
          <w:b/>
          <w:bCs/>
        </w:rPr>
        <w:t xml:space="preserve">Create Smart Consent Contract</w:t>
      </w:r>
      <w:r>
        <w:t xml:space="preserve"> </w:t>
      </w:r>
      <w:r>
        <w:t xml:space="preserve">module. This module represents the patient-side initiation of a consent transaction and corresponds directly to the construction of the proposed consent object.</w:t>
      </w:r>
    </w:p>
    <w:p>
      <w:pPr>
        <w:pStyle w:val="BodyText"/>
      </w:pPr>
      <w:r>
        <w:t xml:space="preserve">The subsystem requires the patient to specify the</w:t>
      </w:r>
      <w:r>
        <w:t xml:space="preserve"> </w:t>
      </w:r>
      <w:r>
        <w:rPr>
          <w:b/>
          <w:bCs/>
        </w:rPr>
        <w:t xml:space="preserve">Patient DID</w:t>
      </w:r>
      <w:r>
        <w:t xml:space="preserve">,</w:t>
      </w:r>
      <w:r>
        <w:t xml:space="preserve"> </w:t>
      </w:r>
      <w:r>
        <w:rPr>
          <w:b/>
          <w:bCs/>
        </w:rPr>
        <w:t xml:space="preserve">Authorised Doctor DID</w:t>
      </w:r>
      <w:r>
        <w:t xml:space="preserve">,</w:t>
      </w:r>
      <w:r>
        <w:t xml:space="preserve"> </w:t>
      </w:r>
      <w:r>
        <w:rPr>
          <w:b/>
          <w:bCs/>
        </w:rPr>
        <w:t xml:space="preserve">Data Access Scope</w:t>
      </w:r>
      <w:r>
        <w:t xml:space="preserve">,</w:t>
      </w:r>
      <w:r>
        <w:t xml:space="preserve"> </w:t>
      </w:r>
      <w:r>
        <w:rPr>
          <w:b/>
          <w:bCs/>
        </w:rPr>
        <w:t xml:space="preserve">Designated Guardian DIDs</w:t>
      </w:r>
      <w:r>
        <w:t xml:space="preserve">, and the</w:t>
      </w:r>
      <w:r>
        <w:t xml:space="preserve"> </w:t>
      </w:r>
      <w:r>
        <w:rPr>
          <w:b/>
          <w:bCs/>
        </w:rPr>
        <w:t xml:space="preserve">temporal validity of the consent</w:t>
      </w:r>
      <w:r>
        <w:t xml:space="preserve">. These fields collectively operationalise the proposed consent representation:</w:t>
      </w:r>
    </w:p>
    <w:p>
      <w:pPr>
        <w:pStyle w:val="BodyText"/>
      </w:pPr>
      <m:oMathPara>
        <m:oMathParaPr>
          <m:jc m:val="center"/>
        </m:oMathParaPr>
        <m:oMath>
          <m:r>
            <m:t>C</m:t>
          </m:r>
          <m:r>
            <m:rPr>
              <m:sty m:val="p"/>
            </m:rPr>
            <m:t>=</m:t>
          </m:r>
          <m:d>
            <m:dPr>
              <m:begChr m:val="("/>
              <m:sepChr m:val=""/>
              <m:endChr m:val=")"/>
              <m:grow/>
            </m:dPr>
            <m:e>
              <m:r>
                <m:t>I</m:t>
              </m:r>
              <m:r>
                <m:rPr>
                  <m:sty m:val="p"/>
                </m:rPr>
                <m:t>,</m:t>
              </m:r>
              <m:r>
                <m:t>A</m:t>
              </m:r>
              <m:r>
                <m:rPr>
                  <m:sty m:val="p"/>
                </m:rPr>
                <m:t>,</m:t>
              </m:r>
              <m:r>
                <m:t>P</m:t>
              </m:r>
              <m:r>
                <m:rPr>
                  <m:sty m:val="p"/>
                </m:rPr>
                <m:t>,</m:t>
              </m:r>
              <m:r>
                <m:t>T</m:t>
              </m:r>
              <m:r>
                <m:rPr>
                  <m:sty m:val="p"/>
                </m:rPr>
                <m:t>,</m:t>
              </m:r>
              <m:r>
                <m:t>L</m:t>
              </m:r>
              <m:r>
                <m:rPr>
                  <m:sty m:val="p"/>
                </m:rPr>
                <m:t>,</m:t>
              </m:r>
              <m:r>
                <m:t>E</m:t>
              </m:r>
            </m:e>
          </m:d>
        </m:oMath>
      </m:oMathPara>
    </w:p>
    <w:p>
      <w:pPr>
        <w:pStyle w:val="FirstParagraph"/>
      </w:pPr>
      <w: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p>
      <w:pPr>
        <w:pStyle w:val="CaptionedFigure"/>
      </w:pPr>
      <w:r>
        <w:drawing>
          <wp:inline>
            <wp:extent cx="5486400" cy="6788257"/>
            <wp:effectExtent b="0" l="0" r="0" t="0"/>
            <wp:docPr descr="Figure 7.1: HALAH patient subsystem – Create Smart Consent Contract" title="" id="138" name="Picture"/>
            <a:graphic>
              <a:graphicData uri="http://schemas.openxmlformats.org/drawingml/2006/picture">
                <pic:pic>
                  <pic:nvPicPr>
                    <pic:cNvPr descr="halah_media/media/image1.png" id="139" name="Picture"/>
                    <pic:cNvPicPr>
                      <a:picLocks noChangeArrowheads="1" noChangeAspect="1"/>
                    </pic:cNvPicPr>
                  </pic:nvPicPr>
                  <pic:blipFill>
                    <a:blip r:embed="rId137"/>
                    <a:stretch>
                      <a:fillRect/>
                    </a:stretch>
                  </pic:blipFill>
                  <pic:spPr bwMode="auto">
                    <a:xfrm>
                      <a:off x="0" y="0"/>
                      <a:ext cx="5486400" cy="6788257"/>
                    </a:xfrm>
                    <a:prstGeom prst="rect">
                      <a:avLst/>
                    </a:prstGeom>
                    <a:noFill/>
                    <a:ln w="9525">
                      <a:noFill/>
                      <a:headEnd/>
                      <a:tailEnd/>
                    </a:ln>
                  </pic:spPr>
                </pic:pic>
              </a:graphicData>
            </a:graphic>
          </wp:inline>
        </w:drawing>
      </w:r>
    </w:p>
    <w:p>
      <w:pPr>
        <w:pStyle w:val="ImageCaption"/>
      </w:pPr>
      <w:r>
        <w:t xml:space="preserve">Figure 7.1: HALAH patient subsystem – Create Smart Consent Contract</w:t>
      </w:r>
    </w:p>
    <w:p>
      <w:pPr>
        <w:pStyle w:val="BodyText"/>
      </w:pPr>
      <w:r>
        <w:t xml:space="preserve">As shown in the figure above, the</w:t>
      </w:r>
      <w:r>
        <w:t xml:space="preserve"> </w:t>
      </w:r>
      <w:r>
        <w:rPr>
          <w:b/>
          <w:bCs/>
        </w:rPr>
        <w:t xml:space="preserve">Patient DID</w:t>
      </w:r>
      <w:r>
        <w:t xml:space="preserve"> </w:t>
      </w:r>
      <w:r>
        <w:t xml:space="preserve">provides the identity pointer for the data subject, while the</w:t>
      </w:r>
      <w:r>
        <w:t xml:space="preserve"> </w:t>
      </w:r>
      <w:r>
        <w:rPr>
          <w:b/>
          <w:bCs/>
        </w:rPr>
        <w:t xml:space="preserve">Authorised Doctor DID</w:t>
      </w:r>
      <w:r>
        <w:t xml:space="preserve"> </w:t>
      </w:r>
      <w: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t xml:space="preserve"> </w:t>
      </w:r>
      <w:r>
        <w:rPr>
          <w:b/>
          <w:bCs/>
        </w:rPr>
        <w:t xml:space="preserve">subject-specific and actor-specific access control</w:t>
      </w:r>
      <w:r>
        <w:t xml:space="preserve">.</w:t>
      </w:r>
    </w:p>
    <w:p>
      <w:pPr>
        <w:pStyle w:val="BodyText"/>
      </w:pPr>
      <w:r>
        <w:t xml:space="preserve">The</w:t>
      </w:r>
      <w:r>
        <w:t xml:space="preserve"> </w:t>
      </w:r>
      <w:r>
        <w:rPr>
          <w:b/>
          <w:bCs/>
        </w:rPr>
        <w:t xml:space="preserve">Data Access Scope</w:t>
      </w:r>
      <w:r>
        <w:t xml:space="preserve"> </w:t>
      </w:r>
      <w:r>
        <w:t xml:space="preserve">is particularly important to the proposed framework. Instead of granting access to the complete EMR, the patient can select particular modules, such as medication or procedure information. This implements the principle of</w:t>
      </w:r>
      <w:r>
        <w:t xml:space="preserve"> </w:t>
      </w:r>
      <w:r>
        <w:rPr>
          <w:b/>
          <w:bCs/>
        </w:rPr>
        <w:t xml:space="preserve">purpose- and scope-limited consent</w:t>
      </w:r>
      <w:r>
        <w:t xml:space="preserve"> </w:t>
      </w:r>
      <w:r>
        <w:t xml:space="preserve">and corresponds to the</w:t>
      </w:r>
      <w:r>
        <w:t xml:space="preserve"> </w:t>
      </w:r>
      <m:oMath>
        <m:r>
          <m:t>P</m:t>
        </m:r>
      </m:oMath>
      <w:r>
        <w:t xml:space="preserve"> </w:t>
      </w:r>
      <w:r>
        <w:t xml:space="preserve">component of the consent object.</w:t>
      </w:r>
    </w:p>
    <w:p>
      <w:pPr>
        <w:pStyle w:val="BodyText"/>
      </w:pPr>
      <w:r>
        <w:t xml:space="preserve">The</w:t>
      </w:r>
      <w:r>
        <w:t xml:space="preserve"> </w:t>
      </w:r>
      <w:r>
        <w:rPr>
          <w:b/>
          <w:bCs/>
        </w:rPr>
        <w:t xml:space="preserve">Designated Guardian DIDs</w:t>
      </w:r>
      <w:r>
        <w:t xml:space="preserve"> </w:t>
      </w:r>
      <w: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BodyText"/>
      </w:pPr>
      <w:r>
        <w:t xml:space="preserve">Finally, the</w:t>
      </w:r>
      <w:r>
        <w:t xml:space="preserve"> </w:t>
      </w:r>
      <w:r>
        <w:rPr>
          <w:b/>
          <w:bCs/>
        </w:rPr>
        <w:t xml:space="preserve">Start Time</w:t>
      </w:r>
      <w:r>
        <w:t xml:space="preserve"> </w:t>
      </w:r>
      <w:r>
        <w:t xml:space="preserve">and</w:t>
      </w:r>
      <w:r>
        <w:t xml:space="preserve"> </w:t>
      </w:r>
      <w:r>
        <w:rPr>
          <w:b/>
          <w:bCs/>
        </w:rPr>
        <w:t xml:space="preserve">Expiry Time</w:t>
      </w:r>
      <w:r>
        <w:t xml:space="preserve"> </w:t>
      </w:r>
      <w: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BodyText"/>
      </w:pPr>
      <w:r>
        <w:t xml:space="preserve">From a system perspective, this module therefore corresponds primarily to</w:t>
      </w:r>
      <w:r>
        <w:t xml:space="preserve"> </w:t>
      </w:r>
      <w:r>
        <w:rPr>
          <w:b/>
          <w:bCs/>
        </w:rPr>
        <w:t xml:space="preserve">Consent Object Construction and Patient Initiation</w:t>
      </w:r>
      <w:r>
        <w:t xml:space="preserve">.</w:t>
      </w:r>
    </w:p>
    <w:bookmarkEnd w:id="140"/>
    <w:bookmarkStart w:id="144" w:name="guardian-cryptographic-approval"/>
    <w:p>
      <w:pPr>
        <w:pStyle w:val="Heading2"/>
      </w:pPr>
      <w:r>
        <w:t xml:space="preserve">7.3 Guardian Cryptographic Approval</w:t>
      </w:r>
    </w:p>
    <w:p>
      <w:pPr>
        <w:pStyle w:val="FirstParagraph"/>
      </w:pPr>
      <w:r>
        <w:t xml:space="preserve">The second part is the</w:t>
      </w:r>
      <w:r>
        <w:t xml:space="preserve"> </w:t>
      </w:r>
      <w:r>
        <w:rPr>
          <w:b/>
          <w:bCs/>
        </w:rPr>
        <w:t xml:space="preserve">Guardian Cryptographic Approval</w:t>
      </w:r>
      <w:r>
        <w:t xml:space="preserve">. As shown in the figure below, it operationalises the multi-party authorisation component of the proposed framework.</w:t>
      </w:r>
    </w:p>
    <w:p>
      <w:pPr>
        <w:pStyle w:val="CaptionedFigure"/>
      </w:pPr>
      <w:r>
        <w:drawing>
          <wp:inline>
            <wp:extent cx="5486400" cy="7052920"/>
            <wp:effectExtent b="0" l="0" r="0" t="0"/>
            <wp:docPr descr="Figure 7.2: HALAH guardian subsystem – Guardian Cryptographic Approval" title="" id="142" name="Picture"/>
            <a:graphic>
              <a:graphicData uri="http://schemas.openxmlformats.org/drawingml/2006/picture">
                <pic:pic>
                  <pic:nvPicPr>
                    <pic:cNvPr descr="halah_media/media/image2.png" id="143" name="Picture"/>
                    <pic:cNvPicPr>
                      <a:picLocks noChangeArrowheads="1" noChangeAspect="1"/>
                    </pic:cNvPicPr>
                  </pic:nvPicPr>
                  <pic:blipFill>
                    <a:blip r:embed="rId141"/>
                    <a:stretch>
                      <a:fillRect/>
                    </a:stretch>
                  </pic:blipFill>
                  <pic:spPr bwMode="auto">
                    <a:xfrm>
                      <a:off x="0" y="0"/>
                      <a:ext cx="5486400" cy="7052920"/>
                    </a:xfrm>
                    <a:prstGeom prst="rect">
                      <a:avLst/>
                    </a:prstGeom>
                    <a:noFill/>
                    <a:ln w="9525">
                      <a:noFill/>
                      <a:headEnd/>
                      <a:tailEnd/>
                    </a:ln>
                  </pic:spPr>
                </pic:pic>
              </a:graphicData>
            </a:graphic>
          </wp:inline>
        </w:drawing>
      </w:r>
    </w:p>
    <w:p>
      <w:pPr>
        <w:pStyle w:val="ImageCaption"/>
      </w:pPr>
      <w:r>
        <w:t xml:space="preserve">Figure 7.2: HALAH guardian subsystem – Guardian Cryptographic Approval</w:t>
      </w:r>
    </w:p>
    <w:p>
      <w:pPr>
        <w:pStyle w:val="BodyText"/>
      </w:pPr>
      <w:r>
        <w:t xml:space="preserve">The guardian first enters the target</w:t>
      </w:r>
      <w:r>
        <w:t xml:space="preserve"> </w:t>
      </w:r>
      <w:r>
        <w:rPr>
          <w:b/>
          <w:bCs/>
        </w:rPr>
        <w:t xml:space="preserve">Consent ID</w:t>
      </w:r>
      <w:r>
        <w:t xml:space="preserve">, after which the system retrieves the corresponding active transaction and displays the associated patient DID. The guardian then selects and verifies their own Guardian DID identity.</w:t>
      </w:r>
    </w:p>
    <w:p>
      <w:pPr>
        <w:pStyle w:val="BodyText"/>
      </w:pPr>
      <w:r>
        <w:t xml:space="preserve">The subsystem subsequently reports:</w:t>
      </w:r>
    </w:p>
    <w:p>
      <w:pPr>
        <w:pStyle w:val="BodyText"/>
      </w:pPr>
      <w:r>
        <w:t xml:space="preserve">Identity verified. Multi-sig added: (2/2)</w:t>
      </w:r>
    </w:p>
    <w:p>
      <w:pPr>
        <w:pStyle w:val="BodyText"/>
      </w:pPr>
      <w:r>
        <w:t xml:space="preserve">This is an important implementation-level demonstration because the consent is not activated merely because the patient created it. Instead, the system requires the predefined guardian approval condition to be satisfied.</w:t>
      </w:r>
    </w:p>
    <w:p>
      <w:pPr>
        <w:pStyle w:val="BodyText"/>
      </w:pPr>
      <w:r>
        <w:t xml:space="preserve">The implementation therefore implements the logical authorisation rule:</w:t>
      </w:r>
    </w:p>
    <w:p>
      <w:pPr>
        <w:pStyle w:val="BodyText"/>
      </w:pPr>
      <m:oMathPara>
        <m:oMathParaPr>
          <m:jc m:val="center"/>
        </m:oMathParaPr>
        <m:oMath>
          <m:r>
            <m:t>D</m:t>
          </m:r>
          <m:r>
            <m:t>e</m:t>
          </m:r>
          <m:r>
            <m:t>c</m:t>
          </m:r>
          <m:r>
            <m:t>i</m:t>
          </m:r>
          <m:r>
            <m:t>s</m:t>
          </m:r>
          <m:r>
            <m:t>i</m:t>
          </m:r>
          <m:r>
            <m:t>o</m:t>
          </m:r>
          <m:r>
            <m:t>n</m:t>
          </m:r>
          <m:r>
            <m:rPr>
              <m:sty m:val="p"/>
            </m:rPr>
            <m:t>=</m:t>
          </m:r>
          <m:sSub>
            <m:e>
              <m:r>
                <m:t>V</m:t>
              </m:r>
            </m:e>
            <m:sub>
              <m:r>
                <m:t>I</m:t>
              </m:r>
            </m:sub>
          </m:sSub>
          <m:r>
            <m:rPr>
              <m:sty m:val="p"/>
            </m:rPr>
            <m:t>∧</m:t>
          </m:r>
          <m:sSub>
            <m:e>
              <m:r>
                <m:t>V</m:t>
              </m:r>
            </m:e>
            <m:sub>
              <m:r>
                <m:t>A</m:t>
              </m:r>
            </m:sub>
          </m:sSub>
          <m:r>
            <m:rPr>
              <m:sty m:val="p"/>
            </m:rPr>
            <m:t>∧</m:t>
          </m:r>
          <m:sSub>
            <m:e>
              <m:r>
                <m:t>V</m:t>
              </m:r>
            </m:e>
            <m:sub>
              <m:r>
                <m:t>P</m:t>
              </m:r>
            </m:sub>
          </m:sSub>
        </m:oMath>
      </m:oMathPara>
    </w:p>
    <w:p>
      <w:pPr>
        <w:pStyle w:val="FirstParagraph"/>
      </w:pPr>
      <w:r>
        <w:t xml:space="preserve">where identity verification, authorisation verification, and permission/scope verification must all be satisfied before access can be granted.</w:t>
      </w:r>
    </w:p>
    <w:p>
      <w:pPr>
        <w:pStyle w:val="BodyText"/>
      </w:pPr>
      <w:r>
        <w:t xml:space="preserve">For the demonstrated two-party guardian configuration, the approval process can also be represented as:</w:t>
      </w:r>
    </w:p>
    <w:p>
      <w:pPr>
        <w:pStyle w:val="BodyText"/>
      </w:pPr>
      <m:oMathPara>
        <m:oMathParaPr>
          <m:jc m:val="center"/>
        </m:oMathParaPr>
        <m:oMath>
          <m:nary>
            <m:naryPr>
              <m:chr m:val="∑"/>
              <m:limLoc m:val="undOvr"/>
              <m:subHide m:val="off"/>
              <m:supHide m:val="on"/>
            </m:naryPr>
            <m:sub>
              <m:r>
                <m:t>g</m:t>
              </m:r>
              <m:r>
                <m:rPr>
                  <m:sty m:val="p"/>
                </m:rPr>
                <m:t>∈</m:t>
              </m:r>
              <m:r>
                <m:t>G</m:t>
              </m:r>
            </m:sub>
            <m:sup>
              <m:r>
                <m:t>​</m:t>
              </m:r>
            </m:sup>
            <m:e>
              <m:r>
                <m:t>S</m:t>
              </m:r>
            </m:e>
          </m:nary>
          <m:r>
            <m:t>i</m:t>
          </m:r>
          <m:r>
            <m:t>g</m:t>
          </m:r>
          <m:r>
            <m:t>n</m:t>
          </m:r>
          <m:d>
            <m:dPr>
              <m:begChr m:val="("/>
              <m:sepChr m:val=""/>
              <m:endChr m:val=")"/>
              <m:grow/>
            </m:dPr>
            <m:e>
              <m:r>
                <m:t>g</m:t>
              </m:r>
              <m:r>
                <m:rPr>
                  <m:sty m:val="p"/>
                </m:rPr>
                <m:t>,</m:t>
              </m:r>
              <m:r>
                <m:t>C</m:t>
              </m:r>
            </m:e>
          </m:d>
          <m:r>
            <m:rPr>
              <m:sty m:val="p"/>
            </m:rPr>
            <m:t>≥</m:t>
          </m:r>
          <m:r>
            <m:t>2</m:t>
          </m:r>
        </m:oMath>
      </m:oMathPara>
    </w:p>
    <w:p>
      <w:pPr>
        <w:pStyle w:val="FirstParagraph"/>
      </w:pPr>
      <w:r>
        <w:t xml:space="preserve">where</w:t>
      </w:r>
      <w:r>
        <w:t xml:space="preserve"> </w:t>
      </w:r>
      <m:oMath>
        <m:r>
          <m:t>G</m:t>
        </m:r>
      </m:oMath>
      <w:r>
        <w:t xml:space="preserve"> </w:t>
      </w:r>
      <w:r>
        <w:t xml:space="preserve">represents the designated guardians and two valid signatures are required for activation. Once the required signatures have been obtained, the subsystem displays</w:t>
      </w:r>
      <w:r>
        <w:t xml:space="preserve"> </w:t>
      </w:r>
      <w:r>
        <w:rPr>
          <w:b/>
          <w:bCs/>
        </w:rPr>
        <w:t xml:space="preserve">SBT MINTED SUCCESS</w:t>
      </w:r>
      <w:r>
        <w:t xml:space="preserve"> </w:t>
      </w:r>
      <w:r>
        <w:t xml:space="preserve">together with the Soulbound Token identifier and the status as Consent Fully Activated. This provides a visible representation of the transition from a</w:t>
      </w:r>
      <w:r>
        <w:t xml:space="preserve"> </w:t>
      </w:r>
      <w:r>
        <w:rPr>
          <w:b/>
          <w:bCs/>
        </w:rPr>
        <w:t xml:space="preserve">pending consent transaction</w:t>
      </w:r>
      <w:r>
        <w:t xml:space="preserve"> </w:t>
      </w:r>
      <w:r>
        <w:t xml:space="preserve">to an</w:t>
      </w:r>
      <w:r>
        <w:t xml:space="preserve"> </w:t>
      </w:r>
      <w:r>
        <w:rPr>
          <w:b/>
          <w:bCs/>
        </w:rPr>
        <w:t xml:space="preserve">activated consent state</w:t>
      </w:r>
      <w:r>
        <w:t xml:space="preserve">. The SBT therefore functions in the implementation as a persistent cryptographic representation of the completed consent authorisation rather than as a transferable asset.</w:t>
      </w:r>
    </w:p>
    <w:p>
      <w:pPr>
        <w:pStyle w:val="BodyText"/>
      </w:pPr>
      <w:r>
        <w:t xml:space="preserve">The guardian subsystem consequently corresponds to</w:t>
      </w:r>
      <w:r>
        <w:t xml:space="preserve"> </w:t>
      </w:r>
      <w:r>
        <w:rPr>
          <w:b/>
          <w:bCs/>
        </w:rPr>
        <w:t xml:space="preserve">Multi-Party Approval, Cryptographic Verification and Consent Activation</w:t>
      </w:r>
      <w:r>
        <w:t xml:space="preserve"> </w:t>
      </w:r>
      <w:r>
        <w:t xml:space="preserve">in the proposed architecture.</w:t>
      </w:r>
    </w:p>
    <w:bookmarkEnd w:id="144"/>
    <w:bookmarkStart w:id="151" w:name="secure-patient-data-access-for-doctor"/>
    <w:p>
      <w:pPr>
        <w:pStyle w:val="Heading2"/>
      </w:pPr>
      <w:r>
        <w:t xml:space="preserve">7.4 Secure Patient Data Access for Doctor</w:t>
      </w:r>
    </w:p>
    <w:p>
      <w:pPr>
        <w:pStyle w:val="FirstParagraph"/>
      </w:pPr>
      <w:r>
        <w:t xml:space="preserve">The third module is the</w:t>
      </w:r>
      <w:r>
        <w:t xml:space="preserve"> </w:t>
      </w:r>
      <w:r>
        <w:rPr>
          <w:b/>
          <w:bCs/>
        </w:rPr>
        <w:t xml:space="preserve">Secure Patient Data Access</w:t>
      </w:r>
      <w:r>
        <w:t xml:space="preserve"> </w:t>
      </w:r>
      <w:r>
        <w:t xml:space="preserve">module and represents the healthcare-provider side of the authorisation process.</w:t>
      </w:r>
    </w:p>
    <w:p>
      <w:pPr>
        <w:pStyle w:val="BodyText"/>
      </w:pPr>
      <w:r>
        <w:t xml:space="preserve">The doctor enters an authorised Consent ID, after which the system retrieves and displays the associated consent information. The subsystem shows the patient DID, Consent ID, purpose, and current consent state:</w:t>
      </w:r>
    </w:p>
    <w:p>
      <w:pPr>
        <w:pStyle w:val="BodyText"/>
      </w:pPr>
      <m:oMathPara>
        <m:oMathParaPr>
          <m:jc m:val="center"/>
        </m:oMathParaPr>
        <m:oMath>
          <m:r>
            <m:t>S</m:t>
          </m:r>
          <m:r>
            <m:t>t</m:t>
          </m:r>
          <m:r>
            <m:t>a</m:t>
          </m:r>
          <m:r>
            <m:t>t</m:t>
          </m:r>
          <m:r>
            <m:t>e</m:t>
          </m:r>
          <m:r>
            <m:rPr>
              <m:sty m:val="p"/>
            </m:rPr>
            <m:t>=</m:t>
          </m:r>
          <m:r>
            <m:t>A</m:t>
          </m:r>
          <m:r>
            <m:t>C</m:t>
          </m:r>
          <m:r>
            <m:t>T</m:t>
          </m:r>
          <m:r>
            <m:t>I</m:t>
          </m:r>
          <m:r>
            <m:t>V</m:t>
          </m:r>
          <m:r>
            <m:t>E</m:t>
          </m:r>
        </m:oMath>
      </m:oMathPara>
    </w:p>
    <w:p>
      <w:pPr>
        <w:pStyle w:val="FirstParagraph"/>
      </w:pPr>
      <w:r>
        <w:t xml:space="preserve">This is important because the doctor does not directly access patient data based solely on possession of a Consent ID. The system first evaluates whether the underlying authorisation remains valid.</w:t>
      </w:r>
    </w:p>
    <w:p>
      <w:pPr>
        <w:pStyle w:val="CaptionedFigure"/>
      </w:pPr>
      <w:r>
        <w:drawing>
          <wp:inline>
            <wp:extent cx="4855464" cy="7678849"/>
            <wp:effectExtent b="0" l="0" r="0" t="0"/>
            <wp:docPr descr="Figure 7.3: HALAH doctor subsystem – consent information, state and authorised data scope" title="" id="146" name="Picture"/>
            <a:graphic>
              <a:graphicData uri="http://schemas.openxmlformats.org/drawingml/2006/picture">
                <pic:pic>
                  <pic:nvPicPr>
                    <pic:cNvPr descr="halah_media/media/image3.png" id="147" name="Picture"/>
                    <pic:cNvPicPr>
                      <a:picLocks noChangeArrowheads="1" noChangeAspect="1"/>
                    </pic:cNvPicPr>
                  </pic:nvPicPr>
                  <pic:blipFill>
                    <a:blip r:embed="rId145"/>
                    <a:stretch>
                      <a:fillRect/>
                    </a:stretch>
                  </pic:blipFill>
                  <pic:spPr bwMode="auto">
                    <a:xfrm>
                      <a:off x="0" y="0"/>
                      <a:ext cx="4855464" cy="7678849"/>
                    </a:xfrm>
                    <a:prstGeom prst="rect">
                      <a:avLst/>
                    </a:prstGeom>
                    <a:noFill/>
                    <a:ln w="9525">
                      <a:noFill/>
                      <a:headEnd/>
                      <a:tailEnd/>
                    </a:ln>
                  </pic:spPr>
                </pic:pic>
              </a:graphicData>
            </a:graphic>
          </wp:inline>
        </w:drawing>
      </w:r>
    </w:p>
    <w:p>
      <w:pPr>
        <w:pStyle w:val="ImageCaption"/>
      </w:pPr>
      <w:r>
        <w:t xml:space="preserve">Figure 7.3: HALAH doctor subsystem – consent information, state and authorised data scope</w:t>
      </w:r>
    </w:p>
    <w:p>
      <w:pPr>
        <w:pStyle w:val="BodyText"/>
      </w:pPr>
      <w:r>
        <w:t xml:space="preserve">The subsystem then presents the</w:t>
      </w:r>
      <w:r>
        <w:t xml:space="preserve"> </w:t>
      </w:r>
      <w:r>
        <w:rPr>
          <w:b/>
          <w:bCs/>
        </w:rPr>
        <w:t xml:space="preserve">Authorised Data Scope</w:t>
      </w:r>
      <w:r>
        <w:t xml:space="preserve">, showing that only the EMR modules specified in the original consent are available. In the demonstrated transaction, the authorised modules are:</w:t>
      </w:r>
    </w:p>
    <w:p>
      <w:pPr>
        <w:pStyle w:val="BodyText"/>
      </w:pPr>
      <m:oMathPara>
        <m:oMathParaPr>
          <m:jc m:val="center"/>
        </m:oMathParaPr>
        <m:oMath>
          <m:r>
            <m:t>S</m:t>
          </m:r>
          <m:r>
            <m:t>c</m:t>
          </m:r>
          <m:r>
            <m:t>o</m:t>
          </m:r>
          <m:r>
            <m:t>p</m:t>
          </m:r>
          <m:r>
            <m:t>e</m:t>
          </m:r>
          <m:r>
            <m:rPr>
              <m:sty m:val="p"/>
            </m:rPr>
            <m:t>=</m:t>
          </m:r>
          <m:d>
            <m:dPr>
              <m:begChr m:val="{"/>
              <m:sepChr m:val=""/>
              <m:endChr m:val="}"/>
              <m:grow/>
            </m:dPr>
            <m:e>
              <m:r>
                <m:rPr>
                  <m:nor/>
                </m:rPr>
                <m:t>Medication</m:t>
              </m:r>
              <m:r>
                <m:rPr>
                  <m:sty m:val="p"/>
                </m:rPr>
                <m:t>,</m:t>
              </m:r>
              <m:r>
                <m:rPr>
                  <m:nor/>
                </m:rPr>
                <m:t>Procedure</m:t>
              </m:r>
            </m:e>
          </m:d>
        </m:oMath>
      </m:oMathPara>
    </w:p>
    <w:p>
      <w:pPr>
        <w:pStyle w:val="FirstParagraph"/>
      </w:pPr>
      <w:r>
        <w:t xml:space="preserve">The doctor must subsequently select the modules to request. The system displays the requested modules and performs cryptographic verification before granting access. In version 1 the</w:t>
      </w:r>
      <w:r>
        <w:t xml:space="preserve"> </w:t>
      </w:r>
      <w:r>
        <w:rPr>
          <w:i/>
          <w:iCs/>
        </w:rPr>
        <w:t xml:space="preserve">Request Data Access</w:t>
      </w:r>
      <w:r>
        <w:t xml:space="preserve"> </w:t>
      </w:r>
      <w:r>
        <w:t xml:space="preserve">button in Figure 7.4 invokes this verification step; the integrity proof is a placeholder until the zero-knowledge circuit is built (Section 7.13).</w:t>
      </w:r>
    </w:p>
    <w:p>
      <w:pPr>
        <w:pStyle w:val="BodyText"/>
      </w:pPr>
      <w:r>
        <w:t xml:space="preserve">The message shows Cryptographic Verification Successful — Access Granted.</w:t>
      </w:r>
    </w:p>
    <w:p>
      <w:pPr>
        <w:pStyle w:val="BodyText"/>
      </w:pPr>
      <w:r>
        <w:t xml:space="preserve">This demonstrates the transition from</w:t>
      </w:r>
      <w:r>
        <w:t xml:space="preserve"> </w:t>
      </w:r>
      <w:r>
        <w:rPr>
          <w:b/>
          <w:bCs/>
        </w:rPr>
        <w:t xml:space="preserve">consent verification</w:t>
      </w:r>
      <w:r>
        <w:t xml:space="preserve"> </w:t>
      </w:r>
      <w:r>
        <w:t xml:space="preserve">to</w:t>
      </w:r>
      <w:r>
        <w:t xml:space="preserve"> </w:t>
      </w:r>
      <w:r>
        <w:rPr>
          <w:b/>
          <w:bCs/>
        </w:rPr>
        <w:t xml:space="preserve">data-access authorisation</w:t>
      </w:r>
      <w:r>
        <w:t xml:space="preserve">.</w:t>
      </w:r>
    </w:p>
    <w:p>
      <w:pPr>
        <w:pStyle w:val="CaptionedFigure"/>
      </w:pPr>
      <w:r>
        <w:drawing>
          <wp:inline>
            <wp:extent cx="5486400" cy="3343220"/>
            <wp:effectExtent b="0" l="0" r="0" t="0"/>
            <wp:docPr descr="Figure 7.4: HALAH doctor subsystem – requested modules, access decision and authorised medical records" title="" id="149" name="Picture"/>
            <a:graphic>
              <a:graphicData uri="http://schemas.openxmlformats.org/drawingml/2006/picture">
                <pic:pic>
                  <pic:nvPicPr>
                    <pic:cNvPr descr="halah_media/media/image4.png" id="150" name="Picture"/>
                    <pic:cNvPicPr>
                      <a:picLocks noChangeArrowheads="1" noChangeAspect="1"/>
                    </pic:cNvPicPr>
                  </pic:nvPicPr>
                  <pic:blipFill>
                    <a:blip r:embed="rId148"/>
                    <a:stretch>
                      <a:fillRect/>
                    </a:stretch>
                  </pic:blipFill>
                  <pic:spPr bwMode="auto">
                    <a:xfrm>
                      <a:off x="0" y="0"/>
                      <a:ext cx="5486400" cy="3343220"/>
                    </a:xfrm>
                    <a:prstGeom prst="rect">
                      <a:avLst/>
                    </a:prstGeom>
                    <a:noFill/>
                    <a:ln w="9525">
                      <a:noFill/>
                      <a:headEnd/>
                      <a:tailEnd/>
                    </a:ln>
                  </pic:spPr>
                </pic:pic>
              </a:graphicData>
            </a:graphic>
          </wp:inline>
        </w:drawing>
      </w:r>
    </w:p>
    <w:p>
      <w:pPr>
        <w:pStyle w:val="ImageCaption"/>
      </w:pPr>
      <w:r>
        <w:t xml:space="preserve">Figure 7.4: HALAH doctor subsystem – requested modules, access decision and authorised medical records</w:t>
      </w:r>
    </w:p>
    <w:p>
      <w:pPr>
        <w:pStyle w:val="BodyText"/>
      </w:pPr>
      <w:r>
        <w:t xml:space="preserve">This distinction is central to the HALAH design. Consent and data access are not treated as identical events. Instead, the flow goes as below:</w:t>
      </w:r>
    </w:p>
    <w:p>
      <w:pPr>
        <w:pStyle w:val="BodyText"/>
      </w:pPr>
      <m:oMathPara>
        <m:oMathParaPr>
          <m:jc m:val="center"/>
        </m:oMathParaPr>
        <m:oMath>
          <m:r>
            <m:t>C</m:t>
          </m:r>
          <m:r>
            <m:t>o</m:t>
          </m:r>
          <m:r>
            <m:t>n</m:t>
          </m:r>
          <m:r>
            <m:t>s</m:t>
          </m:r>
          <m:r>
            <m:t>e</m:t>
          </m:r>
          <m:r>
            <m:t>n</m:t>
          </m:r>
          <m:r>
            <m:t>t</m:t>
          </m:r>
          <m:r>
            <m:rPr>
              <m:sty m:val="p"/>
            </m:rPr>
            <m:t>→</m:t>
          </m:r>
          <m:r>
            <m:t>V</m:t>
          </m:r>
          <m:r>
            <m:t>e</m:t>
          </m:r>
          <m:r>
            <m:t>r</m:t>
          </m:r>
          <m:r>
            <m:t>i</m:t>
          </m:r>
          <m:r>
            <m:t>f</m:t>
          </m:r>
          <m:r>
            <m:t>i</m:t>
          </m:r>
          <m:r>
            <m:t>c</m:t>
          </m:r>
          <m:r>
            <m:t>a</m:t>
          </m:r>
          <m:r>
            <m:t>t</m:t>
          </m:r>
          <m:r>
            <m:t>i</m:t>
          </m:r>
          <m:r>
            <m:t>o</m:t>
          </m:r>
          <m:r>
            <m:t>n</m:t>
          </m:r>
          <m:r>
            <m:rPr>
              <m:sty m:val="p"/>
            </m:rPr>
            <m:t>→</m:t>
          </m:r>
          <m:r>
            <m:t>A</m:t>
          </m:r>
          <m:r>
            <m:t>c</m:t>
          </m:r>
          <m:r>
            <m:t>c</m:t>
          </m:r>
          <m:r>
            <m:t>e</m:t>
          </m:r>
          <m:r>
            <m:t>s</m:t>
          </m:r>
          <m:r>
            <m:t>s</m:t>
          </m:r>
          <m:r>
            <m:t>D</m:t>
          </m:r>
          <m:r>
            <m:t>e</m:t>
          </m:r>
          <m:r>
            <m:t>c</m:t>
          </m:r>
          <m:r>
            <m:t>i</m:t>
          </m:r>
          <m:r>
            <m:t>s</m:t>
          </m:r>
          <m:r>
            <m:t>i</m:t>
          </m:r>
          <m:r>
            <m:t>o</m:t>
          </m:r>
          <m:r>
            <m:t>n</m:t>
          </m:r>
        </m:oMath>
      </m:oMathPara>
    </w:p>
    <w:p>
      <w:pPr>
        <w:pStyle w:val="FirstParagraph"/>
      </w:pPr>
      <w:r>
        <w:t xml:space="preserve">The doctor is therefore authorised only when the requested resources are consistent with the consent object and the consent remains active.</w:t>
      </w:r>
    </w:p>
    <w:p>
      <w:pPr>
        <w:pStyle w:val="BodyText"/>
      </w:pPr>
      <w:r>
        <w:t xml:space="preserve">The final</w:t>
      </w:r>
      <w:r>
        <w:t xml:space="preserve"> </w:t>
      </w:r>
      <w:r>
        <w:rPr>
          <w:b/>
          <w:bCs/>
        </w:rPr>
        <w:t xml:space="preserve">Authorised Medical Records</w:t>
      </w:r>
      <w:r>
        <w:t xml:space="preserve"> </w:t>
      </w:r>
      <w:r>
        <w:t xml:space="preserve">section presents the actual data modules available to the doctor. Because the subsystem separates MEDICATION and PROCEDURE modules, it provides a direct visual demonstration of</w:t>
      </w:r>
      <w:r>
        <w:t xml:space="preserve"> </w:t>
      </w:r>
      <w:r>
        <w:rPr>
          <w:b/>
          <w:bCs/>
        </w:rPr>
        <w:t xml:space="preserve">fine-grained EMR access control</w:t>
      </w:r>
      <w:r>
        <w:t xml:space="preserve">.</w:t>
      </w:r>
    </w:p>
    <w:p>
      <w:pPr>
        <w:pStyle w:val="BodyText"/>
      </w:pPr>
      <w:r>
        <w:t xml:space="preserve">Thus, the doctor subsystem corresponds to</w:t>
      </w:r>
      <w:r>
        <w:t xml:space="preserve"> </w:t>
      </w:r>
      <w:r>
        <w:rPr>
          <w:b/>
          <w:bCs/>
        </w:rPr>
        <w:t xml:space="preserve">Consent-State Validation, Scope Enforcement and Authorised Data Access</w:t>
      </w:r>
      <w:r>
        <w:t xml:space="preserve">.</w:t>
      </w:r>
    </w:p>
    <w:bookmarkEnd w:id="151"/>
    <w:bookmarkStart w:id="155" w:name="X57c96dacccf675fd0ab00cb69daa4402dc4878a"/>
    <w:p>
      <w:pPr>
        <w:pStyle w:val="Heading2"/>
      </w:pPr>
      <w:r>
        <w:t xml:space="preserve">7.5 Blockchain Audit &amp; Consent Lifecycle for Auditor</w:t>
      </w:r>
    </w:p>
    <w:p>
      <w:pPr>
        <w:pStyle w:val="FirstParagraph"/>
      </w:pPr>
      <w:r>
        <w:t xml:space="preserve">The fourth major module is the</w:t>
      </w:r>
      <w:r>
        <w:t xml:space="preserve"> </w:t>
      </w:r>
      <w:r>
        <w:rPr>
          <w:b/>
          <w:bCs/>
        </w:rPr>
        <w:t xml:space="preserve">Blockchain Audit &amp; Consent Lifecycle</w:t>
      </w:r>
      <w:r>
        <w:t xml:space="preserve"> </w:t>
      </w:r>
      <w:r>
        <w:t xml:space="preserve">module. This subsystem provides an independent view of the complete consent process and corresponds to the auditability and accountability component of the HALAH framework.</w:t>
      </w:r>
    </w:p>
    <w:p>
      <w:pPr>
        <w:pStyle w:val="CaptionedFigure"/>
      </w:pPr>
      <w:r>
        <w:drawing>
          <wp:inline>
            <wp:extent cx="5486400" cy="2386003"/>
            <wp:effectExtent b="0" l="0" r="0" t="0"/>
            <wp:docPr descr="Figure 7.5: HALAH auditor subsystem – Blockchain Audit &amp; Consent Lifecycle" title="" id="153" name="Picture"/>
            <a:graphic>
              <a:graphicData uri="http://schemas.openxmlformats.org/drawingml/2006/picture">
                <pic:pic>
                  <pic:nvPicPr>
                    <pic:cNvPr descr="halah_media/media/image5.png" id="154" name="Picture"/>
                    <pic:cNvPicPr>
                      <a:picLocks noChangeArrowheads="1" noChangeAspect="1"/>
                    </pic:cNvPicPr>
                  </pic:nvPicPr>
                  <pic:blipFill>
                    <a:blip r:embed="rId152"/>
                    <a:stretch>
                      <a:fillRect/>
                    </a:stretch>
                  </pic:blipFill>
                  <pic:spPr bwMode="auto">
                    <a:xfrm>
                      <a:off x="0" y="0"/>
                      <a:ext cx="5486400" cy="2386003"/>
                    </a:xfrm>
                    <a:prstGeom prst="rect">
                      <a:avLst/>
                    </a:prstGeom>
                    <a:noFill/>
                    <a:ln w="9525">
                      <a:noFill/>
                      <a:headEnd/>
                      <a:tailEnd/>
                    </a:ln>
                  </pic:spPr>
                </pic:pic>
              </a:graphicData>
            </a:graphic>
          </wp:inline>
        </w:drawing>
      </w:r>
    </w:p>
    <w:p>
      <w:pPr>
        <w:pStyle w:val="ImageCaption"/>
      </w:pPr>
      <w:r>
        <w:t xml:space="preserve">Figure 7.5: HALAH auditor subsystem – Blockchain Audit &amp; Consent Lifecycle</w:t>
      </w:r>
    </w:p>
    <w:p>
      <w:pPr>
        <w:pStyle w:val="BodyText"/>
      </w:pPr>
      <w:r>
        <w:t xml:space="preserve">As shown in the figure above, the system first provides aggregate indicators including:</w:t>
      </w:r>
    </w:p>
    <w:p>
      <w:pPr>
        <w:pStyle w:val="BodyText"/>
      </w:pPr>
      <m:oMathPara>
        <m:oMathParaPr>
          <m:jc m:val="center"/>
        </m:oMathParaPr>
        <m:oMath>
          <m:m>
            <m:mPr>
              <m:baseJc m:val="center"/>
              <m:plcHide m:val="on"/>
              <m:mcs>
                <m:mc>
                  <m:mcPr>
                    <m:count m:val="1"/>
                    <m:mcJc m:val="left"/>
                  </m:mcPr>
                </m:mc>
              </m:mcs>
            </m:mPr>
            <m:mr>
              <m:e>
                <m:r>
                  <m:rPr>
                    <m:nor/>
                  </m:rPr>
                  <m:t>Total Events</m:t>
                </m:r>
                <m:r>
                  <m:rPr>
                    <m:sty m:val="p"/>
                  </m:rPr>
                  <m:t>=</m:t>
                </m:r>
                <m:r>
                  <m:t>21</m:t>
                </m:r>
              </m:e>
            </m:mr>
            <m:mr>
              <m:e>
                <m:r>
                  <m:rPr>
                    <m:nor/>
                  </m:rPr>
                  <m:t>Consent Events</m:t>
                </m:r>
                <m:r>
                  <m:rPr>
                    <m:sty m:val="p"/>
                  </m:rPr>
                  <m:t>=</m:t>
                </m:r>
                <m:r>
                  <m:t>3</m:t>
                </m:r>
              </m:e>
            </m:mr>
            <m:mr>
              <m:e>
                <m:r>
                  <m:rPr>
                    <m:nor/>
                  </m:rPr>
                  <m:t>Access Requests</m:t>
                </m:r>
                <m:r>
                  <m:rPr>
                    <m:sty m:val="p"/>
                  </m:rPr>
                  <m:t>=</m:t>
                </m:r>
                <m:r>
                  <m:t>3</m:t>
                </m:r>
              </m:e>
            </m:mr>
          </m:m>
        </m:oMath>
      </m:oMathPara>
    </w:p>
    <w:p>
      <w:pPr>
        <w:pStyle w:val="FirstParagraph"/>
      </w:pPr>
      <w:r>
        <w:t xml:space="preserve">and:</w:t>
      </w:r>
    </w:p>
    <w:p>
      <w:pPr>
        <w:pStyle w:val="BodyText"/>
      </w:pPr>
      <m:oMathPara>
        <m:oMathParaPr>
          <m:jc m:val="center"/>
        </m:oMathParaPr>
        <m:oMath>
          <m:r>
            <m:rPr>
              <m:nor/>
            </m:rPr>
            <m:t>Blockchain Integrity</m:t>
          </m:r>
          <m:r>
            <m:rPr>
              <m:sty m:val="p"/>
            </m:rPr>
            <m:t>=</m:t>
          </m:r>
          <m:r>
            <m:rPr>
              <m:nor/>
            </m:rPr>
            <m:t>VERIFIED</m:t>
          </m:r>
        </m:oMath>
      </m:oMathPara>
    </w:p>
    <w:p>
      <w:pPr>
        <w:pStyle w:val="FirstParagraph"/>
      </w:pPr>
      <w:r>
        <w:t xml:space="preserve">These indicators give the auditor an immediate overview of the recorded system activity and the integrity status of the underlying ledger.</w:t>
      </w:r>
    </w:p>
    <w:p>
      <w:pPr>
        <w:pStyle w:val="BodyText"/>
      </w:pPr>
      <w:r>
        <w:t xml:space="preserve">More importantly, the</w:t>
      </w:r>
      <w:r>
        <w:t xml:space="preserve"> </w:t>
      </w:r>
      <w:r>
        <w:rPr>
          <w:b/>
          <w:bCs/>
        </w:rPr>
        <w:t xml:space="preserve">Consent Lifecycle</w:t>
      </w:r>
      <w:r>
        <w:t xml:space="preserve"> </w:t>
      </w:r>
      <w:r>
        <w:t xml:space="preserve">section reconstructs the sequence of events associated with a particular consent. The recorded events are</w:t>
      </w:r>
      <w:r>
        <w:t xml:space="preserve"> </w:t>
      </w:r>
      <m:oMath>
        <m:r>
          <m:t>C</m:t>
        </m:r>
        <m:r>
          <m:t>R</m:t>
        </m:r>
        <m:r>
          <m:t>E</m:t>
        </m:r>
        <m:r>
          <m:t>A</m:t>
        </m:r>
        <m:r>
          <m:t>T</m:t>
        </m:r>
        <m:r>
          <m:t>E</m:t>
        </m:r>
        <m:r>
          <m:rPr>
            <m:nor/>
          </m:rPr>
          <m:t>_</m:t>
        </m:r>
        <m:r>
          <m:t>C</m:t>
        </m:r>
        <m:r>
          <m:t>O</m:t>
        </m:r>
        <m:r>
          <m:t>N</m:t>
        </m:r>
        <m:r>
          <m:t>S</m:t>
        </m:r>
        <m:r>
          <m:t>E</m:t>
        </m:r>
        <m:r>
          <m:t>N</m:t>
        </m:r>
        <m:r>
          <m:t>T</m:t>
        </m:r>
      </m:oMath>
      <w:r>
        <w:t xml:space="preserve">, performed by the patient, followed by</w:t>
      </w:r>
      <w:r>
        <w:t xml:space="preserve"> </w:t>
      </w:r>
      <m:oMath>
        <m:r>
          <m:t>S</m:t>
        </m:r>
        <m:r>
          <m:t>I</m:t>
        </m:r>
        <m:r>
          <m:t>G</m:t>
        </m:r>
        <m:r>
          <m:t>N</m:t>
        </m:r>
        <m:r>
          <m:rPr>
            <m:nor/>
          </m:rPr>
          <m:t>_</m:t>
        </m:r>
        <m:r>
          <m:t>C</m:t>
        </m:r>
        <m:r>
          <m:t>O</m:t>
        </m:r>
        <m:r>
          <m:t>N</m:t>
        </m:r>
        <m:r>
          <m:t>S</m:t>
        </m:r>
        <m:r>
          <m:t>E</m:t>
        </m:r>
        <m:r>
          <m:t>N</m:t>
        </m:r>
        <m:r>
          <m:t>T</m:t>
        </m:r>
      </m:oMath>
      <w:r>
        <w:t xml:space="preserve">, performed by each guardian, and</w:t>
      </w:r>
      <w:r>
        <w:t xml:space="preserve"> </w:t>
      </w:r>
      <m:oMath>
        <m:r>
          <m:t>M</m:t>
        </m:r>
        <m:r>
          <m:t>I</m:t>
        </m:r>
        <m:r>
          <m:t>N</m:t>
        </m:r>
        <m:r>
          <m:t>T</m:t>
        </m:r>
        <m:r>
          <m:rPr>
            <m:nor/>
          </m:rPr>
          <m:t>_</m:t>
        </m:r>
        <m:r>
          <m:t>S</m:t>
        </m:r>
        <m:r>
          <m:t>B</m:t>
        </m:r>
        <m:r>
          <m:t>T</m:t>
        </m:r>
      </m:oMath>
      <w:r>
        <w:t xml:space="preserve">, performed by the smart contract. The subsequent system events,</w:t>
      </w:r>
      <w:r>
        <w:t xml:space="preserve"> </w:t>
      </w:r>
      <m:oMath>
        <m:r>
          <m:t>S</m:t>
        </m:r>
        <m:r>
          <m:t>T</m:t>
        </m:r>
        <m:r>
          <m:t>A</m:t>
        </m:r>
        <m:r>
          <m:t>T</m:t>
        </m:r>
        <m:r>
          <m:t>E</m:t>
        </m:r>
        <m:r>
          <m:rPr>
            <m:nor/>
          </m:rPr>
          <m:t>_</m:t>
        </m:r>
        <m:r>
          <m:t>C</m:t>
        </m:r>
        <m:r>
          <m:t>H</m:t>
        </m:r>
        <m:r>
          <m:t>E</m:t>
        </m:r>
        <m:r>
          <m:t>C</m:t>
        </m:r>
        <m:r>
          <m:t>K</m:t>
        </m:r>
      </m:oMath>
      <w:r>
        <w:t xml:space="preserve">, show that the Consent Engine continuously evaluates the state of the authorisation. Finally, the doctor generates</w:t>
      </w:r>
      <w:r>
        <w:t xml:space="preserve"> </w:t>
      </w:r>
      <m:oMath>
        <m:r>
          <m:t>D</m:t>
        </m:r>
        <m:r>
          <m:t>A</m:t>
        </m:r>
        <m:r>
          <m:t>T</m:t>
        </m:r>
        <m:r>
          <m:t>A</m:t>
        </m:r>
        <m:r>
          <m:rPr>
            <m:nor/>
          </m:rPr>
          <m:t>_</m:t>
        </m:r>
        <m:r>
          <m:t>A</m:t>
        </m:r>
        <m:r>
          <m:t>C</m:t>
        </m:r>
        <m:r>
          <m:t>C</m:t>
        </m:r>
        <m:r>
          <m:t>E</m:t>
        </m:r>
        <m:r>
          <m:t>S</m:t>
        </m:r>
        <m:r>
          <m:t>S</m:t>
        </m:r>
      </m:oMath>
      <w:r>
        <w:t xml:space="preserve"> </w:t>
      </w:r>
      <w:r>
        <w:t xml:space="preserve">with the result</w:t>
      </w:r>
      <w:r>
        <w:t xml:space="preserve"> </w:t>
      </w:r>
      <m:oMath>
        <m:r>
          <m:t>G</m:t>
        </m:r>
        <m:r>
          <m:t>R</m:t>
        </m:r>
        <m:r>
          <m:t>A</m:t>
        </m:r>
        <m:r>
          <m:t>N</m:t>
        </m:r>
        <m:r>
          <m:t>T</m:t>
        </m:r>
        <m:r>
          <m:t>E</m:t>
        </m:r>
        <m:r>
          <m:t>D</m:t>
        </m:r>
      </m:oMath>
      <w:r>
        <w:t xml:space="preserve">. Figure 7.5 shows these records; the repeated state checks between the first</w:t>
      </w:r>
      <w:r>
        <w:t xml:space="preserve"> </w:t>
      </w:r>
      <m:oMath>
        <m:r>
          <m:t>S</m:t>
        </m:r>
        <m:r>
          <m:t>T</m:t>
        </m:r>
        <m:r>
          <m:t>A</m:t>
        </m:r>
        <m:r>
          <m:t>T</m:t>
        </m:r>
        <m:r>
          <m:t>E</m:t>
        </m:r>
        <m:r>
          <m:rPr>
            <m:nor/>
          </m:rPr>
          <m:t>_</m:t>
        </m:r>
        <m:r>
          <m:t>C</m:t>
        </m:r>
        <m:r>
          <m:t>H</m:t>
        </m:r>
        <m:r>
          <m:t>E</m:t>
        </m:r>
        <m:r>
          <m:t>C</m:t>
        </m:r>
        <m:r>
          <m:t>K</m:t>
        </m:r>
      </m:oMath>
      <w:r>
        <w:t xml:space="preserve"> </w:t>
      </w:r>
      <w:r>
        <w:t xml:space="preserve">and the data access are omitted.</w:t>
      </w:r>
    </w:p>
    <w:p>
      <w:pPr>
        <w:pStyle w:val="BodyText"/>
      </w:pPr>
      <w:r>
        <w:t xml:space="preserve">This produces an explicit chain of evidence as</w:t>
      </w:r>
    </w:p>
    <w:p>
      <w:pPr>
        <w:pStyle w:val="BodyText"/>
      </w:pPr>
      <m:oMathPara>
        <m:oMathParaPr>
          <m:jc m:val="center"/>
        </m:oMathParaPr>
        <m:oMath>
          <m:m>
            <m:mPr>
              <m:baseJc m:val="center"/>
              <m:plcHide m:val="on"/>
              <m:mcs>
                <m:mc>
                  <m:mcPr>
                    <m:count m:val="1"/>
                    <m:mcJc m:val="left"/>
                  </m:mcPr>
                </m:mc>
              </m:mcs>
            </m:mPr>
            <m:mr>
              <m:e>
                <m:r>
                  <m:t>P</m:t>
                </m:r>
                <m:r>
                  <m:t>a</m:t>
                </m:r>
                <m:r>
                  <m:t>t</m:t>
                </m:r>
                <m:r>
                  <m:t>i</m:t>
                </m:r>
                <m:r>
                  <m:t>e</m:t>
                </m:r>
                <m:r>
                  <m:t>n</m:t>
                </m:r>
                <m:r>
                  <m:t>t</m:t>
                </m:r>
                <m:r>
                  <m:rPr>
                    <m:sty m:val="p"/>
                  </m:rPr>
                  <m:t>→</m:t>
                </m:r>
                <m:r>
                  <m:t>G</m:t>
                </m:r>
                <m:r>
                  <m:t>u</m:t>
                </m:r>
                <m:r>
                  <m:t>a</m:t>
                </m:r>
                <m:r>
                  <m:t>r</m:t>
                </m:r>
                <m:r>
                  <m:t>d</m:t>
                </m:r>
                <m:r>
                  <m:t>i</m:t>
                </m:r>
                <m:r>
                  <m:t>a</m:t>
                </m:r>
                <m:sSub>
                  <m:e>
                    <m:r>
                      <m:t>n</m:t>
                    </m:r>
                  </m:e>
                  <m:sub>
                    <m:r>
                      <m:t>A</m:t>
                    </m:r>
                  </m:sub>
                </m:sSub>
                <m:r>
                  <m:rPr>
                    <m:sty m:val="p"/>
                  </m:rPr>
                  <m:t>→</m:t>
                </m:r>
                <m:r>
                  <m:t>G</m:t>
                </m:r>
                <m:r>
                  <m:t>u</m:t>
                </m:r>
                <m:r>
                  <m:t>a</m:t>
                </m:r>
                <m:r>
                  <m:t>r</m:t>
                </m:r>
                <m:r>
                  <m:t>d</m:t>
                </m:r>
                <m:r>
                  <m:t>i</m:t>
                </m:r>
                <m:r>
                  <m:t>a</m:t>
                </m:r>
                <m:sSub>
                  <m:e>
                    <m:r>
                      <m:t>n</m:t>
                    </m:r>
                  </m:e>
                  <m:sub>
                    <m:r>
                      <m:t>B</m:t>
                    </m:r>
                  </m:sub>
                </m:sSub>
              </m:e>
            </m:mr>
            <m:mr>
              <m:e>
                <m:r>
                  <m:rPr>
                    <m:sty m:val="p"/>
                  </m:rPr>
                  <m:t>→</m:t>
                </m:r>
                <m:r>
                  <m:t>S</m:t>
                </m:r>
                <m:r>
                  <m:t>m</m:t>
                </m:r>
                <m:r>
                  <m:t>a</m:t>
                </m:r>
                <m:r>
                  <m:t>r</m:t>
                </m:r>
                <m:r>
                  <m:t>t</m:t>
                </m:r>
                <m:r>
                  <m:t>C</m:t>
                </m:r>
                <m:r>
                  <m:t>o</m:t>
                </m:r>
                <m:r>
                  <m:t>n</m:t>
                </m:r>
                <m:r>
                  <m:t>t</m:t>
                </m:r>
                <m:r>
                  <m:t>r</m:t>
                </m:r>
                <m:r>
                  <m:t>a</m:t>
                </m:r>
                <m:r>
                  <m:t>c</m:t>
                </m:r>
                <m:r>
                  <m:t>t</m:t>
                </m:r>
                <m:r>
                  <m:rPr>
                    <m:sty m:val="p"/>
                  </m:rPr>
                  <m:t>→</m:t>
                </m:r>
                <m:r>
                  <m:t>C</m:t>
                </m:r>
                <m:r>
                  <m:t>o</m:t>
                </m:r>
                <m:r>
                  <m:t>n</m:t>
                </m:r>
                <m:r>
                  <m:t>s</m:t>
                </m:r>
                <m:r>
                  <m:t>e</m:t>
                </m:r>
                <m:r>
                  <m:t>n</m:t>
                </m:r>
                <m:r>
                  <m:t>t</m:t>
                </m:r>
                <m:r>
                  <m:t>E</m:t>
                </m:r>
                <m:r>
                  <m:t>n</m:t>
                </m:r>
                <m:r>
                  <m:t>g</m:t>
                </m:r>
                <m:r>
                  <m:t>i</m:t>
                </m:r>
                <m:r>
                  <m:t>n</m:t>
                </m:r>
                <m:r>
                  <m:t>e</m:t>
                </m:r>
                <m:r>
                  <m:rPr>
                    <m:sty m:val="p"/>
                  </m:rPr>
                  <m:t>→</m:t>
                </m:r>
                <m:r>
                  <m:t>D</m:t>
                </m:r>
                <m:r>
                  <m:t>o</m:t>
                </m:r>
                <m:r>
                  <m:t>c</m:t>
                </m:r>
                <m:r>
                  <m:t>t</m:t>
                </m:r>
                <m:r>
                  <m:t>o</m:t>
                </m:r>
                <m:r>
                  <m:t>r</m:t>
                </m:r>
              </m:e>
            </m:mr>
          </m:m>
        </m:oMath>
      </m:oMathPara>
    </w:p>
    <w:p>
      <w:pPr>
        <w:pStyle w:val="FirstParagraph"/>
      </w:pPr>
      <w:r>
        <w:t xml:space="preserve">The audit subsystem therefore allows an auditor to reconstruct not only</w:t>
      </w:r>
      <w:r>
        <w:t xml:space="preserve"> </w:t>
      </w:r>
      <w:r>
        <w:rPr>
          <w:b/>
          <w:bCs/>
        </w:rPr>
        <w:t xml:space="preserve">who accessed the data</w:t>
      </w:r>
      <w:r>
        <w:t xml:space="preserve">, but also</w:t>
      </w:r>
      <w:r>
        <w:t xml:space="preserve"> </w:t>
      </w:r>
      <w:r>
        <w:rPr>
          <w:b/>
          <w:bCs/>
        </w:rPr>
        <w:t xml:space="preserve">why that access was permitted</w:t>
      </w:r>
      <w:r>
        <w:t xml:space="preserve">, because the access event can be associated with the preceding consent creation, guardian approvals, consent activation, and state checks.</w:t>
      </w:r>
    </w:p>
    <w:p>
      <w:pPr>
        <w:pStyle w:val="BodyText"/>
      </w:pPr>
      <w:r>
        <w:t xml:space="preserve">This corresponds to the proposed requirement for</w:t>
      </w:r>
      <w:r>
        <w:t xml:space="preserve"> </w:t>
      </w:r>
      <w:r>
        <w:rPr>
          <w:b/>
          <w:bCs/>
        </w:rPr>
        <w:t xml:space="preserve">traceability, accountability and non-repudiable consent evidence</w:t>
      </w:r>
      <w:r>
        <w:t xml:space="preserve">.</w:t>
      </w:r>
    </w:p>
    <w:bookmarkEnd w:id="155"/>
    <w:bookmarkStart w:id="156" w:name="detailed-audit-records"/>
    <w:p>
      <w:pPr>
        <w:pStyle w:val="Heading2"/>
      </w:pPr>
      <w:r>
        <w:t xml:space="preserve">7.6 Detailed Audit Records</w:t>
      </w:r>
    </w:p>
    <w:p>
      <w:pPr>
        <w:pStyle w:val="FirstParagraph"/>
      </w:pPr>
      <w:r>
        <w:t xml:space="preserve">The</w:t>
      </w:r>
      <w:r>
        <w:t xml:space="preserve"> </w:t>
      </w:r>
      <w:r>
        <w:rPr>
          <w:b/>
          <w:bCs/>
        </w:rPr>
        <w:t xml:space="preserve">Detailed Audit Records</w:t>
      </w:r>
      <w:r>
        <w:t xml:space="preserve"> </w:t>
      </w:r>
      <w:r>
        <w:t xml:space="preserve">component provides a lower-level view of the events represented in the lifecycle subsystem.</w:t>
      </w:r>
    </w:p>
    <w:p>
      <w:pPr>
        <w:pStyle w:val="BodyText"/>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BodyText"/>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BodyText"/>
      </w:pPr>
      <w:r>
        <w:t xml:space="preserve">The subsystem therefore implements the distinction between</w:t>
      </w:r>
      <w:r>
        <w:t xml:space="preserve"> </w:t>
      </w:r>
      <w:r>
        <w:rPr>
          <w:b/>
          <w:bCs/>
        </w:rPr>
        <w:t xml:space="preserve">operational access information</w:t>
      </w:r>
      <w:r>
        <w:t xml:space="preserve"> </w:t>
      </w:r>
      <w:r>
        <w:t xml:space="preserve">and</w:t>
      </w:r>
      <w:r>
        <w:t xml:space="preserve"> </w:t>
      </w:r>
      <w:r>
        <w:rPr>
          <w:b/>
          <w:bCs/>
        </w:rPr>
        <w:t xml:space="preserve">forensic/audit information</w:t>
      </w:r>
      <w:r>
        <w:t xml:space="preserve">.</w:t>
      </w:r>
    </w:p>
    <w:bookmarkEnd w:id="156"/>
    <w:bookmarkStart w:id="157" w:name="complete-blockchain-audit-ledger"/>
    <w:p>
      <w:pPr>
        <w:pStyle w:val="Heading2"/>
      </w:pPr>
      <w:r>
        <w:t xml:space="preserve">7.7 Complete Blockchain Audit Ledger</w:t>
      </w:r>
    </w:p>
    <w:p>
      <w:pPr>
        <w:pStyle w:val="FirstParagraph"/>
      </w:pPr>
      <w:r>
        <w:t xml:space="preserve">The</w:t>
      </w:r>
      <w:r>
        <w:t xml:space="preserve"> </w:t>
      </w:r>
      <w:r>
        <w:rPr>
          <w:b/>
          <w:bCs/>
        </w:rPr>
        <w:t xml:space="preserve">Complete Blockchain Audit Ledger</w:t>
      </w:r>
      <w:r>
        <w:t xml:space="preserve"> </w:t>
      </w:r>
      <w:r>
        <w:t xml:space="preserve">provides the most comprehensive representation of the recorded consent history.</w:t>
      </w:r>
    </w:p>
    <w:p>
      <w:pPr>
        <w:pStyle w:val="BodyText"/>
      </w:pPr>
      <w: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BodyText"/>
      </w:pPr>
      <w:r>
        <w:t xml:space="preserve">Consequently, the ledger provides the evidentiary foundation for evaluating several properties of the proposed framework:</w:t>
      </w:r>
    </w:p>
    <w:p>
      <w:pPr>
        <w:pStyle w:val="BodyText"/>
      </w:pPr>
      <m:oMathPara>
        <m:oMathParaPr>
          <m:jc m:val="center"/>
        </m:oMathParaPr>
        <m:oMath>
          <m:r>
            <m:rPr>
              <m:nor/>
            </m:rPr>
            <m:t>Accountability</m:t>
          </m:r>
          <m:r>
            <m:rPr>
              <m:sty m:val="p"/>
            </m:rPr>
            <m:t>+</m:t>
          </m:r>
          <m:r>
            <m:rPr>
              <m:nor/>
            </m:rPr>
            <m:t>Traceability</m:t>
          </m:r>
          <m:r>
            <m:rPr>
              <m:sty m:val="p"/>
            </m:rPr>
            <m:t>+</m:t>
          </m:r>
          <m:r>
            <m:rPr>
              <m:nor/>
            </m:rPr>
            <m:t>Integrity</m:t>
          </m:r>
          <m:r>
            <m:rPr>
              <m:sty m:val="p"/>
            </m:rPr>
            <m:t>+</m:t>
          </m:r>
          <m:r>
            <m:rPr>
              <m:nor/>
            </m:rPr>
            <m:t>Non-repudiation</m:t>
          </m:r>
        </m:oMath>
      </m:oMathPara>
    </w:p>
    <w:p>
      <w:pPr>
        <w:pStyle w:val="FirstParagraph"/>
      </w:pPr>
      <w:r>
        <w:t xml:space="preserve">The complete ledger also provides a mechanism for independently examining whether the observed access event is consistent with the original consent conditions.</w:t>
      </w:r>
    </w:p>
    <w:p>
      <w:pPr>
        <w:pStyle w:val="BodyText"/>
      </w:pPr>
      <w: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57"/>
    <w:bookmarkStart w:id="158" w:name="Xae142eb24e81642c0aa2124fc4bee8c550545ec"/>
    <w:p>
      <w:pPr>
        <w:pStyle w:val="Heading2"/>
      </w:pPr>
      <w:r>
        <w:t xml:space="preserve">7.8 Correspondence Between Subsystems and the HALAH Framework</w:t>
      </w:r>
    </w:p>
    <w:p>
      <w:pPr>
        <w:pStyle w:val="FirstParagraph"/>
      </w:pPr>
      <w:r>
        <w:t xml:space="preserve">The four subsystems collectively implement the principal stages of the proposed framework:</w:t>
      </w:r>
    </w:p>
    <w:p>
      <w:pPr>
        <w:pStyle w:val="TableCaption"/>
      </w:pPr>
      <w:r>
        <w:t xml:space="preserve">Table 7.1: Correspondence Between Subsystems and the HALAH Framework</w:t>
      </w:r>
    </w:p>
    <w:tbl>
      <w:tblPr>
        <w:tblStyle w:val="Table"/>
        <w:tblW w:type="pct" w:w="5000"/>
        <w:tblLayout w:type="fixed"/>
        <w:tblLook w:firstRow="1" w:lastRow="0" w:firstColumn="0" w:lastColumn="0" w:noHBand="0" w:noVBand="0" w:val="0020"/>
        <w:tblCaption w:val="Table 7.1: Correspondence Between Subsystems and the HALAH Framework"/>
      </w:tblPr>
      <w:tblGrid>
        <w:gridCol w:w="1947"/>
        <w:gridCol w:w="2661"/>
        <w:gridCol w:w="331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HALAH Framework Component</w:t>
            </w:r>
          </w:p>
        </w:tc>
        <w:tc>
          <w:tcPr>
            <w:tcBorders>
              <w:bottom w:val="single" w:sz="8" w:space="0" w:color="000000"/>
            </w:tcBorders>
            <w:shd w:val="clear" w:color="auto" w:fill="E7E6E6"/>
            <w:vAlign w:val="center"/>
          </w:tcPr>
          <w:p>
            <w:pPr>
              <w:pStyle w:val="Compact"/>
              <w:jc w:val="left"/>
            </w:pPr>
            <w:r>
              <w:rPr>
                <w:b/>
                <w:bCs/>
              </w:rPr>
              <w:t xml:space="preserve">Implementation Subsystem</w:t>
            </w:r>
          </w:p>
        </w:tc>
        <w:tc>
          <w:tcPr>
            <w:tcBorders>
              <w:bottom w:val="single" w:sz="8" w:space="0" w:color="000000"/>
            </w:tcBorders>
            <w:shd w:val="clear" w:color="auto" w:fill="E7E6E6"/>
            <w:vAlign w:val="center"/>
          </w:tcPr>
          <w:p>
            <w:pPr>
              <w:pStyle w:val="Compact"/>
              <w:jc w:val="left"/>
            </w:pPr>
            <w:r>
              <w:rPr>
                <w:b/>
                <w:bCs/>
              </w:rPr>
              <w:t xml:space="preserve">Main Function</w:t>
            </w:r>
          </w:p>
        </w:tc>
      </w:tr>
      <w:tr>
        <w:trPr>
          <w:cantSplit/>
        </w:trPr>
        <w:tc>
          <w:tcPr/>
          <w:p>
            <w:pPr>
              <w:pStyle w:val="Compact"/>
              <w:jc w:val="left"/>
            </w:pPr>
            <w:r>
              <w:t xml:space="preserve">Consent Object Construction</w:t>
            </w:r>
          </w:p>
        </w:tc>
        <w:tc>
          <w:tcPr/>
          <w:p>
            <w:pPr>
              <w:pStyle w:val="Compact"/>
              <w:jc w:val="left"/>
            </w:pPr>
            <w:r>
              <w:rPr>
                <w:b/>
                <w:bCs/>
              </w:rPr>
              <w:t xml:space="preserve">Create Smart Consent Contract</w:t>
            </w:r>
          </w:p>
        </w:tc>
        <w:tc>
          <w:tcPr/>
          <w:p>
            <w:pPr>
              <w:pStyle w:val="Compact"/>
              <w:jc w:val="left"/>
            </w:pPr>
            <w:r>
              <w:t xml:space="preserve">Defines patient, authorised doctor, data scope, guardians and temporal validity</w:t>
            </w:r>
          </w:p>
        </w:tc>
      </w:tr>
      <w:tr>
        <w:trPr>
          <w:cantSplit/>
        </w:trPr>
        <w:tc>
          <w:tcPr/>
          <w:p>
            <w:pPr>
              <w:pStyle w:val="Compact"/>
              <w:jc w:val="left"/>
            </w:pPr>
            <w:r>
              <w:t xml:space="preserve">Identity &amp; Authorisation</w:t>
            </w:r>
          </w:p>
        </w:tc>
        <w:tc>
          <w:tcPr/>
          <w:p>
            <w:pPr>
              <w:pStyle w:val="Compact"/>
              <w:jc w:val="left"/>
            </w:pPr>
            <w:r>
              <w:rPr>
                <w:b/>
                <w:bCs/>
              </w:rPr>
              <w:t xml:space="preserve">Guardian Cryptographic Approval</w:t>
            </w:r>
          </w:p>
        </w:tc>
        <w:tc>
          <w:tcPr/>
          <w:p>
            <w:pPr>
              <w:pStyle w:val="Compact"/>
              <w:jc w:val="left"/>
            </w:pPr>
            <w:r>
              <w:t xml:space="preserve">Verifies guardian identities and records required signatures</w:t>
            </w:r>
          </w:p>
        </w:tc>
      </w:tr>
      <w:tr>
        <w:trPr>
          <w:cantSplit/>
        </w:trPr>
        <w:tc>
          <w:tcPr/>
          <w:p>
            <w:pPr>
              <w:pStyle w:val="Compact"/>
              <w:jc w:val="left"/>
            </w:pPr>
            <w:r>
              <w:t xml:space="preserve">Multi-Party Consent</w:t>
            </w:r>
          </w:p>
        </w:tc>
        <w:tc>
          <w:tcPr/>
          <w:p>
            <w:pPr>
              <w:pStyle w:val="Compact"/>
              <w:jc w:val="left"/>
            </w:pPr>
            <w:r>
              <w:rPr>
                <w:b/>
                <w:bCs/>
              </w:rPr>
              <w:t xml:space="preserve">Guardian Cryptographic Approval</w:t>
            </w:r>
          </w:p>
        </w:tc>
        <w:tc>
          <w:tcPr/>
          <w:p>
            <w:pPr>
              <w:pStyle w:val="Compact"/>
              <w:jc w:val="left"/>
            </w:pPr>
            <w:r>
              <w:t xml:space="preserve">Implements the 2-of-2 approval condition</w:t>
            </w:r>
          </w:p>
        </w:tc>
      </w:tr>
      <w:tr>
        <w:trPr>
          <w:cantSplit/>
        </w:trPr>
        <w:tc>
          <w:tcPr/>
          <w:p>
            <w:pPr>
              <w:pStyle w:val="Compact"/>
              <w:jc w:val="left"/>
            </w:pPr>
            <w:r>
              <w:t xml:space="preserve">Consent Activation</w:t>
            </w:r>
          </w:p>
        </w:tc>
        <w:tc>
          <w:tcPr/>
          <w:p>
            <w:pPr>
              <w:pStyle w:val="Compact"/>
              <w:jc w:val="left"/>
            </w:pPr>
            <w:r>
              <w:rPr>
                <w:b/>
                <w:bCs/>
              </w:rPr>
              <w:t xml:space="preserve">Guardian Cryptographic Approval</w:t>
            </w:r>
          </w:p>
        </w:tc>
        <w:tc>
          <w:tcPr/>
          <w:p>
            <w:pPr>
              <w:pStyle w:val="Compact"/>
              <w:jc w:val="left"/>
            </w:pPr>
            <w:r>
              <w:t xml:space="preserve">Generates the SBT and changes consent to fully activated</w:t>
            </w:r>
          </w:p>
        </w:tc>
      </w:tr>
      <w:tr>
        <w:trPr>
          <w:cantSplit/>
        </w:trPr>
        <w:tc>
          <w:tcPr/>
          <w:p>
            <w:pPr>
              <w:pStyle w:val="Compact"/>
              <w:jc w:val="left"/>
            </w:pPr>
            <w:r>
              <w:t xml:space="preserve">Consent-State Management</w:t>
            </w:r>
          </w:p>
        </w:tc>
        <w:tc>
          <w:tcPr/>
          <w:p>
            <w:pPr>
              <w:pStyle w:val="Compact"/>
              <w:jc w:val="left"/>
            </w:pPr>
            <w:r>
              <w:rPr>
                <w:b/>
                <w:bCs/>
              </w:rPr>
              <w:t xml:space="preserve">Secure Patient Data Access</w:t>
            </w:r>
          </w:p>
        </w:tc>
        <w:tc>
          <w:tcPr/>
          <w:p>
            <w:pPr>
              <w:pStyle w:val="Compact"/>
              <w:jc w:val="left"/>
            </w:pPr>
            <w:r>
              <w:t xml:space="preserve">Checks whether the consent is ACTIVE</w:t>
            </w:r>
          </w:p>
        </w:tc>
      </w:tr>
      <w:tr>
        <w:trPr>
          <w:cantSplit/>
        </w:trPr>
        <w:tc>
          <w:tcPr/>
          <w:p>
            <w:pPr>
              <w:pStyle w:val="Compact"/>
              <w:jc w:val="left"/>
            </w:pPr>
            <w:r>
              <w:t xml:space="preserve">Scope Enforcement</w:t>
            </w:r>
          </w:p>
        </w:tc>
        <w:tc>
          <w:tcPr/>
          <w:p>
            <w:pPr>
              <w:pStyle w:val="Compact"/>
              <w:jc w:val="left"/>
            </w:pPr>
            <w:r>
              <w:rPr>
                <w:b/>
                <w:bCs/>
              </w:rPr>
              <w:t xml:space="preserve">Secure Patient Data Access</w:t>
            </w:r>
          </w:p>
        </w:tc>
        <w:tc>
          <w:tcPr/>
          <w:p>
            <w:pPr>
              <w:pStyle w:val="Compact"/>
              <w:jc w:val="left"/>
            </w:pPr>
            <w:r>
              <w:t xml:space="preserve">Restricts access to authorised EMR modules</w:t>
            </w:r>
          </w:p>
        </w:tc>
      </w:tr>
      <w:tr>
        <w:trPr>
          <w:cantSplit/>
        </w:trPr>
        <w:tc>
          <w:tcPr/>
          <w:p>
            <w:pPr>
              <w:pStyle w:val="Compact"/>
              <w:jc w:val="left"/>
            </w:pPr>
            <w:r>
              <w:t xml:space="preserve">Cryptographic Access Control</w:t>
            </w:r>
          </w:p>
        </w:tc>
        <w:tc>
          <w:tcPr/>
          <w:p>
            <w:pPr>
              <w:pStyle w:val="Compact"/>
              <w:jc w:val="left"/>
            </w:pPr>
            <w:r>
              <w:rPr>
                <w:b/>
                <w:bCs/>
              </w:rPr>
              <w:t xml:space="preserve">Secure Patient Data Access</w:t>
            </w:r>
          </w:p>
        </w:tc>
        <w:tc>
          <w:tcPr/>
          <w:p>
            <w:pPr>
              <w:pStyle w:val="Compact"/>
              <w:jc w:val="left"/>
            </w:pPr>
            <w:r>
              <w:t xml:space="preserve">Verifies the access request before granting data</w:t>
            </w:r>
          </w:p>
        </w:tc>
      </w:tr>
      <w:tr>
        <w:trPr>
          <w:cantSplit/>
        </w:trPr>
        <w:tc>
          <w:tcPr/>
          <w:p>
            <w:pPr>
              <w:pStyle w:val="Compact"/>
              <w:jc w:val="left"/>
            </w:pPr>
            <w:r>
              <w:t xml:space="preserve">Healthcare Data Access</w:t>
            </w:r>
          </w:p>
        </w:tc>
        <w:tc>
          <w:tcPr/>
          <w:p>
            <w:pPr>
              <w:pStyle w:val="Compact"/>
              <w:jc w:val="left"/>
            </w:pPr>
            <w:r>
              <w:rPr>
                <w:b/>
                <w:bCs/>
              </w:rPr>
              <w:t xml:space="preserve">Secure Patient Data Access</w:t>
            </w:r>
          </w:p>
        </w:tc>
        <w:tc>
          <w:tcPr/>
          <w:p>
            <w:pPr>
              <w:pStyle w:val="Compact"/>
              <w:jc w:val="left"/>
            </w:pPr>
            <w:r>
              <w:t xml:space="preserve">Provides authorised Medication and Procedure records</w:t>
            </w:r>
          </w:p>
        </w:tc>
      </w:tr>
      <w:tr>
        <w:trPr>
          <w:cantSplit/>
        </w:trPr>
        <w:tc>
          <w:tcPr/>
          <w:p>
            <w:pPr>
              <w:pStyle w:val="Compact"/>
              <w:jc w:val="left"/>
            </w:pPr>
            <w:r>
              <w:t xml:space="preserve">Lifecycle Traceability</w:t>
            </w:r>
          </w:p>
        </w:tc>
        <w:tc>
          <w:tcPr/>
          <w:p>
            <w:pPr>
              <w:pStyle w:val="Compact"/>
              <w:jc w:val="left"/>
            </w:pPr>
            <w:r>
              <w:rPr>
                <w:b/>
                <w:bCs/>
              </w:rPr>
              <w:t xml:space="preserve">Blockchain Audit &amp; Consent Lifecycle</w:t>
            </w:r>
          </w:p>
        </w:tc>
        <w:tc>
          <w:tcPr/>
          <w:p>
            <w:pPr>
              <w:pStyle w:val="Compact"/>
              <w:jc w:val="left"/>
            </w:pPr>
            <w:r>
              <w:t xml:space="preserve">Reconstructs the chronological consent process</w:t>
            </w:r>
          </w:p>
        </w:tc>
      </w:tr>
      <w:tr>
        <w:trPr>
          <w:cantSplit/>
        </w:trPr>
        <w:tc>
          <w:tcPr/>
          <w:p>
            <w:pPr>
              <w:pStyle w:val="Compact"/>
              <w:jc w:val="left"/>
            </w:pPr>
            <w:r>
              <w:t xml:space="preserve">Accountability</w:t>
            </w:r>
          </w:p>
        </w:tc>
        <w:tc>
          <w:tcPr/>
          <w:p>
            <w:pPr>
              <w:pStyle w:val="Compact"/>
              <w:jc w:val="left"/>
            </w:pPr>
            <w:r>
              <w:rPr>
                <w:b/>
                <w:bCs/>
              </w:rPr>
              <w:t xml:space="preserve">Detailed Audit Records</w:t>
            </w:r>
          </w:p>
        </w:tc>
        <w:tc>
          <w:tcPr/>
          <w:p>
            <w:pPr>
              <w:pStyle w:val="Compact"/>
              <w:jc w:val="left"/>
            </w:pPr>
            <w:r>
              <w:t xml:space="preserve">Provides event-level evidence</w:t>
            </w:r>
          </w:p>
        </w:tc>
      </w:tr>
      <w:tr>
        <w:trPr>
          <w:cantSplit/>
        </w:trPr>
        <w:tc>
          <w:tcPr/>
          <w:p>
            <w:pPr>
              <w:pStyle w:val="Compact"/>
              <w:jc w:val="left"/>
            </w:pPr>
            <w:r>
              <w:t xml:space="preserve">Ledger Integrity</w:t>
            </w:r>
          </w:p>
        </w:tc>
        <w:tc>
          <w:tcPr/>
          <w:p>
            <w:pPr>
              <w:pStyle w:val="Compact"/>
              <w:jc w:val="left"/>
            </w:pPr>
            <w:r>
              <w:rPr>
                <w:b/>
                <w:bCs/>
              </w:rPr>
              <w:t xml:space="preserve">Complete Blockchain Audit Ledger</w:t>
            </w:r>
          </w:p>
        </w:tc>
        <w:tc>
          <w:tcPr/>
          <w:p>
            <w:pPr>
              <w:pStyle w:val="Compact"/>
              <w:jc w:val="left"/>
            </w:pPr>
            <w:r>
              <w:t xml:space="preserve">Provides the complete recorded transaction history</w:t>
            </w:r>
          </w:p>
        </w:tc>
      </w:tr>
    </w:tbl>
    <w:p>
      <w:pPr>
        <w:pStyle w:val="BodyText"/>
      </w:pPr>
      <w:r>
        <w:t xml:space="preserve">This mapping demonstrates that the implementation is not merely a collection of independent user-subsystem modules. Rather, the modules correspond to successive stages of the proposed authorisation protocol.</w:t>
      </w:r>
    </w:p>
    <w:bookmarkEnd w:id="158"/>
    <w:bookmarkStart w:id="159" w:name="overall-system-demonstration"/>
    <w:p>
      <w:pPr>
        <w:pStyle w:val="Heading2"/>
      </w:pPr>
      <w:r>
        <w:t xml:space="preserve">7.9 Overall System Demonstration</w:t>
      </w:r>
    </w:p>
    <w:p>
      <w:pPr>
        <w:pStyle w:val="FirstParagraph"/>
      </w:pPr>
      <w: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BodyText"/>
      </w:pPr>
      <m:oMathPara>
        <m:oMathParaPr>
          <m:jc m:val="center"/>
        </m:oMathParaPr>
        <m:oMath>
          <m:r>
            <m:t>C</m:t>
          </m:r>
          <m:r>
            <m:rPr>
              <m:sty m:val="p"/>
            </m:rPr>
            <m:t>→</m:t>
          </m:r>
          <m:r>
            <m:t>M</m:t>
          </m:r>
          <m:r>
            <m:t>S</m:t>
          </m:r>
          <m:r>
            <m:rPr>
              <m:sty m:val="p"/>
            </m:rPr>
            <m:t>→</m:t>
          </m:r>
          <m:r>
            <m:t>S</m:t>
          </m:r>
          <m:r>
            <m:t>B</m:t>
          </m:r>
          <m:r>
            <m:t>T</m:t>
          </m:r>
          <m:r>
            <m:rPr>
              <m:sty m:val="p"/>
            </m:rPr>
            <m:t>→</m:t>
          </m:r>
          <m:r>
            <m:t>S</m:t>
          </m:r>
          <m:r>
            <m:t>t</m:t>
          </m:r>
          <m:r>
            <m:t>a</m:t>
          </m:r>
          <m:r>
            <m:t>t</m:t>
          </m:r>
          <m:r>
            <m:t>e</m:t>
          </m:r>
          <m:r>
            <m:t>C</m:t>
          </m:r>
          <m:r>
            <m:t>h</m:t>
          </m:r>
          <m:r>
            <m:t>e</m:t>
          </m:r>
          <m:r>
            <m:t>c</m:t>
          </m:r>
          <m:r>
            <m:t>k</m:t>
          </m:r>
          <m:r>
            <m:rPr>
              <m:sty m:val="p"/>
            </m:rPr>
            <m:t>→</m:t>
          </m:r>
          <m:r>
            <m:t>A</m:t>
          </m:r>
          <m:r>
            <m:t>c</m:t>
          </m:r>
          <m:r>
            <m:t>c</m:t>
          </m:r>
          <m:r>
            <m:t>e</m:t>
          </m:r>
          <m:r>
            <m:t>s</m:t>
          </m:r>
          <m:r>
            <m:t>s</m:t>
          </m:r>
          <m:r>
            <m:t>D</m:t>
          </m:r>
          <m:r>
            <m:t>e</m:t>
          </m:r>
          <m:r>
            <m:t>c</m:t>
          </m:r>
          <m:r>
            <m:t>i</m:t>
          </m:r>
          <m:r>
            <m:t>s</m:t>
          </m:r>
          <m:r>
            <m:t>i</m:t>
          </m:r>
          <m:r>
            <m:t>o</m:t>
          </m:r>
          <m:r>
            <m:t>n</m:t>
          </m:r>
          <m:r>
            <m:rPr>
              <m:sty m:val="p"/>
            </m:rPr>
            <m:t>→</m:t>
          </m:r>
          <m:r>
            <m:t>E</m:t>
          </m:r>
          <m:r>
            <m:t>M</m:t>
          </m:r>
          <m:r>
            <m:t>R</m:t>
          </m:r>
          <m:r>
            <m:rPr>
              <m:sty m:val="p"/>
            </m:rPr>
            <m:t>→</m:t>
          </m:r>
          <m:r>
            <m:t>A</m:t>
          </m:r>
          <m:r>
            <m:t>u</m:t>
          </m:r>
          <m:r>
            <m:t>d</m:t>
          </m:r>
          <m:r>
            <m:t>i</m:t>
          </m:r>
          <m:r>
            <m:t>t</m:t>
          </m:r>
        </m:oMath>
      </m:oMathPara>
    </w:p>
    <w:p>
      <w:pPr>
        <w:pStyle w:val="FirstParagraph"/>
      </w:pPr>
      <w:r>
        <w:t xml:space="preserve">where</w:t>
      </w:r>
      <w:r>
        <w:t xml:space="preserve"> </w:t>
      </w:r>
      <m:oMath>
        <m:r>
          <m:t>C</m:t>
        </m:r>
      </m:oMath>
      <w:r>
        <w:t xml:space="preserve"> </w:t>
      </w:r>
      <w:r>
        <w:t xml:space="preserve">denotes consent creation,</w:t>
      </w:r>
      <w:r>
        <w:t xml:space="preserve"> </w:t>
      </w:r>
      <m:oMath>
        <m:r>
          <m:t>M</m:t>
        </m:r>
        <m:r>
          <m:t>S</m:t>
        </m:r>
      </m:oMath>
      <w:r>
        <w:t xml:space="preserve"> </w:t>
      </w:r>
      <w:r>
        <w:t xml:space="preserve">multi-signature approval,</w:t>
      </w:r>
      <w:r>
        <w:t xml:space="preserve"> </w:t>
      </w:r>
      <m:oMath>
        <m:r>
          <m:t>S</m:t>
        </m:r>
        <m:r>
          <m:t>B</m:t>
        </m:r>
        <m:r>
          <m:t>T</m:t>
        </m:r>
      </m:oMath>
      <w:r>
        <w:t xml:space="preserve"> </w:t>
      </w:r>
      <w:r>
        <w:t xml:space="preserve">consent activation,</w:t>
      </w:r>
      <w:r>
        <w:t xml:space="preserve"> </w:t>
      </w:r>
      <m:oMath>
        <m:r>
          <m:t>S</m:t>
        </m:r>
        <m:r>
          <m:t>t</m:t>
        </m:r>
        <m:r>
          <m:t>a</m:t>
        </m:r>
        <m:r>
          <m:t>t</m:t>
        </m:r>
        <m:r>
          <m:t>e</m:t>
        </m:r>
        <m:r>
          <m:t>C</m:t>
        </m:r>
        <m:r>
          <m:t>h</m:t>
        </m:r>
        <m:r>
          <m:t>e</m:t>
        </m:r>
        <m:r>
          <m:t>c</m:t>
        </m:r>
        <m:r>
          <m:t>k</m:t>
        </m:r>
      </m:oMath>
      <w:r>
        <w:t xml:space="preserve"> </w:t>
      </w:r>
      <w:r>
        <w:t xml:space="preserve">lifecycle validation,</w:t>
      </w:r>
      <w:r>
        <w:t xml:space="preserve"> </w:t>
      </w:r>
      <m:oMath>
        <m:r>
          <m:t>A</m:t>
        </m:r>
        <m:r>
          <m:t>c</m:t>
        </m:r>
        <m:r>
          <m:t>c</m:t>
        </m:r>
        <m:r>
          <m:t>e</m:t>
        </m:r>
        <m:r>
          <m:t>s</m:t>
        </m:r>
        <m:r>
          <m:t>s</m:t>
        </m:r>
        <m:r>
          <m:t>D</m:t>
        </m:r>
        <m:r>
          <m:t>e</m:t>
        </m:r>
        <m:r>
          <m:t>c</m:t>
        </m:r>
        <m:r>
          <m:t>i</m:t>
        </m:r>
        <m:r>
          <m:t>s</m:t>
        </m:r>
        <m:r>
          <m:t>i</m:t>
        </m:r>
        <m:r>
          <m:t>o</m:t>
        </m:r>
        <m:r>
          <m:t>n</m:t>
        </m:r>
      </m:oMath>
      <w:r>
        <w:t xml:space="preserve"> </w:t>
      </w:r>
      <w:r>
        <w:t xml:space="preserve">authorisation enforcement,</w:t>
      </w:r>
      <w:r>
        <w:t xml:space="preserve"> </w:t>
      </w:r>
      <m:oMath>
        <m:r>
          <m:t>E</m:t>
        </m:r>
        <m:r>
          <m:t>M</m:t>
        </m:r>
        <m:r>
          <m:t>R</m:t>
        </m:r>
      </m:oMath>
      <w:r>
        <w:t xml:space="preserve"> </w:t>
      </w:r>
      <w:r>
        <w:t xml:space="preserve">authorised medical-record access, and</w:t>
      </w:r>
      <w:r>
        <w:t xml:space="preserve"> </w:t>
      </w:r>
      <m:oMath>
        <m:r>
          <m:t>A</m:t>
        </m:r>
        <m:r>
          <m:t>u</m:t>
        </m:r>
        <m:r>
          <m:t>d</m:t>
        </m:r>
        <m:r>
          <m:t>i</m:t>
        </m:r>
        <m:r>
          <m:t>t</m:t>
        </m:r>
      </m:oMath>
      <w:r>
        <w:t xml:space="preserve"> </w:t>
      </w:r>
      <w:r>
        <w:t xml:space="preserve">immutable lifecycle recording.</w:t>
      </w:r>
    </w:p>
    <w:p>
      <w:pPr>
        <w:pStyle w:val="BodyText"/>
      </w:pPr>
      <w:r>
        <w:t xml:space="preserve">From a research-implementation perspective, the most significant feature of the presented subsystems is therefore the</w:t>
      </w:r>
      <w:r>
        <w:t xml:space="preserve"> </w:t>
      </w:r>
      <w:r>
        <w:rPr>
          <w:b/>
          <w:bCs/>
        </w:rPr>
        <w:t xml:space="preserve">continuity between consent specification, multi-party authorisation, access enforcement and audit evidence</w:t>
      </w:r>
      <w:r>
        <w:t xml:space="preserve">. The user subsystems provide a visible representation of this continuity, allowing the proposed HALAH model to be demonstrated as an operational authorisation workflow rather than only as a conceptual framework.</w:t>
      </w:r>
    </w:p>
    <w:bookmarkEnd w:id="159"/>
    <w:bookmarkStart w:id="163" w:name="X88b3d53607b792a9f4430f1be3c348b9a46cb27"/>
    <w:p>
      <w:pPr>
        <w:pStyle w:val="Heading2"/>
      </w:pPr>
      <w:r>
        <w:t xml:space="preserve">7.10 Implementation Mapping to the Source Code</w:t>
      </w:r>
    </w:p>
    <w:p>
      <w:pPr>
        <w:pStyle w:val="FirstParagraph"/>
      </w:pPr>
      <w:r>
        <w:t xml:space="preserve">Table 7.2 shows how the MVC layers of Chapter 5 are realised in the HALAH prototype (repository commit 0a960ca, 22 September 2026), so that the architectural claims can be checked directly against the source code.</w:t>
      </w:r>
    </w:p>
    <w:p>
      <w:pPr>
        <w:pStyle w:val="TableCaption"/>
      </w:pPr>
      <w:r>
        <w:t xml:space="preserve">Table 7.2: MVC layers and their HALAH implementation</w:t>
      </w:r>
    </w:p>
    <w:tbl>
      <w:tblPr>
        <w:tblStyle w:val="Table"/>
        <w:tblW w:type="pct" w:w="5000"/>
        <w:tblLayout w:type="fixed"/>
        <w:tblLook w:firstRow="1" w:lastRow="0" w:firstColumn="0" w:lastColumn="0" w:noHBand="0" w:noVBand="0" w:val="0020"/>
        <w:tblCaption w:val="Table 7.2: MVC layers and their HALAH implementation"/>
      </w:tblPr>
      <w:tblGrid>
        <w:gridCol w:w="1243"/>
        <w:gridCol w:w="3338"/>
        <w:gridCol w:w="333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Layer</w:t>
            </w:r>
          </w:p>
        </w:tc>
        <w:tc>
          <w:tcPr>
            <w:tcBorders>
              <w:bottom w:val="single" w:sz="8" w:space="0" w:color="000000"/>
            </w:tcBorders>
            <w:shd w:val="clear" w:color="auto" w:fill="E7E6E6"/>
            <w:vAlign w:val="center"/>
          </w:tcPr>
          <w:p>
            <w:pPr>
              <w:pStyle w:val="Compact"/>
              <w:jc w:val="left"/>
            </w:pPr>
            <w:r>
              <w:rPr>
                <w:b/>
                <w:bCs/>
              </w:rPr>
              <w:t xml:space="preserve">HALAH module(s)</w:t>
            </w:r>
          </w:p>
        </w:tc>
        <w:tc>
          <w:tcPr>
            <w:tcBorders>
              <w:bottom w:val="single" w:sz="8" w:space="0" w:color="000000"/>
            </w:tcBorders>
            <w:shd w:val="clear" w:color="auto" w:fill="E7E6E6"/>
            <w:vAlign w:val="center"/>
          </w:tcPr>
          <w:p>
            <w:pPr>
              <w:pStyle w:val="Compact"/>
              <w:jc w:val="left"/>
            </w:pPr>
            <w:r>
              <w:rPr>
                <w:b/>
                <w:bCs/>
              </w:rPr>
              <w:t xml:space="preserve">Responsibility</w:t>
            </w:r>
          </w:p>
        </w:tc>
      </w:tr>
      <w:tr>
        <w:trPr>
          <w:cantSplit/>
        </w:trPr>
        <w:tc>
          <w:tcPr/>
          <w:p>
            <w:pPr>
              <w:pStyle w:val="Compact"/>
              <w:jc w:val="left"/>
            </w:pPr>
            <w:r>
              <w:t xml:space="preserve">View</w:t>
            </w:r>
          </w:p>
        </w:tc>
        <w:tc>
          <w:tcPr/>
          <w:p>
            <w:pPr>
              <w:pStyle w:val="Compact"/>
              <w:jc w:val="left"/>
            </w:pPr>
            <w:r>
              <w:t xml:space="preserve">app.py (Patient, Guardian, Doctor and Auditor pages); halah_theme.py</w:t>
            </w:r>
          </w:p>
        </w:tc>
        <w:tc>
          <w:tcPr/>
          <w:p>
            <w:pPr>
              <w:pStyle w:val="Compact"/>
              <w:jc w:val="left"/>
            </w:pPr>
            <w:r>
              <w:t xml:space="preserve">Role-specific interaction; submits requests only</w:t>
            </w:r>
          </w:p>
        </w:tc>
      </w:tr>
      <w:tr>
        <w:trPr>
          <w:cantSplit/>
        </w:trPr>
        <w:tc>
          <w:tcPr/>
          <w:p>
            <w:pPr>
              <w:pStyle w:val="Compact"/>
              <w:jc w:val="left"/>
            </w:pPr>
            <w:r>
              <w:t xml:space="preserve">Controller</w:t>
            </w:r>
          </w:p>
        </w:tc>
        <w:tc>
          <w:tcPr/>
          <w:p>
            <w:pPr>
              <w:pStyle w:val="Compact"/>
              <w:jc w:val="left"/>
            </w:pPr>
            <w:r>
              <w:t xml:space="preserve">services/consent_service.py</w:t>
            </w:r>
          </w:p>
        </w:tc>
        <w:tc>
          <w:tcPr/>
          <w:p>
            <w:pPr>
              <w:pStyle w:val="Compact"/>
              <w:jc w:val="left"/>
            </w:pPr>
            <w:r>
              <w:t xml:space="preserve">Consent creation (Algorithm 1)</w:t>
            </w:r>
          </w:p>
        </w:tc>
      </w:tr>
      <w:tr>
        <w:trPr>
          <w:cantSplit/>
        </w:trPr>
        <w:tc>
          <w:tcPr/>
          <w:p>
            <w:pPr>
              <w:pStyle w:val="Compact"/>
              <w:jc w:val="left"/>
            </w:pPr>
            <w:r>
              <w:t xml:space="preserve">[</w:t>
            </w:r>
          </w:p>
        </w:tc>
        <w:tc>
          <w:tcPr/>
          <w:p>
            <w:pPr>
              <w:pStyle w:val="Compact"/>
              <w:jc w:val="left"/>
            </w:pPr>
            <w:r>
              <w:t xml:space="preserve">Controller</w:t>
            </w:r>
          </w:p>
        </w:tc>
        <w:tc>
          <w:tcPr/>
          <w:p>
            <w:pPr>
              <w:pStyle w:val="Compact"/>
              <w:jc w:val="left"/>
            </w:pPr>
            <w:r>
              <w:t xml:space="preserve">services/identity_service.py</w:t>
            </w:r>
          </w:p>
        </w:tc>
      </w:tr>
      <w:tr>
        <w:trPr>
          <w:cantSplit/>
        </w:trPr>
        <w:tc>
          <w:tcPr/>
          <w:p>
            <w:pPr>
              <w:pStyle w:val="Compact"/>
              <w:jc w:val="left"/>
            </w:pPr>
            <w:r>
              <w:t xml:space="preserve">[</w:t>
            </w:r>
          </w:p>
        </w:tc>
        <w:tc>
          <w:tcPr/>
          <w:p>
            <w:pPr>
              <w:pStyle w:val="Compact"/>
              <w:jc w:val="left"/>
            </w:pPr>
            <w:r>
              <w:t xml:space="preserve">Controller</w:t>
            </w:r>
          </w:p>
        </w:tc>
        <w:tc>
          <w:tcPr/>
          <w:p>
            <w:pPr>
              <w:pStyle w:val="Compact"/>
              <w:jc w:val="left"/>
            </w:pPr>
            <w:r>
              <w:t xml:space="preserve">services/state_service.py</w:t>
            </w:r>
          </w:p>
        </w:tc>
      </w:tr>
      <w:tr>
        <w:trPr>
          <w:cantSplit/>
        </w:trPr>
        <w:tc>
          <w:tcPr/>
          <w:p>
            <w:pPr>
              <w:pStyle w:val="Compact"/>
              <w:jc w:val="left"/>
            </w:pPr>
            <w:r>
              <w:t xml:space="preserve">Controller</w:t>
            </w:r>
          </w:p>
        </w:tc>
        <w:tc>
          <w:tcPr/>
          <w:p>
            <w:pPr>
              <w:pStyle w:val="Compact"/>
              <w:jc w:val="left"/>
            </w:pPr>
            <w:r>
              <w:t xml:space="preserve">services/access_service.py</w:t>
            </w:r>
          </w:p>
        </w:tc>
        <w:tc>
          <w:tcPr/>
          <w:p>
            <w:pPr>
              <w:pStyle w:val="Compact"/>
              <w:jc w:val="left"/>
            </w:pPr>
            <w:r>
              <w:t xml:space="preserve">Scope check, release gate and decision matrix (Algorithm 4,</w:t>
            </w:r>
            <w:r>
              <w:t xml:space="preserve"> </w:t>
            </w:r>
            <m:oMath>
              <m:sSub>
                <m:e>
                  <m:r>
                    <m:t>V</m:t>
                  </m:r>
                </m:e>
                <m:sub>
                  <m:r>
                    <m:t>P</m:t>
                  </m:r>
                </m:sub>
              </m:sSub>
            </m:oMath>
            <w:r>
              <w:t xml:space="preserve">)</w:t>
            </w:r>
          </w:p>
        </w:tc>
      </w:tr>
      <w:tr>
        <w:trPr>
          <w:cantSplit/>
        </w:trPr>
        <w:tc>
          <w:tcPr/>
          <w:p>
            <w:pPr>
              <w:pStyle w:val="Compact"/>
              <w:jc w:val="left"/>
            </w:pPr>
            <w:r>
              <w:t xml:space="preserve">Controller</w:t>
            </w:r>
          </w:p>
        </w:tc>
        <w:tc>
          <w:tcPr/>
          <w:p>
            <w:pPr>
              <w:pStyle w:val="Compact"/>
              <w:jc w:val="left"/>
            </w:pPr>
            <w:r>
              <w:t xml:space="preserve">services/blockchain_service.py; services/anchor_service.py</w:t>
            </w:r>
          </w:p>
        </w:tc>
        <w:tc>
          <w:tcPr/>
          <w:p>
            <w:pPr>
              <w:pStyle w:val="Compact"/>
              <w:jc w:val="left"/>
            </w:pPr>
            <w:r>
              <w:t xml:space="preserve">SBT minting, revocation and on-chain anchoring (evidence</w:t>
            </w:r>
            <w:r>
              <w:t xml:space="preserve"> </w:t>
            </w:r>
            <m:oMath>
              <m:r>
                <m:t>E</m:t>
              </m:r>
            </m:oMath>
            <w:r>
              <w:t xml:space="preserve">)</w:t>
            </w:r>
          </w:p>
        </w:tc>
      </w:tr>
      <w:tr>
        <w:trPr>
          <w:cantSplit/>
        </w:trPr>
        <w:tc>
          <w:tcPr/>
          <w:p>
            <w:pPr>
              <w:pStyle w:val="Compact"/>
              <w:jc w:val="left"/>
            </w:pPr>
            <w:r>
              <w:t xml:space="preserve">Model</w:t>
            </w:r>
          </w:p>
        </w:tc>
        <w:tc>
          <w:tcPr/>
          <w:p>
            <w:pPr>
              <w:pStyle w:val="Compact"/>
              <w:jc w:val="left"/>
            </w:pPr>
            <w:r>
              <w:t xml:space="preserve">models/consent.py; models/access.py</w:t>
            </w:r>
          </w:p>
        </w:tc>
        <w:tc>
          <w:tcPr/>
          <w:p>
            <w:pPr>
              <w:pStyle w:val="Compact"/>
              <w:jc w:val="left"/>
            </w:pPr>
            <w:r>
              <w:t xml:space="preserve">Consent object</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and access request</w:t>
            </w:r>
            <w:r>
              <w:t xml:space="preserve"> </w:t>
            </w:r>
            <m:oMath>
              <m:r>
                <m:t>R</m:t>
              </m:r>
            </m:oMath>
          </w:p>
        </w:tc>
      </w:tr>
      <w:tr>
        <w:trPr>
          <w:cantSplit/>
        </w:trPr>
        <w:tc>
          <w:tcPr/>
          <w:p>
            <w:pPr>
              <w:pStyle w:val="Compact"/>
              <w:jc w:val="left"/>
            </w:pPr>
            <w:r>
              <w:t xml:space="preserve">Model</w:t>
            </w:r>
          </w:p>
        </w:tc>
        <w:tc>
          <w:tcPr/>
          <w:p>
            <w:pPr>
              <w:pStyle w:val="Compact"/>
              <w:jc w:val="left"/>
            </w:pPr>
            <w:r>
              <w:t xml:space="preserve">database/ (SQLite persistence, audit log, DID mapping)</w:t>
            </w:r>
          </w:p>
        </w:tc>
        <w:tc>
          <w:tcPr/>
          <w:p>
            <w:pPr>
              <w:pStyle w:val="Compact"/>
              <w:jc w:val="left"/>
            </w:pPr>
            <w:r>
              <w:t xml:space="preserve">Persistent consent, approval and audit state</w:t>
            </w:r>
          </w:p>
        </w:tc>
      </w:tr>
      <w:tr>
        <w:trPr>
          <w:cantSplit/>
        </w:trPr>
        <w:tc>
          <w:tcPr/>
          <w:p>
            <w:pPr>
              <w:pStyle w:val="Compact"/>
              <w:jc w:val="left"/>
            </w:pPr>
            <w:r>
              <w:t xml:space="preserve">Protected resource</w:t>
            </w:r>
          </w:p>
        </w:tc>
        <w:tc>
          <w:tcPr/>
          <w:p>
            <w:pPr>
              <w:pStyle w:val="Compact"/>
              <w:jc w:val="left"/>
            </w:pPr>
            <w:r>
              <w:t xml:space="preserve">data/synthea/*.csv via database/repository.py</w:t>
            </w:r>
          </w:p>
        </w:tc>
        <w:tc>
          <w:tcPr/>
          <w:p>
            <w:pPr>
              <w:pStyle w:val="Compact"/>
              <w:jc w:val="left"/>
            </w:pPr>
            <w:r>
              <w:t xml:space="preserve">Synthetic EMR modules [41], released only after authorisation</w:t>
            </w:r>
          </w:p>
        </w:tc>
      </w:tr>
      <w:tr>
        <w:trPr>
          <w:cantSplit/>
        </w:trPr>
        <w:tc>
          <w:tcPr/>
          <w:p>
            <w:pPr>
              <w:pStyle w:val="Compact"/>
              <w:jc w:val="left"/>
            </w:pPr>
            <w:r>
              <w:t xml:space="preserve">[</w:t>
            </w:r>
          </w:p>
        </w:tc>
        <w:tc>
          <w:tcPr/>
          <w:p>
            <w:pPr>
              <w:pStyle w:val="Compact"/>
              <w:jc w:val="left"/>
            </w:pPr>
            <w:r>
              <w:t xml:space="preserve">Smart contract</w:t>
            </w:r>
          </w:p>
        </w:tc>
        <w:tc>
          <w:tcPr/>
          <w:p>
            <w:pPr>
              <w:pStyle w:val="Compact"/>
              <w:jc w:val="left"/>
            </w:pPr>
            <w:r>
              <w:t xml:space="preserve">contracts/ConsentSBTv3.sol</w:t>
            </w:r>
          </w:p>
        </w:tc>
      </w:tr>
    </w:tbl>
    <w:p>
      <w:pPr>
        <w:pStyle w:val="BodyText"/>
      </w:pPr>
      <w:r>
        <w:t xml:space="preserve">Figure 7.6 traces one consent through the four subsystems of the prototype and shows where each check is enforced and which events are written to the audit log.</w:t>
      </w:r>
    </w:p>
    <w:p>
      <w:pPr>
        <w:pStyle w:val="CaptionedFigure"/>
      </w:pPr>
      <w:r>
        <w:drawing>
          <wp:inline>
            <wp:extent cx="4800600" cy="7677252"/>
            <wp:effectExtent b="0" l="0" r="0" t="0"/>
            <wp:docPr descr="Figure 7.6: HALAH prototype workflow from consent creation to audited access decision" title="" id="161" name="Picture"/>
            <a:graphic>
              <a:graphicData uri="http://schemas.openxmlformats.org/drawingml/2006/picture">
                <pic:pic>
                  <pic:nvPicPr>
                    <pic:cNvPr descr="media_col/fig_halah.png" id="162" name="Picture"/>
                    <pic:cNvPicPr>
                      <a:picLocks noChangeArrowheads="1" noChangeAspect="1"/>
                    </pic:cNvPicPr>
                  </pic:nvPicPr>
                  <pic:blipFill>
                    <a:blip r:embed="rId160"/>
                    <a:stretch>
                      <a:fillRect/>
                    </a:stretch>
                  </pic:blipFill>
                  <pic:spPr bwMode="auto">
                    <a:xfrm>
                      <a:off x="0" y="0"/>
                      <a:ext cx="4800600" cy="7677252"/>
                    </a:xfrm>
                    <a:prstGeom prst="rect">
                      <a:avLst/>
                    </a:prstGeom>
                    <a:noFill/>
                    <a:ln w="9525">
                      <a:noFill/>
                      <a:headEnd/>
                      <a:tailEnd/>
                    </a:ln>
                  </pic:spPr>
                </pic:pic>
              </a:graphicData>
            </a:graphic>
          </wp:inline>
        </w:drawing>
      </w:r>
    </w:p>
    <w:p>
      <w:pPr>
        <w:pStyle w:val="ImageCaption"/>
      </w:pPr>
      <w:r>
        <w:t xml:space="preserve">Figure 7.6: HALAH prototype workflow from consent creation to audited access decision</w:t>
      </w:r>
    </w:p>
    <w:bookmarkEnd w:id="163"/>
    <w:bookmarkStart w:id="164" w:name="automated-test-evidence"/>
    <w:p>
      <w:pPr>
        <w:pStyle w:val="Heading2"/>
      </w:pPr>
      <w:r>
        <w:t xml:space="preserve">7.11 Automated Test Evidence</w:t>
      </w:r>
    </w:p>
    <w:p>
      <w:pPr>
        <w:pStyle w:val="FirstParagraph"/>
      </w:pPr>
      <w:r>
        <w:t xml:space="preserve">Table 7.3 summarises the automated tests of the prototype (pytest 9.1.1, Python 3.11, run on 28 September 2026): 16 tests passed, 2 were skipped and none failed.</w:t>
      </w:r>
    </w:p>
    <w:p>
      <w:pPr>
        <w:pStyle w:val="TableCaption"/>
      </w:pPr>
      <w:r>
        <w:t xml:space="preserve">Table 7.3: Automated test results of the HALAH prototype</w:t>
      </w:r>
    </w:p>
    <w:tbl>
      <w:tblPr>
        <w:tblStyle w:val="Table"/>
        <w:tblW w:type="pct" w:w="5000"/>
        <w:tblLayout w:type="fixed"/>
        <w:tblLook w:firstRow="1" w:lastRow="0" w:firstColumn="0" w:lastColumn="0" w:noHBand="0" w:noVBand="0" w:val="0020"/>
        <w:tblCaption w:val="Table 7.3: Automated test results of the HALAH prototype"/>
      </w:tblPr>
      <w:tblGrid>
        <w:gridCol w:w="674"/>
        <w:gridCol w:w="2022"/>
        <w:gridCol w:w="2864"/>
        <w:gridCol w:w="786"/>
        <w:gridCol w:w="157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ID</w:t>
            </w:r>
          </w:p>
        </w:tc>
        <w:tc>
          <w:tcPr>
            <w:tcBorders>
              <w:bottom w:val="single" w:sz="8" w:space="0" w:color="000000"/>
            </w:tcBorders>
            <w:shd w:val="clear" w:color="auto" w:fill="E7E6E6"/>
            <w:vAlign w:val="center"/>
          </w:tcPr>
          <w:p>
            <w:pPr>
              <w:pStyle w:val="Compact"/>
              <w:jc w:val="left"/>
            </w:pPr>
            <w:r>
              <w:rPr>
                <w:b/>
                <w:bCs/>
              </w:rPr>
              <w:t xml:space="preserve">Scenario</w:t>
            </w:r>
          </w:p>
        </w:tc>
        <w:tc>
          <w:tcPr>
            <w:tcBorders>
              <w:bottom w:val="single" w:sz="8" w:space="0" w:color="000000"/>
            </w:tcBorders>
            <w:shd w:val="clear" w:color="auto" w:fill="E7E6E6"/>
            <w:vAlign w:val="center"/>
          </w:tcPr>
          <w:p>
            <w:pPr>
              <w:pStyle w:val="Compact"/>
              <w:jc w:val="left"/>
            </w:pPr>
            <w:r>
              <w:rPr>
                <w:b/>
                <w:bCs/>
              </w:rPr>
              <w:t xml:space="preserve">Condition tested → expected outcome</w:t>
            </w:r>
          </w:p>
        </w:tc>
        <w:tc>
          <w:tcPr>
            <w:tcBorders>
              <w:bottom w:val="single" w:sz="8" w:space="0" w:color="000000"/>
            </w:tcBorders>
            <w:shd w:val="clear" w:color="auto" w:fill="E7E6E6"/>
            <w:vAlign w:val="center"/>
          </w:tcPr>
          <w:p>
            <w:pPr>
              <w:pStyle w:val="Compact"/>
              <w:jc w:val="left"/>
            </w:pPr>
            <w:r>
              <w:rPr>
                <w:b/>
                <w:bCs/>
              </w:rPr>
              <w:t xml:space="preserve">Predicate</w:t>
            </w:r>
          </w:p>
        </w:tc>
        <w:tc>
          <w:tcPr>
            <w:tcBorders>
              <w:bottom w:val="single" w:sz="8" w:space="0" w:color="000000"/>
            </w:tcBorders>
            <w:shd w:val="clear" w:color="auto" w:fill="E7E6E6"/>
            <w:vAlign w:val="center"/>
          </w:tcPr>
          <w:p>
            <w:pPr>
              <w:pStyle w:val="Compact"/>
              <w:jc w:val="left"/>
            </w:pPr>
            <w:r>
              <w:rPr>
                <w:b/>
                <w:bCs/>
              </w:rPr>
              <w:t xml:space="preserve">Observed</w:t>
            </w:r>
          </w:p>
        </w:tc>
      </w:tr>
      <w:tr>
        <w:trPr>
          <w:cantSplit/>
        </w:trPr>
        <w:tc>
          <w:tcPr/>
          <w:p>
            <w:pPr>
              <w:pStyle w:val="Compact"/>
              <w:jc w:val="left"/>
            </w:pPr>
            <w:r>
              <w:t xml:space="preserve">T1</w:t>
            </w:r>
          </w:p>
        </w:tc>
        <w:tc>
          <w:tcPr/>
          <w:p>
            <w:pPr>
              <w:pStyle w:val="Compact"/>
              <w:jc w:val="left"/>
            </w:pPr>
            <w:r>
              <w:t xml:space="preserve">EIP-712 guardian approval</w:t>
            </w:r>
          </w:p>
        </w:tc>
        <w:tc>
          <w:tcPr/>
          <w:p>
            <w:pPr>
              <w:pStyle w:val="Compact"/>
              <w:jc w:val="left"/>
            </w:pPr>
            <w:r>
              <w:t xml:space="preserve">Valid signature accepted; wrong guardian, wrong consent ID and missing signature rejected</w:t>
            </w:r>
          </w:p>
        </w:tc>
        <w:tc>
          <w:tcPr/>
          <w:p>
            <w:pPr>
              <w:pStyle w:val="Compact"/>
              <w:jc w:val="left"/>
            </w:pPr>
            <m:oMath>
              <m:sSub>
                <m:e>
                  <m:r>
                    <m:t>V</m:t>
                  </m:r>
                </m:e>
                <m:sub>
                  <m:r>
                    <m:t>I</m:t>
                  </m:r>
                </m:sub>
              </m:sSub>
            </m:oMath>
          </w:p>
        </w:tc>
        <w:tc>
          <w:tcPr/>
          <w:p>
            <w:pPr>
              <w:pStyle w:val="Compact"/>
              <w:jc w:val="left"/>
            </w:pPr>
            <w:r>
              <w:t xml:space="preserve">Pass</w:t>
            </w:r>
          </w:p>
        </w:tc>
      </w:tr>
      <w:tr>
        <w:trPr>
          <w:cantSplit/>
        </w:trPr>
        <w:tc>
          <w:tcPr/>
          <w:p>
            <w:pPr>
              <w:pStyle w:val="Compact"/>
              <w:jc w:val="left"/>
            </w:pPr>
            <w:r>
              <w:t xml:space="preserve">T2</w:t>
            </w:r>
          </w:p>
        </w:tc>
        <w:tc>
          <w:tcPr/>
          <w:p>
            <w:pPr>
              <w:pStyle w:val="Compact"/>
              <w:jc w:val="left"/>
            </w:pPr>
            <w:r>
              <w:t xml:space="preserve">Decision matrix</w:t>
            </w:r>
          </w:p>
        </w:tc>
        <w:tc>
          <w:tcPr/>
          <w:p>
            <w:pPr>
              <w:pStyle w:val="Compact"/>
              <w:jc w:val="left"/>
            </w:pPr>
            <w:r>
              <w:t xml:space="preserve">All conditions true → ALLOW; wrong jurisdiction, expired consent, revoked consent, purpose</w:t>
            </w:r>
            <w:r>
              <w:t xml:space="preserve"> </w:t>
            </w:r>
            <w:r>
              <w:t xml:space="preserve">‘Marketing’</w:t>
            </w:r>
            <w:r>
              <w:t xml:space="preserve"> </w:t>
            </w:r>
            <w:r>
              <w:t xml:space="preserve">and forged signature each make the corresponding predicate fail</w:t>
            </w:r>
          </w:p>
        </w:tc>
        <w:tc>
          <w:tcPr/>
          <w:p>
            <w:pPr>
              <w:pStyle w:val="Compact"/>
              <w:jc w:val="left"/>
            </w:pPr>
            <m:oMath>
              <m:sSub>
                <m:e>
                  <m:r>
                    <m:t>V</m:t>
                  </m:r>
                </m:e>
                <m:sub>
                  <m:r>
                    <m:t>I</m:t>
                  </m:r>
                </m:sub>
              </m:sSub>
            </m:oMath>
            <w:r>
              <w:t xml:space="preserve">–</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T3</w:t>
            </w:r>
          </w:p>
        </w:tc>
        <w:tc>
          <w:tcPr/>
          <w:p>
            <w:pPr>
              <w:pStyle w:val="Compact"/>
              <w:jc w:val="left"/>
            </w:pPr>
            <w:r>
              <w:t xml:space="preserve">End-to-end lifecycle (chain mocked)</w:t>
            </w:r>
          </w:p>
        </w:tc>
        <w:tc>
          <w:tcPr/>
          <w:p>
            <w:pPr>
              <w:pStyle w:val="Compact"/>
              <w:jc w:val="left"/>
            </w:pPr>
            <w:r>
              <w:t xml:space="preserve">Create → PENDING_SIGNATURE; two signatures and mint → ACTIVE; revoke → REVOKED</w:t>
            </w:r>
          </w:p>
        </w:tc>
        <w:tc>
          <w:tcPr/>
          <w:p>
            <w:pPr>
              <w:pStyle w:val="Compact"/>
              <w:jc w:val="left"/>
            </w:pPr>
            <m:oMath>
              <m:sSub>
                <m:e>
                  <m:r>
                    <m:t>V</m:t>
                  </m:r>
                </m:e>
                <m:sub>
                  <m:r>
                    <m:t>A</m:t>
                  </m:r>
                </m:sub>
              </m:sSub>
            </m:oMath>
            <w:r>
              <w:t xml:space="preserve">,</w:t>
            </w:r>
            <w:r>
              <w:t xml:space="preserve"> </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T4</w:t>
            </w:r>
          </w:p>
        </w:tc>
        <w:tc>
          <w:tcPr/>
          <w:p>
            <w:pPr>
              <w:pStyle w:val="Compact"/>
              <w:jc w:val="left"/>
            </w:pPr>
            <w:r>
              <w:t xml:space="preserve">Revocation state</w:t>
            </w:r>
          </w:p>
        </w:tc>
        <w:tc>
          <w:tcPr/>
          <w:p>
            <w:pPr>
              <w:pStyle w:val="Compact"/>
              <w:jc w:val="left"/>
            </w:pPr>
            <w:r>
              <w:t xml:space="preserve">An ACTIVE consent becomes REVOKED when revoked</w:t>
            </w:r>
          </w:p>
        </w:tc>
        <w:tc>
          <w:tcPr/>
          <w:p>
            <w:pPr>
              <w:pStyle w:val="Compact"/>
              <w:jc w:val="left"/>
            </w:pP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T5</w:t>
            </w:r>
          </w:p>
        </w:tc>
        <w:tc>
          <w:tcPr/>
          <w:p>
            <w:pPr>
              <w:pStyle w:val="Compact"/>
              <w:jc w:val="left"/>
            </w:pPr>
            <w:r>
              <w:t xml:space="preserve">v3 contract routing</w:t>
            </w:r>
          </w:p>
        </w:tc>
        <w:tc>
          <w:tcPr/>
          <w:p>
            <w:pPr>
              <w:pStyle w:val="Compact"/>
              <w:jc w:val="left"/>
            </w:pPr>
            <w:r>
              <w:t xml:space="preserve">The v3 mint carries jurisdiction</w:t>
            </w:r>
            <w:r>
              <w:t xml:space="preserve"> </w:t>
            </w:r>
            <w:r>
              <w:t xml:space="preserve">‘AU’</w:t>
            </w:r>
            <w:r>
              <w:t xml:space="preserve"> </w:t>
            </w:r>
            <w:r>
              <w:t xml:space="preserve">and notBefore &lt; expiry</w:t>
            </w:r>
          </w:p>
        </w:tc>
        <w:tc>
          <w:tcPr/>
          <w:p>
            <w:pPr>
              <w:pStyle w:val="Compact"/>
              <w:jc w:val="left"/>
            </w:pPr>
            <m:oMath>
              <m:sSub>
                <m:e>
                  <m:r>
                    <m:t>V</m:t>
                  </m:r>
                </m:e>
                <m:sub>
                  <m:r>
                    <m:t>T</m:t>
                  </m:r>
                </m:sub>
              </m:sSub>
            </m:oMath>
          </w:p>
        </w:tc>
        <w:tc>
          <w:tcPr/>
          <w:p>
            <w:pPr>
              <w:pStyle w:val="Compact"/>
              <w:jc w:val="left"/>
            </w:pPr>
            <w:r>
              <w:t xml:space="preserve">Pass</w:t>
            </w:r>
          </w:p>
        </w:tc>
      </w:tr>
      <w:tr>
        <w:trPr>
          <w:cantSplit/>
        </w:trPr>
        <w:tc>
          <w:tcPr/>
          <w:p>
            <w:pPr>
              <w:pStyle w:val="Compact"/>
              <w:jc w:val="left"/>
            </w:pPr>
            <w:r>
              <w:t xml:space="preserve">T6</w:t>
            </w:r>
          </w:p>
        </w:tc>
        <w:tc>
          <w:tcPr/>
          <w:p>
            <w:pPr>
              <w:pStyle w:val="Compact"/>
              <w:jc w:val="left"/>
            </w:pPr>
            <w:r>
              <w:t xml:space="preserve">Persistence (3 tests)</w:t>
            </w:r>
          </w:p>
        </w:tc>
        <w:tc>
          <w:tcPr/>
          <w:p>
            <w:pPr>
              <w:pStyle w:val="Compact"/>
              <w:jc w:val="left"/>
            </w:pPr>
            <w:r>
              <w:t xml:space="preserve">Consent, revocation and audit events survive a restart</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T7</w:t>
            </w:r>
          </w:p>
        </w:tc>
        <w:tc>
          <w:tcPr/>
          <w:p>
            <w:pPr>
              <w:pStyle w:val="Compact"/>
              <w:jc w:val="left"/>
            </w:pPr>
            <w:r>
              <w:t xml:space="preserve">Audit honesty (2 tests)</w:t>
            </w:r>
          </w:p>
        </w:tc>
        <w:tc>
          <w:tcPr/>
          <w:p>
            <w:pPr>
              <w:pStyle w:val="Compact"/>
              <w:jc w:val="left"/>
            </w:pPr>
            <w:r>
              <w:t xml:space="preserve">Off-chain events carry no synthetic transaction hash; on-chain events keep the real one</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T8</w:t>
            </w:r>
          </w:p>
        </w:tc>
        <w:tc>
          <w:tcPr/>
          <w:p>
            <w:pPr>
              <w:pStyle w:val="Compact"/>
              <w:jc w:val="left"/>
            </w:pPr>
            <w:r>
              <w:t xml:space="preserve">Configuration and honesty (6 tests)</w:t>
            </w:r>
          </w:p>
        </w:tc>
        <w:tc>
          <w:tcPr/>
          <w:p>
            <w:pPr>
              <w:pStyle w:val="Compact"/>
              <w:jc w:val="left"/>
            </w:pPr>
            <w:r>
              <w:t xml:space="preserve">Deterministic DID-to-address mapping, configuration checks, contract interface and honest interface labels</w:t>
            </w:r>
          </w:p>
        </w:tc>
        <w:tc>
          <w:tcPr/>
          <w:p>
            <w:pPr>
              <w:pStyle w:val="Compact"/>
              <w:jc w:val="left"/>
            </w:pPr>
            <w:r>
              <w:t xml:space="preserve">–</w:t>
            </w:r>
          </w:p>
        </w:tc>
        <w:tc>
          <w:tcPr/>
          <w:p>
            <w:pPr>
              <w:pStyle w:val="Compact"/>
              <w:jc w:val="left"/>
            </w:pPr>
            <w:r>
              <w:t xml:space="preserve">Pass</w:t>
            </w:r>
          </w:p>
        </w:tc>
      </w:tr>
      <w:tr>
        <w:trPr>
          <w:cantSplit/>
        </w:trPr>
        <w:tc>
          <w:tcPr/>
          <w:p>
            <w:pPr>
              <w:pStyle w:val="Compact"/>
              <w:jc w:val="left"/>
            </w:pPr>
            <w:r>
              <w:t xml:space="preserve">T9</w:t>
            </w:r>
          </w:p>
        </w:tc>
        <w:tc>
          <w:tcPr/>
          <w:p>
            <w:pPr>
              <w:pStyle w:val="Compact"/>
              <w:jc w:val="left"/>
            </w:pPr>
            <w:r>
              <w:t xml:space="preserve">Groth16 zero-knowledge (2 tests)</w:t>
            </w:r>
          </w:p>
        </w:tc>
        <w:tc>
          <w:tcPr/>
          <w:p>
            <w:pPr>
              <w:pStyle w:val="Compact"/>
              <w:jc w:val="left"/>
            </w:pPr>
            <w:r>
              <w:t xml:space="preserve">Proof round-trip and tamper rejection; an expired consent cannot be proven</w:t>
            </w:r>
          </w:p>
        </w:tc>
        <w:tc>
          <w:tcPr/>
          <w:p>
            <w:pPr>
              <w:pStyle w:val="Compact"/>
              <w:jc w:val="left"/>
            </w:pPr>
            <m:oMath>
              <m:sSub>
                <m:e>
                  <m:r>
                    <m:t>V</m:t>
                  </m:r>
                </m:e>
                <m:sub>
                  <m:r>
                    <m:t>T</m:t>
                  </m:r>
                </m:sub>
              </m:sSub>
            </m:oMath>
          </w:p>
        </w:tc>
        <w:tc>
          <w:tcPr/>
          <w:p>
            <w:pPr>
              <w:pStyle w:val="Compact"/>
              <w:jc w:val="left"/>
            </w:pPr>
            <w:r>
              <w:t xml:space="preserve">Skipped (circuit not built)</w:t>
            </w:r>
          </w:p>
        </w:tc>
      </w:tr>
    </w:tbl>
    <w:p>
      <w:pPr>
        <w:pStyle w:val="BodyText"/>
      </w:pPr>
      <w:r>
        <w:t xml:space="preserve">These are functional unit and integration tests in which the blockchain is mocked. They provide initial evidence for SRQ1–SRQ4 and for the first SRQ5 checks, but they are not yet the complete valid, negative and adversarial scenario set of Algorithm 6. Negative and adversarial cases still to be added in Stage 2 include insufficient approvals at the data-release gate, a duplicate approval attempt, an out-of-scope request submitted directly to the service interface, and a request with a mismatched declared purpose.</w:t>
      </w:r>
    </w:p>
    <w:bookmarkEnd w:id="164"/>
    <w:bookmarkStart w:id="165" w:name="on-chain-evidence"/>
    <w:p>
      <w:pPr>
        <w:pStyle w:val="Heading2"/>
      </w:pPr>
      <w:r>
        <w:t xml:space="preserve">7.12 On-Chain Evidence</w:t>
      </w:r>
    </w:p>
    <w:p>
      <w:pPr>
        <w:pStyle w:val="FirstParagraph"/>
      </w:pPr>
      <w:r>
        <w:t xml:space="preserve">Table 7.4 lists the consent tokens anchored on the Ethereum Sepolia testnet (chain ID 11155111) by the ConsentSBTv2 contract (contracts/ConsentSBT_v2_hardened.sol, the version deployed when the evidence was recorded; ConsentSBTv3 in Table 7.2 is the current source and is exercised by test T5) at address 0xb0dA0440Abd6bd74bE0aebE226D593492124A6e7. The holder of token #4 equals the address derived from the patient DID</w:t>
      </w:r>
      <w:r>
        <w:t xml:space="preserve"> </w:t>
      </w:r>
      <w:r>
        <w:t xml:space="preserve">‘did:patient:demo’</w:t>
      </w:r>
      <w:r>
        <w:t xml:space="preserve">, which demonstrates the DID-to-address binding used by the prototype.</w:t>
      </w:r>
    </w:p>
    <w:p>
      <w:pPr>
        <w:pStyle w:val="TableCaption"/>
      </w:pPr>
      <w:r>
        <w:t xml:space="preserve">Table 7.4: Consent SBTs anchored on Ethereum Sepolia</w:t>
      </w:r>
    </w:p>
    <w:tbl>
      <w:tblPr>
        <w:tblStyle w:val="Table"/>
        <w:tblW w:type="pct" w:w="5000"/>
        <w:tblLayout w:type="fixed"/>
        <w:tblLook w:firstRow="1" w:lastRow="0" w:firstColumn="0" w:lastColumn="0" w:noHBand="0" w:noVBand="0" w:val="0020"/>
        <w:tblCaption w:val="Table 7.4: Consent SBTs anchored on Ethereum Sepolia"/>
      </w:tblPr>
      <w:tblGrid>
        <w:gridCol w:w="1267"/>
        <w:gridCol w:w="1267"/>
        <w:gridCol w:w="538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Token</w:t>
            </w:r>
          </w:p>
        </w:tc>
        <w:tc>
          <w:tcPr>
            <w:tcBorders>
              <w:bottom w:val="single" w:sz="8" w:space="0" w:color="000000"/>
            </w:tcBorders>
            <w:shd w:val="clear" w:color="auto" w:fill="E7E6E6"/>
            <w:vAlign w:val="center"/>
          </w:tcPr>
          <w:p>
            <w:pPr>
              <w:pStyle w:val="Compact"/>
              <w:jc w:val="left"/>
            </w:pPr>
            <w:r>
              <w:rPr>
                <w:b/>
                <w:bCs/>
              </w:rPr>
              <w:t xml:space="preserve">Block</w:t>
            </w:r>
          </w:p>
        </w:tc>
        <w:tc>
          <w:tcPr>
            <w:tcBorders>
              <w:bottom w:val="single" w:sz="8" w:space="0" w:color="000000"/>
            </w:tcBorders>
            <w:shd w:val="clear" w:color="auto" w:fill="E7E6E6"/>
            <w:vAlign w:val="center"/>
          </w:tcPr>
          <w:p>
            <w:pPr>
              <w:pStyle w:val="Compact"/>
              <w:jc w:val="left"/>
            </w:pPr>
            <w:r>
              <w:rPr>
                <w:b/>
                <w:bCs/>
              </w:rPr>
              <w:t xml:space="preserve">Transaction hash</w:t>
            </w:r>
          </w:p>
        </w:tc>
      </w:tr>
      <w:tr>
        <w:trPr>
          <w:cantSplit/>
        </w:trPr>
        <w:tc>
          <w:tcPr/>
          <w:p>
            <w:pPr>
              <w:pStyle w:val="Compact"/>
              <w:jc w:val="left"/>
            </w:pPr>
            <w:r>
              <w:t xml:space="preserve">#1</w:t>
            </w:r>
          </w:p>
        </w:tc>
        <w:tc>
          <w:tcPr/>
          <w:p>
            <w:pPr>
              <w:pStyle w:val="Compact"/>
              <w:jc w:val="left"/>
            </w:pPr>
            <w:r>
              <w:t xml:space="preserve">11750525</w:t>
            </w:r>
          </w:p>
        </w:tc>
        <w:tc>
          <w:tcPr/>
          <w:p>
            <w:pPr>
              <w:pStyle w:val="Compact"/>
              <w:jc w:val="left"/>
            </w:pPr>
            <w:r>
              <w:t xml:space="preserve">0x5bfb45ee43f180369161db5b2773593c8fab091bdc50e1b2054901c0de105367</w:t>
            </w:r>
          </w:p>
        </w:tc>
      </w:tr>
      <w:tr>
        <w:trPr>
          <w:cantSplit/>
        </w:trPr>
        <w:tc>
          <w:tcPr/>
          <w:p>
            <w:pPr>
              <w:pStyle w:val="Compact"/>
              <w:jc w:val="left"/>
            </w:pPr>
            <w:r>
              <w:t xml:space="preserve">#2</w:t>
            </w:r>
          </w:p>
        </w:tc>
        <w:tc>
          <w:tcPr/>
          <w:p>
            <w:pPr>
              <w:pStyle w:val="Compact"/>
              <w:jc w:val="left"/>
            </w:pPr>
            <w:r>
              <w:t xml:space="preserve">11750632</w:t>
            </w:r>
          </w:p>
        </w:tc>
        <w:tc>
          <w:tcPr/>
          <w:p>
            <w:pPr>
              <w:pStyle w:val="Compact"/>
              <w:jc w:val="left"/>
            </w:pPr>
            <w:r>
              <w:t xml:space="preserve">0x1b964596cdef2c67af345f566ea501a5be609a8e917097596b241e56fc522907</w:t>
            </w:r>
          </w:p>
        </w:tc>
      </w:tr>
      <w:tr>
        <w:trPr>
          <w:cantSplit/>
        </w:trPr>
        <w:tc>
          <w:tcPr/>
          <w:p>
            <w:pPr>
              <w:pStyle w:val="Compact"/>
              <w:jc w:val="left"/>
            </w:pPr>
            <w:r>
              <w:t xml:space="preserve">#3</w:t>
            </w:r>
          </w:p>
        </w:tc>
        <w:tc>
          <w:tcPr/>
          <w:p>
            <w:pPr>
              <w:pStyle w:val="Compact"/>
              <w:jc w:val="left"/>
            </w:pPr>
            <w:r>
              <w:t xml:space="preserve">11750702</w:t>
            </w:r>
          </w:p>
        </w:tc>
        <w:tc>
          <w:tcPr/>
          <w:p>
            <w:pPr>
              <w:pStyle w:val="Compact"/>
              <w:jc w:val="left"/>
            </w:pPr>
            <w:r>
              <w:t xml:space="preserve">0x6812ab1608bd475891d5a8c2007c6955e7225c06c81a649bd1735aabef251121</w:t>
            </w:r>
          </w:p>
        </w:tc>
      </w:tr>
      <w:tr>
        <w:trPr>
          <w:cantSplit/>
        </w:trPr>
        <w:tc>
          <w:tcPr/>
          <w:p>
            <w:pPr>
              <w:pStyle w:val="Compact"/>
              <w:jc w:val="left"/>
            </w:pPr>
            <w:r>
              <w:t xml:space="preserve">#4</w:t>
            </w:r>
          </w:p>
        </w:tc>
        <w:tc>
          <w:tcPr/>
          <w:p>
            <w:pPr>
              <w:pStyle w:val="Compact"/>
              <w:jc w:val="left"/>
            </w:pPr>
            <w:r>
              <w:t xml:space="preserve">11750722</w:t>
            </w:r>
          </w:p>
        </w:tc>
        <w:tc>
          <w:tcPr/>
          <w:p>
            <w:pPr>
              <w:pStyle w:val="Compact"/>
              <w:jc w:val="left"/>
            </w:pPr>
            <w:r>
              <w:t xml:space="preserve">0xa4c4156bd943578a6f8f29a536eb39e1acce238a86c5a4ad00d85eff497e014a</w:t>
            </w:r>
          </w:p>
        </w:tc>
      </w:tr>
    </w:tbl>
    <w:bookmarkEnd w:id="165"/>
    <w:bookmarkStart w:id="166" w:name="implementation-status-and-limitations"/>
    <w:p>
      <w:pPr>
        <w:pStyle w:val="Heading2"/>
      </w:pPr>
      <w:r>
        <w:t xml:space="preserve">7.13 Implementation Status and Limitations</w:t>
      </w:r>
    </w:p>
    <w:p>
      <w:pPr>
        <w:pStyle w:val="FirstParagraph"/>
      </w:pPr>
      <w:r>
        <w:t xml:space="preserve">The screenshots in Figures 7.1–7.5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6"/>
        </w:numPr>
      </w:pPr>
      <w:r>
        <w:t xml:space="preserve">Guardian signing keys are derived from the DID for demonstration; a deployment would use each guardian’s own wallet.</w:t>
      </w:r>
    </w:p>
    <w:p>
      <w:pPr>
        <w:pStyle w:val="Compact"/>
        <w:numPr>
          <w:ilvl w:val="0"/>
          <w:numId w:val="1076"/>
        </w:numPr>
      </w:pPr>
      <w:r>
        <w:t xml:space="preserve">DID verification is syntactic, and no W3C Verifiable Credential is yet issued or verified (Stage 2).</w:t>
      </w:r>
    </w:p>
    <w:p>
      <w:pPr>
        <w:pStyle w:val="Compact"/>
        <w:numPr>
          <w:ilvl w:val="0"/>
          <w:numId w:val="1076"/>
        </w:numPr>
      </w:pPr>
      <w:r>
        <w:t xml:space="preserve">The threshold is</w:t>
      </w:r>
      <w:r>
        <w:t xml:space="preserve"> </w:t>
      </w:r>
      <m:oMath>
        <m:r>
          <m:t>N</m:t>
        </m:r>
        <m:r>
          <m:rPr>
            <m:sty m:val="p"/>
          </m:rPr>
          <m:t>=</m:t>
        </m:r>
        <m:d>
          <m:dPr>
            <m:begChr m:val="|"/>
            <m:sepChr m:val=""/>
            <m:endChr m:val="|"/>
            <m:grow/>
          </m:dPr>
          <m:e>
            <m:r>
              <m:t>G</m:t>
            </m:r>
          </m:e>
        </m:d>
      </m:oMath>
      <w:r>
        <w:t xml:space="preserve"> </w:t>
      </w:r>
      <w:r>
        <w:t xml:space="preserve">(all designated guardians); configurable k-of-n thresholds are not yet supported.</w:t>
      </w:r>
    </w:p>
    <w:p>
      <w:pPr>
        <w:pStyle w:val="Compact"/>
        <w:numPr>
          <w:ilvl w:val="0"/>
          <w:numId w:val="1076"/>
        </w:numPr>
      </w:pPr>
      <w:r>
        <w:t xml:space="preserve">Purpose is checked against a fixed list; per-request purpose binding is Stage 2 work.</w:t>
      </w:r>
    </w:p>
    <w:p>
      <w:pPr>
        <w:pStyle w:val="Compact"/>
        <w:numPr>
          <w:ilvl w:val="0"/>
          <w:numId w:val="1076"/>
        </w:numPr>
      </w:pPr>
      <w:r>
        <w:t xml:space="preserve">Data release is gated by consent state, proof and scope rather than by the full decision matrix.</w:t>
      </w:r>
    </w:p>
    <w:p>
      <w:pPr>
        <w:pStyle w:val="Compact"/>
        <w:numPr>
          <w:ilvl w:val="0"/>
          <w:numId w:val="1076"/>
        </w:numPr>
      </w:pPr>
      <w:r>
        <w:t xml:space="preserve">Healthcare data are synthetic (Synthea [41]), and the blockchain is a public testnet rather than a production network.</w:t>
      </w:r>
    </w:p>
    <w:p>
      <w:pPr>
        <w:pStyle w:val="Compact"/>
        <w:numPr>
          <w:ilvl w:val="0"/>
          <w:numId w:val="1076"/>
        </w:numPr>
      </w:pPr>
      <w:r>
        <w:t xml:space="preserve">The Groth16 circuit proves consent validity only and uses a development-only trusted setup.</w:t>
      </w:r>
    </w:p>
    <w:p>
      <w:pPr>
        <w:pStyle w:val="Compact"/>
        <w:numPr>
          <w:ilvl w:val="0"/>
          <w:numId w:val="1076"/>
        </w:numPr>
      </w:pPr>
      <w:r>
        <w:t xml:space="preserve">Evaluation to date is functional (18 automated tests); performance and adversarial measurements are Stage 2 work.</w:t>
      </w:r>
    </w:p>
    <w:bookmarkEnd w:id="166"/>
    <w:bookmarkEnd w:id="167"/>
    <w:bookmarkStart w:id="174" w:name="current-progress-status"/>
    <w:p>
      <w:pPr>
        <w:pStyle w:val="Heading1"/>
      </w:pPr>
      <w:r>
        <w:t xml:space="preserve">8 Current Progress Status</w:t>
      </w:r>
    </w:p>
    <w:bookmarkStart w:id="168" w:name="X14610c74215ca842dde591adf203c91218a1a96"/>
    <w:p>
      <w:pPr>
        <w:pStyle w:val="Heading2"/>
      </w:pPr>
      <w:r>
        <w:t xml:space="preserve">8.1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In the HALAH prototype the consent object is implemented as</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(Section 7.2). This representation provides a conceptual basis for dynamic access decisions and allows subsequent authorisation conditions to be evaluated consistently.</w:t>
      </w:r>
    </w:p>
    <w:bookmarkEnd w:id="168"/>
    <w:bookmarkStart w:id="169" w:name="X559e9df15ebd031f98715062b5b54bf7a8f1d60"/>
    <w:p>
      <w:pPr>
        <w:pStyle w:val="Heading2"/>
      </w:pPr>
      <w:r>
        <w:t xml:space="preserve">8.2 Progress of RO2: Decentralised Identity and Authority</w:t>
      </w:r>
    </w:p>
    <w:p>
      <w:pPr>
        <w:pStyle w:val="FirstParagraph"/>
      </w:pPr>
      <w:r>
        <w:rPr>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 authorisation authority (Eq. (1)).</w:t>
      </w:r>
    </w:p>
    <w:p>
      <w:pPr>
        <w:pStyle w:val="BodyText"/>
      </w:pPr>
      <w:r>
        <w:t xml:space="preserve">A decentralised identifier is used to establish the identity of a participant, while verifiable credentials provide evidence concerning the participant’s role or authority. The identity verification condition is given by Eq. (8).</w:t>
      </w:r>
    </w:p>
    <w:p>
      <w:pPr>
        <w:pStyle w:val="BodyText"/>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 In the prototype, guardian approvals are EIP-712 signatures verified by public-key recovery; a wrong guardian, a wrong consent identifier or a missing signature is rejected (Table 7.3, T1).</w:t>
      </w:r>
    </w:p>
    <w:bookmarkEnd w:id="169"/>
    <w:bookmarkStart w:id="170" w:name="Xf706e6be99deea6c1433defe6c0978157a655ed"/>
    <w:p>
      <w:pPr>
        <w:pStyle w:val="Heading2"/>
      </w:pPr>
      <w:r>
        <w:t xml:space="preserve">8.3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 given by Eq. (9).</w:t>
      </w:r>
    </w:p>
    <w:p>
      <w:pPr>
        <w:pStyle w:val="BodyText"/>
      </w:pPr>
      <w:r>
        <w:t xml:space="preserve">If the threshold is not satisfied, the decision is DENY (Eq. (10)).</w:t>
      </w:r>
    </w:p>
    <w:p>
      <w:pPr>
        <w:pStyle w:val="BodyText"/>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with two guardians, one approval leaves the consent in the PENDING_SIGNATURE state, and two approvals followed by SBT minting activate it (Eqs. (22)–(23); Figure 7.2; Table 7.3, T3).</w:t>
      </w:r>
    </w:p>
    <w:p>
      <w:pPr>
        <w:pStyle w:val="BodyText"/>
      </w:pPr>
      <w:r>
        <w:t xml:space="preserve">This provides preliminary evidence that the proposed framework can enforce collective rather than unilateral authorisation.</w:t>
      </w:r>
    </w:p>
    <w:bookmarkEnd w:id="170"/>
    <w:bookmarkStart w:id="171" w:name="X8600b2f76ef27bbd75c7c71838aa9377b2ebdb3"/>
    <w:p>
      <w:pPr>
        <w:pStyle w:val="Heading2"/>
      </w:pPr>
      <w:r>
        <w:t xml:space="preserve">8.4 Progress of RO4: Policy-Aware Access Control</w:t>
      </w:r>
    </w:p>
    <w:p>
      <w:pPr>
        <w:pStyle w:val="FirstParagraph"/>
      </w:pPr>
      <w:r>
        <w:rPr>
          <w:b/>
          <w:bCs/>
        </w:rPr>
        <w:t xml:space="preserve">Status: Completed (prototype level)</w:t>
      </w:r>
    </w:p>
    <w:p>
      <w:pPr>
        <w:pStyle w:val="BodyText"/>
      </w:pPr>
      <w:r>
        <w:t xml:space="preserve">RO4 has been implemented at prototype level. The doctor interface (Figures 7.3–7.4, Section 7.4) allows the requester to select only modules from the consented scope, and the service layer independently enforces</w:t>
      </w:r>
      <w:r>
        <w:t xml:space="preserve"> </w:t>
      </w:r>
      <m:oMath>
        <m:sSub>
          <m:e>
            <m:r>
              <m:t>S</m:t>
            </m:r>
          </m:e>
          <m:sub>
            <m:r>
              <m:t>R</m:t>
            </m:r>
          </m:sub>
        </m:sSub>
        <m:r>
          <m:rPr>
            <m:sty m:val="p"/>
          </m:rPr>
          <m:t>⊆</m:t>
        </m:r>
        <m:sSub>
          <m:e>
            <m:r>
              <m:t>S</m:t>
            </m:r>
          </m:e>
          <m:sub>
            <m:r>
              <m:t>C</m:t>
            </m:r>
          </m:sub>
        </m:sSub>
      </m:oMath>
      <w:r>
        <w:t xml:space="preserve"> </w:t>
      </w:r>
      <w:r>
        <w:t xml:space="preserve">(Eq. (25));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m:t>P</m:t>
            </m:r>
          </m:e>
          <m:sub>
            <m:r>
              <m:t>R</m:t>
            </m:r>
          </m:sub>
        </m:sSub>
        <m:r>
          <m:rPr>
            <m:sty m:val="p"/>
          </m:rPr>
          <m:t>⊨</m:t>
        </m:r>
        <m:sSub>
          <m:e>
            <m:r>
              <m:t>P</m:t>
            </m:r>
          </m:e>
          <m:sub>
            <m:r>
              <m:t>C</m:t>
            </m:r>
          </m:sub>
        </m:sSub>
      </m:oMath>
      <w:r>
        <w:t xml:space="preserve">) and routing data release through the full decision matrix are scheduled for Stage 2 (Section 6.4.1).</w:t>
      </w:r>
    </w:p>
    <w:bookmarkEnd w:id="171"/>
    <w:bookmarkStart w:id="172" w:name="X8e6146f09fe285d619620b5d8a35865b7344e11"/>
    <w:p>
      <w:pPr>
        <w:pStyle w:val="Heading2"/>
      </w:pPr>
      <w:r>
        <w:t xml:space="preserve">8.5 Progress of RO5: Temporal and Lifecycle Trust</w:t>
      </w:r>
    </w:p>
    <w:p>
      <w:pPr>
        <w:pStyle w:val="FirstParagraph"/>
      </w:pPr>
      <w:r>
        <w:rPr>
          <w:b/>
          <w:bCs/>
        </w:rPr>
        <w:t xml:space="preserve">Status: Partially completed (prototype; formal lifecycle analysis in Stage 2)</w:t>
      </w:r>
    </w:p>
    <w:p>
      <w:pPr>
        <w:pStyle w:val="BodyText"/>
      </w:pPr>
      <w:r>
        <w:t xml:space="preserve">A first version of RO5 is already operational in the HALAH prototype (Section 6.5.1); Stage 2 adds formal transition rules and adversarial evaluation. The objective is to introduce temporal and lifecycle trust so that consent is not considered permanently valid after creation or approval. The consent validity interval is represented as [</w:t>
      </w:r>
      <w:r>
        <w:rPr>
          <w:i/>
          <w:iCs/>
        </w:rPr>
        <w:t xml:space="preserve">t</w:t>
      </w:r>
      <w:r>
        <w:rPr>
          <w:vertAlign w:val="subscript"/>
        </w:rPr>
        <w:t xml:space="preserve">s</w:t>
      </w:r>
      <w:r>
        <w:t xml:space="preserve">,</w:t>
      </w:r>
      <w:r>
        <w:t xml:space="preserve"> </w:t>
      </w:r>
      <w:r>
        <w:rPr>
          <w:i/>
          <w:iCs/>
        </w:rPr>
        <w:t xml:space="preserve">t</w:t>
      </w:r>
      <w:r>
        <w:rPr>
          <w:vertAlign w:val="subscript"/>
        </w:rPr>
        <w:t xml:space="preserve">e</w:t>
      </w:r>
      <w:r>
        <w:t xml:space="preserve">], with temporal validity defined by Eq. (12).</w:t>
      </w:r>
    </w:p>
    <w:p>
      <w:pPr>
        <w:pStyle w:val="BodyText"/>
      </w:pPr>
      <w:r>
        <w:t xml:space="preserve">The consent lifecycle will also be extended to represent controlled transitions such as those of Eq. (14).</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the next stage.</w:t>
      </w:r>
    </w:p>
    <w:bookmarkEnd w:id="172"/>
    <w:bookmarkStart w:id="173" w:name="Xd9cfcdd9e757a6720ff3496d27d05dcd5fd4592"/>
    <w:p>
      <w:pPr>
        <w:pStyle w:val="Heading2"/>
      </w:pPr>
      <w:r>
        <w:t xml:space="preserve">8.6 Progress of RO6: Security Assurance and Validation</w:t>
      </w:r>
    </w:p>
    <w:p>
      <w:pPr>
        <w:pStyle w:val="FirstParagraph"/>
      </w:pPr>
      <w:r>
        <w:rPr>
          <w:b/>
          <w:bCs/>
        </w:rPr>
        <w:t xml:space="preserve">Status: Partially completed (SRQ1–SRQ4; 16 automated tests passed, Table 7.3)</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covers SRQ1–SRQ4 and the first SRQ5 checks (Section 7.11). Representative scenarios include valid identity verification, invalid identity or credential submission, insufficient multi-party approval, and successful completion of the required approval threshold. The central decision model is given by Eq. (6).</w:t>
      </w:r>
    </w:p>
    <w:p>
      <w:pPr>
        <w:pStyle w:val="BodyText"/>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the next stage. These activities will include policy-violation scenarios, temporal expiration, revocation, invalid lifecycle transitions, formal security properties, and broader experimental validation.</w:t>
      </w:r>
    </w:p>
    <w:bookmarkEnd w:id="173"/>
    <w:bookmarkEnd w:id="174"/>
    <w:bookmarkStart w:id="175" w:name="publications-summary"/>
    <w:p>
      <w:pPr>
        <w:pStyle w:val="Heading1"/>
      </w:pPr>
      <w:r>
        <w:t xml:space="preserve">9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TableCaption"/>
      </w:pPr>
      <w:r>
        <w:t xml:space="preserve">Table 9.1: Summary of Research Outputs and Publication Plan</w:t>
      </w:r>
    </w:p>
    <w:tbl>
      <w:tblPr>
        <w:tblStyle w:val="Table"/>
        <w:tblW w:type="pct" w:w="5000"/>
        <w:tblLayout w:type="fixed"/>
        <w:tblLook w:firstRow="1" w:lastRow="0" w:firstColumn="0" w:lastColumn="0" w:noHBand="0" w:noVBand="0" w:val="0020"/>
        <w:tblCaption w:val="Table 9.1: Summary of Research Outputs and Publication Plan"/>
      </w:tblPr>
      <w:tblGrid>
        <w:gridCol w:w="2207"/>
        <w:gridCol w:w="1384"/>
        <w:gridCol w:w="2120"/>
        <w:gridCol w:w="220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t xml:space="preserve">Computers &amp; Security (Elsevier)</w:t>
            </w:r>
          </w:p>
        </w:tc>
        <w:tc>
          <w:tcPr/>
          <w:p>
            <w:pPr>
              <w:pStyle w:val="Compact"/>
              <w:jc w:val="left"/>
            </w:pPr>
            <w:r>
              <w:t xml:space="preserve">Draft complete; submission planned November 2026</w:t>
            </w:r>
          </w:p>
        </w:tc>
        <w:tc>
          <w:tcPr/>
          <w:p>
            <w:pPr>
              <w:pStyle w:val="Compact"/>
              <w:jc w:val="left"/>
            </w:pPr>
            <w:r>
              <w:t xml:space="preserve">Core architectural contribution; addresses SRQ1–SRQ4 (Chapters 3–4).</w:t>
            </w:r>
          </w:p>
        </w:tc>
      </w:tr>
      <w:tr>
        <w:trPr>
          <w:cantSplit/>
        </w:trPr>
        <w:tc>
          <w:tcPr/>
          <w:p>
            <w:pPr>
              <w:pStyle w:val="Compact"/>
              <w:jc w:val="left"/>
            </w:pPr>
            <w:r>
              <w:rPr>
                <w:b/>
                <w:bCs/>
              </w:rPr>
              <w:t xml:space="preserve">HALAH Prototype &amp; Validation</w:t>
            </w:r>
            <w:r>
              <w:t xml:space="preserve"> </w:t>
            </w:r>
            <w:r>
              <w:rPr>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Specialised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5).</w:t>
            </w:r>
          </w:p>
        </w:tc>
      </w:tr>
    </w:tbl>
    <w:p>
      <w:pPr>
        <w:pStyle w:val="BodyText"/>
      </w:pPr>
      <w:r>
        <w:t xml:space="preserve">The</w:t>
      </w:r>
      <w:r>
        <w:t xml:space="preserve"> </w:t>
      </w:r>
      <w:r>
        <w:t xml:space="preserve"> </w:t>
      </w:r>
      <w:r>
        <w:t xml:space="preserve">current stage work establishes the conceptual and technical foundation, while the next stage work will strengthen the framework through formal analysis and comprehensive empirical validation.</w:t>
      </w:r>
    </w:p>
    <w:bookmarkEnd w:id="175"/>
    <w:bookmarkStart w:id="178" w:name="research-plan"/>
    <w:p>
      <w:pPr>
        <w:pStyle w:val="Heading1"/>
      </w:pPr>
      <w:r>
        <w:t xml:space="preserve">10 Research Plan</w:t>
      </w:r>
    </w:p>
    <w:p>
      <w:pPr>
        <w:pStyle w:val="FirstParagraph"/>
      </w:pPr>
      <w:r>
        <w:t xml:space="preserve">The research plan is divided into two major stages corresponding to the current and next stages.</w:t>
      </w:r>
    </w:p>
    <w:bookmarkStart w:id="176" w:name="current-stage-completed-and-current-work"/>
    <w:p>
      <w:pPr>
        <w:pStyle w:val="Heading2"/>
      </w:pPr>
      <w:r>
        <w:t xml:space="preserve">10.1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RO1–RO4 have been implemented at prototype level and initially validated through the HALAH prototype (Chapter 7), and a first version of RO5 (expiry and revocation) is already operational.</w:t>
      </w:r>
    </w:p>
    <w:bookmarkEnd w:id="176"/>
    <w:bookmarkStart w:id="177" w:name="next-stage-planned-work"/>
    <w:p>
      <w:pPr>
        <w:pStyle w:val="Heading2"/>
      </w:pPr>
      <w:r>
        <w:t xml:space="preserve">10.2 Next Stage: Planned Work</w:t>
      </w:r>
    </w:p>
    <w:p>
      <w:pPr>
        <w:pStyle w:val="FirstParagraph"/>
      </w:pPr>
      <w:r>
        <w:t xml:space="preserve">The next stage will build upon the foundational trust-oriented authorisation framework established during the current stage and extend the research towards dynamic consent governance, formal security assurance, and comprehensive empirical validation. While the current stage focuses on establishing the core mechanisms required to construct a trustworthy authorisation decision, the next stage will investigate whether this trust can be maintained over time, formally justified, and reliably demonstrated in practical healthcare data-sharing scenarios.</w:t>
      </w:r>
    </w:p>
    <w:p>
      <w:pPr>
        <w:pStyle w:val="BodyText"/>
      </w:pPr>
      <w:r>
        <w:t xml:space="preserve">The first major focus of the next stage 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The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The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The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10.1.</w:t>
      </w:r>
    </w:p>
    <w:p>
      <w:pPr>
        <w:pStyle w:val="BodyText"/>
      </w:pPr>
      <w:r>
        <w:t xml:space="preserve">An important analytical objective of the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10.1: Next Stage Research Activities, Methodological Focus, and Expected Outcomes</w:t>
      </w:r>
    </w:p>
    <w:tbl>
      <w:tblPr>
        <w:tblStyle w:val="Table"/>
        <w:tblW w:type="pct" w:w="5000"/>
        <w:tblLayout w:type="fixed"/>
        <w:tblLook w:firstRow="1" w:lastRow="0" w:firstColumn="0" w:lastColumn="0" w:noHBand="0" w:noVBand="0" w:val="0020"/>
        <w:tblCaption w:val="Table 10.1: Next Stage Research Activities, Methodological Focus, and Expected Outcomes"/>
      </w:tblPr>
      <w:tblGrid>
        <w:gridCol w:w="2640"/>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the current stage and the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35</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 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the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 the next stage will complete the transition from the foundational authorisation mechanisms established in the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77"/>
    <w:bookmarkEnd w:id="178"/>
    <w:bookmarkStart w:id="179" w:name="references"/>
    <w:p>
      <w:pPr>
        <w:pStyle w:val="Heading1"/>
      </w:pPr>
      <w:r>
        <w:t xml:space="preserve">References</w:t>
      </w:r>
    </w:p>
    <w:p>
      <w:pPr>
        <w:pStyle w:val="FirstParagraph"/>
      </w:pPr>
      <w:r>
        <w:t xml:space="preserve">[1] Abdul Ghafoor Abbasi, Iraklis Symeonidis, Anna Rydberg, Cecilia Lindahl, and Abdul Qadus Abbasi. Towards empowering stakeholders through decentralized trust and secure livestock data sharing.</w:t>
      </w:r>
      <w:r>
        <w:t xml:space="preserve"> </w:t>
      </w:r>
      <w:r>
        <w:rPr>
          <w:i/>
          <w:iCs/>
        </w:rPr>
        <w:t xml:space="preserve">Cryptography</w:t>
      </w:r>
      <w:r>
        <w:t xml:space="preserve">, 9(3):52, 2025. doi:10.3390/cryptography9030052.</w:t>
      </w:r>
    </w:p>
    <w:p>
      <w:pPr>
        <w:pStyle w:val="BodyText"/>
      </w:pPr>
      <w:r>
        <w:t xml:space="preserve">[2]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 doi:10.1109/ACCESS.2022.3141079.</w:t>
      </w:r>
    </w:p>
    <w:p>
      <w:pPr>
        <w:pStyle w:val="BodyText"/>
      </w:pPr>
      <w:r>
        <w:t xml:space="preserve">[3]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 doi:10.1016/j.jnca.2023.103633.</w:t>
      </w:r>
    </w:p>
    <w:p>
      <w:pPr>
        <w:pStyle w:val="BodyText"/>
      </w:pPr>
      <w:r>
        <w:t xml:space="preserve">[4]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 2023. doi:10.1109/COMST.2022.3224644.</w:t>
      </w:r>
    </w:p>
    <w:p>
      <w:pPr>
        <w:pStyle w:val="BodyText"/>
      </w:pPr>
      <w:r>
        <w:t xml:space="preserve">[5] Marcela Tuler de Oliveira, Lúcio Henrik A. Reis, Yiannis Verginadis, Diogo M. F. Mattos, and Sílvia D. Olabarriaga. SmartAccess: Attribute-based access control system for medical records based on smart contracts.</w:t>
      </w:r>
      <w:r>
        <w:t xml:space="preserve"> </w:t>
      </w:r>
      <w:r>
        <w:rPr>
          <w:i/>
          <w:iCs/>
        </w:rPr>
        <w:t xml:space="preserve">IEEE Access</w:t>
      </w:r>
      <w:r>
        <w:t xml:space="preserve">, 10:117836–117854, 2022. doi:10.1109/ACCESS.2022.3217201.</w:t>
      </w:r>
    </w:p>
    <w:p>
      <w:pPr>
        <w:pStyle w:val="BodyText"/>
      </w:pPr>
      <w:r>
        <w:t xml:space="preserve">[6]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 doi:10.1109/TC.2024.3398509.</w:t>
      </w:r>
    </w:p>
    <w:p>
      <w:pPr>
        <w:pStyle w:val="BodyText"/>
      </w:pPr>
      <w:r>
        <w:t xml:space="preserve">[7]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 doi:10.1016/j.jisa.2024.103789. Corrigendum: vol. 98, 104383, 2026.</w:t>
      </w:r>
    </w:p>
    <w:p>
      <w:pPr>
        <w:pStyle w:val="BodyText"/>
      </w:pPr>
      <w:r>
        <w:t xml:space="preserve">[8] Rodrigo Dutra Garcia, Gowri Ramachandran, Raja Jurdak, and Jó Ueyama. Blockchain-aided and privacy-preserving data governance in multi-stakeholder applications.</w:t>
      </w:r>
      <w:r>
        <w:t xml:space="preserve"> </w:t>
      </w:r>
      <w:r>
        <w:rPr>
          <w:i/>
          <w:iCs/>
        </w:rPr>
        <w:t xml:space="preserve">IEEE Transactions on Network and Service Management</w:t>
      </w:r>
      <w:r>
        <w:t xml:space="preserve">, 19(4):3781–3793, 2022. doi:10.1109/TNSM.2022.3225254.</w:t>
      </w:r>
    </w:p>
    <w:p>
      <w:pPr>
        <w:pStyle w:val="BodyText"/>
      </w:pPr>
      <w:r>
        <w:t xml:space="preserve">[9] Pranto Kumar Ghosh, Arindom Chakraborty, Mehedi Hasan, Khalid Rashid, and Abdul Hasib Siddique. Blockchain application in healthcare systems: a review.</w:t>
      </w:r>
      <w:r>
        <w:t xml:space="preserve"> </w:t>
      </w:r>
      <w:r>
        <w:rPr>
          <w:i/>
          <w:iCs/>
        </w:rPr>
        <w:t xml:space="preserve">Systems</w:t>
      </w:r>
      <w:r>
        <w:t xml:space="preserve">, 11(1):38, 2023. doi:10.3390/systems11010038.</w:t>
      </w:r>
    </w:p>
    <w:p>
      <w:pPr>
        <w:pStyle w:val="BodyText"/>
      </w:pPr>
      <w:r>
        <w:t xml:space="preserve">[10] Josefin Hagström, Charlotte Blease, Barbara Haage, Isabella Scandurra, Scharlett Hansson, and Maria Hägglund. Views, use, and experiences of web-based access to pediatric electronic health records for children, adolescents, and parents: Scoping review.</w:t>
      </w:r>
      <w:r>
        <w:t xml:space="preserve"> </w:t>
      </w:r>
      <w:r>
        <w:rPr>
          <w:i/>
          <w:iCs/>
        </w:rPr>
        <w:t xml:space="preserve">Journal of Medical Internet Research</w:t>
      </w:r>
      <w:r>
        <w:t xml:space="preserve">, 24(11):e40328, 2022. doi:10.2196/40328.</w:t>
      </w:r>
    </w:p>
    <w:p>
      <w:pPr>
        <w:pStyle w:val="BodyText"/>
      </w:pPr>
      <w:r>
        <w:t xml:space="preserve">[11]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 doi:10.1186/s12912-024-02231-1.</w:t>
      </w:r>
    </w:p>
    <w:p>
      <w:pPr>
        <w:pStyle w:val="BodyText"/>
      </w:pPr>
      <w:r>
        <w:t xml:space="preserve">[12] Vitor Jesus and Harshvardhan J Pandit. Consent receipts for a usable and auditable web of personal data.</w:t>
      </w:r>
      <w:r>
        <w:t xml:space="preserve"> </w:t>
      </w:r>
      <w:r>
        <w:rPr>
          <w:i/>
          <w:iCs/>
        </w:rPr>
        <w:t xml:space="preserve">IEEE Access</w:t>
      </w:r>
      <w:r>
        <w:t xml:space="preserve">, 10:28545–28563, 2022. doi:10.1109/ACCESS.2022.3157850.</w:t>
      </w:r>
    </w:p>
    <w:p>
      <w:pPr>
        <w:pStyle w:val="BodyText"/>
      </w:pPr>
      <w:r>
        <w:t xml:space="preserve">[13] Rong Jiang, Xue Chen, Yimin Yu, Ying Zhang, and Weiping Ding. Risk and UCON-based access control model for healthcare big data.</w:t>
      </w:r>
      <w:r>
        <w:t xml:space="preserve"> </w:t>
      </w:r>
      <w:r>
        <w:rPr>
          <w:i/>
          <w:iCs/>
        </w:rPr>
        <w:t xml:space="preserve">Journal of Big Data</w:t>
      </w:r>
      <w:r>
        <w:t xml:space="preserve">, 10(1):104, 2023. doi:10.1186/s40537-023-00783-8.</w:t>
      </w:r>
    </w:p>
    <w:p>
      <w:pPr>
        <w:pStyle w:val="BodyText"/>
      </w:pPr>
      <w:r>
        <w:t xml:space="preserve">[14]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 doi:10.1177/20552076241290964.</w:t>
      </w:r>
    </w:p>
    <w:p>
      <w:pPr>
        <w:pStyle w:val="BodyText"/>
      </w:pPr>
      <w:r>
        <w:t xml:space="preserve">[15]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 doi:10.3390/electronics12244973.</w:t>
      </w:r>
    </w:p>
    <w:p>
      <w:pPr>
        <w:pStyle w:val="BodyText"/>
      </w:pPr>
      <w:r>
        <w:t xml:space="preserve">[16] Alexander Kharlamov, Roland Hohmann, and Glenn Parry. Data sharing decisions: perceptions and intentions in healthcare.</w:t>
      </w:r>
      <w:r>
        <w:t xml:space="preserve"> </w:t>
      </w:r>
      <w:r>
        <w:rPr>
          <w:i/>
          <w:iCs/>
        </w:rPr>
        <w:t xml:space="preserve">Strategic Change</w:t>
      </w:r>
      <w:r>
        <w:t xml:space="preserve">, 32(6):223–237, 2023. doi:10.1002/jsc.2558.</w:t>
      </w:r>
    </w:p>
    <w:p>
      <w:pPr>
        <w:pStyle w:val="BodyText"/>
      </w:pPr>
      <w:r>
        <w:t xml:space="preserve">[17]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 doi:10.3390/iot6040065.</w:t>
      </w:r>
    </w:p>
    <w:p>
      <w:pPr>
        <w:pStyle w:val="BodyText"/>
      </w:pPr>
      <w:r>
        <w:t xml:space="preserve">[18]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 doi:10.37256/cnc.1220233048.</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 27(6):3641–3671, 2025.</w:t>
      </w:r>
    </w:p>
    <w:p>
      <w:pPr>
        <w:pStyle w:val="BodyText"/>
      </w:pPr>
      <w:r>
        <w:t xml:space="preserve">[21]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[22]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[23]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[24]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[25]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[26]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w:t>
      </w:r>
      <w:r>
        <w:t xml:space="preserve">, 13(4):1–21, 2022.</w:t>
      </w:r>
    </w:p>
    <w:p>
      <w:pPr>
        <w:pStyle w:val="BodyText"/>
      </w:pPr>
      <w:r>
        <w:t xml:space="preserve">[27] Sudip Phuyal, Manila Bhandari, Rabindra Bista, and João Carlos Ferreira. Blockchain-based dynamic and revocable consent for secondary health data use: Systematic review.</w:t>
      </w:r>
      <w:r>
        <w:t xml:space="preserve"> </w:t>
      </w:r>
      <w:r>
        <w:rPr>
          <w:i/>
          <w:iCs/>
        </w:rPr>
        <w:t xml:space="preserve">JMIR Medical Informatics</w:t>
      </w:r>
      <w:r>
        <w:t xml:space="preserve">, 14:e88536, 2026. doi:10.2196/88536.</w:t>
      </w:r>
    </w:p>
    <w:p>
      <w:pPr>
        <w:pStyle w:val="BodyText"/>
      </w:pPr>
      <w:r>
        <w:t xml:space="preserve">[28] Isabel Román, Jorge Calvillo-Arbizu, Vicente Mayor, Germán Madinabeitia-Luque, Antonio Estepa, and Rafael Estepa. Blockchain-based service-oriented architecture for consent management, access control, and auditing.</w:t>
      </w:r>
      <w:r>
        <w:t xml:space="preserve"> </w:t>
      </w:r>
      <w:r>
        <w:rPr>
          <w:i/>
          <w:iCs/>
        </w:rPr>
        <w:t xml:space="preserve">IEEE Access</w:t>
      </w:r>
      <w:r>
        <w:t xml:space="preserve">, 11:12727–12741, 2023. doi:10.1109/ACCESS.2023.3242605.</w:t>
      </w:r>
    </w:p>
    <w:p>
      <w:pPr>
        <w:pStyle w:val="BodyText"/>
      </w:pPr>
      <w:r>
        <w:t xml:space="preserve">[29] Kheng-Leong Tan, Chi-Hung Chi, and Kwok-Yan Lam. Secure and privacy-preserving sharing of personal health records with multi-party pre-authorization verification.</w:t>
      </w:r>
      <w:r>
        <w:t xml:space="preserve"> </w:t>
      </w:r>
      <w:r>
        <w:rPr>
          <w:i/>
          <w:iCs/>
        </w:rPr>
        <w:t xml:space="preserve">Wireless Networks</w:t>
      </w:r>
      <w:r>
        <w:t xml:space="preserve">, 30:4773–4795, 2024. doi:10.1007/s11276-022-03114-6.</w:t>
      </w:r>
    </w:p>
    <w:p>
      <w:pPr>
        <w:pStyle w:val="BodyText"/>
      </w:pPr>
      <w:r>
        <w:t xml:space="preserve">[30]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 doi:10.1007/s10586-025-05308-x.</w:t>
      </w:r>
    </w:p>
    <w:p>
      <w:pPr>
        <w:pStyle w:val="BodyText"/>
      </w:pPr>
      <w:r>
        <w:t xml:space="preserve">[31] Faheem Ullah, Jingsha He, Nafei Zhu, Ahsan Wajahat, Ahsan Nazir, Sirajuddin Qureshi, Muhammad Salman Pathan, and Soumyabrata Dev. Blockchain-enabled EHR access auditing: Enhancing healthcare data security.</w:t>
      </w:r>
      <w:r>
        <w:t xml:space="preserve"> </w:t>
      </w:r>
      <w:r>
        <w:rPr>
          <w:i/>
          <w:iCs/>
        </w:rPr>
        <w:t xml:space="preserve">Heliyon</w:t>
      </w:r>
      <w:r>
        <w:t xml:space="preserve">, 10(16):e34407, 2024. doi:10.1016/j.heliyon.2024.e34407.</w:t>
      </w:r>
    </w:p>
    <w:p>
      <w:pPr>
        <w:pStyle w:val="BodyText"/>
      </w:pPr>
      <w:r>
        <w:t xml:space="preserve">[32]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[33] Cindy Welzel, Max Ostermann, H. Jeff Smith, Timo Minssen, Toralf Kirsten, and Stephen Gilbert. Enabling secure and self determined health data sharing and consent management.</w:t>
      </w:r>
      <w:r>
        <w:t xml:space="preserve"> </w:t>
      </w:r>
      <w:r>
        <w:rPr>
          <w:i/>
          <w:iCs/>
        </w:rPr>
        <w:t xml:space="preserve">npj Digital Medicine</w:t>
      </w:r>
      <w:r>
        <w:t xml:space="preserve">, 8:560, 2025. doi:10.1038/s41746-025-01945-z.</w:t>
      </w:r>
    </w:p>
    <w:p>
      <w:pPr>
        <w:pStyle w:val="BodyText"/>
      </w:pPr>
      <w:r>
        <w:t xml:space="preserve">[34] Nadeem Yaqub, Jianbiao Zhang, Muhammad Irfan Khalid, Weiru Wang, Markus Helfert, Mansoor Ahmed, and Jungsuk Kim. Blockchain enabled policy-based access control mechanism to restrict unauthorized access to electronic health records.</w:t>
      </w:r>
      <w:r>
        <w:t xml:space="preserve"> </w:t>
      </w:r>
      <w:r>
        <w:rPr>
          <w:i/>
          <w:iCs/>
        </w:rPr>
        <w:t xml:space="preserve">PeerJ Computer Science</w:t>
      </w:r>
      <w:r>
        <w:t xml:space="preserve">, 11:e2647, 2025. doi:10.7717/peerj-cs.2647.</w:t>
      </w:r>
    </w:p>
    <w:p>
      <w:pPr>
        <w:pStyle w:val="BodyText"/>
      </w:pPr>
      <w:r>
        <w:t xml:space="preserve">[35]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 doi:10.1016/j.sysarc.2024.103081.</w:t>
      </w:r>
    </w:p>
    <w:p>
      <w:pPr>
        <w:pStyle w:val="BodyText"/>
      </w:pPr>
      <w:r>
        <w:t xml:space="preserve">[36]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20:4999–5014, 2025.</w:t>
      </w:r>
    </w:p>
    <w:p>
      <w:pPr>
        <w:pStyle w:val="BodyText"/>
      </w:pPr>
      <w:r>
        <w:t xml:space="preserve">[37]</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[38]</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[39]</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[40]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[41]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[42] Remco Bloemen, Leonid Logvinov, and Jacob Evans. EIP-712: Typed structured data hashing and signing. Ethereum Improvement Proposals, 2017. https://eips.ethereum.org/EIPS/eip-712.</w:t>
      </w:r>
    </w:p>
    <w:p>
      <w:pPr>
        <w:pStyle w:val="BodyText"/>
      </w:pPr>
      <w:r>
        <w:t xml:space="preserve">[43] ERC-5484: Consensual Soulbound Tokens. Ethereum Improvement Proposals, 2022. https://eips.ethereum.org/EIPS/eip-5484.</w:t>
      </w:r>
    </w:p>
    <w:p>
      <w:pPr>
        <w:pStyle w:val="BodyText"/>
      </w:pPr>
      <w:r>
        <w:t xml:space="preserve">[44] W3C. Decentralized Identifiers (DIDs) v1.0. W3C Recommendation, 2022. https://www.w3.org/TR/did-core/.</w:t>
      </w:r>
    </w:p>
    <w:p>
      <w:pPr>
        <w:pStyle w:val="BodyText"/>
      </w:pPr>
      <w:r>
        <w:t xml:space="preserve">[45] W3C. Verifiable Credentials Data Model v2.0. W3C Recommendation, 2025. https://www.w3.org/TR/vc-data-model-2.0/.</w:t>
      </w:r>
    </w:p>
    <w:bookmarkEnd w:id="179"/>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OrangeDelete" w:type="character">
    <w:name w:val="Orange Delete"/>
    <w:rPr>
      <w:strike/>
      <w:color w:val="E36C09"/>
    </w:rPr>
  </w:style>
  <w:style w:customStyle="1" w:styleId="OrangeFix" w:type="character">
    <w:name w:val="Orange Fix"/>
    <w:rPr>
      <w:color w:val="E36C09"/>
    </w:rPr>
  </w:style>
  <w:style w:customStyle="1" w:styleId="OrangeDeletePara" w:type="paragraph">
    <w:name w:val="Orange Delete Para"/>
    <w:basedOn w:val="BodyText"/>
    <w:rPr>
      <w:rFonts w:ascii="Times New Roman" w:cs="Times New Roman" w:eastAsia="Times New Roman" w:hAnsi="Times New Roman"/>
      <w:color w:val="E36C09"/>
      <w:sz w:val="24"/>
    </w:rPr>
  </w:style>
  <w:style w:customStyle="1" w:styleId="OrangeFixPara" w:type="paragraph">
    <w:name w:val="Orange Fix Para"/>
    <w:basedOn w:val="BodyText"/>
    <w:rPr>
      <w:rFonts w:ascii="Times New Roman" w:cs="Times New Roman" w:eastAsia="Times New Roman" w:hAnsi="Times New Roman"/>
      <w:color w:val="E36C09"/>
      <w:sz w:val="24"/>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92" Target="media/rId92.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image" Id="rId113" Target="media/rId113.png" /><Relationship Type="http://schemas.openxmlformats.org/officeDocument/2006/relationships/image" Id="rId120" Target="media/rId120.png" /><Relationship Type="http://schemas.openxmlformats.org/officeDocument/2006/relationships/image" Id="rId127" Target="media/rId127.png" /><Relationship Type="http://schemas.openxmlformats.org/officeDocument/2006/relationships/image" Id="rId160" Target="media/rId1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2026-09-30T10:42:44Z</dcterms:created>
  <dcterms:modified xsi:type="dcterms:W3CDTF">2026-09-30T10:42:44Z</dcterms:modified>
</cp:coreProperties>
</file>

<file path=docProps/custom.xml><?xml version="1.0" encoding="utf-8"?>
<Properties xmlns="http://schemas.openxmlformats.org/officeDocument/2006/custom-properties" xmlns:vt="http://schemas.openxmlformats.org/officeDocument/2006/docPropsVTypes"/>
</file>