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46</w:t>
      </w:r>
    </w:p>
    <w:p>
      <w:pPr>
        <w:tabs>
          <w:tab w:val="right" w:pos="9128" w:leader="dot"/>
        </w:tabs>
        <w:spacing w:after="100"/>
      </w:pPr>
      <w:r>
        <w:rPr>
          <w:rFonts w:ascii="Times New Roman" w:cs="Times New Roman" w:eastAsia="Times New Roman" w:hAnsi="Times New Roman"/>
          <w:sz w:val="22"/>
          <w:szCs w:val="22"/>
        </w:rPr>
        <w:t xml:space="preserve">11. The Proposed Solution for RO6	49</w:t>
      </w:r>
    </w:p>
    <w:p>
      <w:pPr>
        <w:tabs>
          <w:tab w:val="right" w:pos="9128" w:leader="dot"/>
        </w:tabs>
        <w:spacing w:after="100"/>
      </w:pPr>
      <w:r>
        <w:rPr>
          <w:rFonts w:ascii="Times New Roman" w:cs="Times New Roman" w:eastAsia="Times New Roman" w:hAnsi="Times New Roman"/>
          <w:sz w:val="22"/>
          <w:szCs w:val="22"/>
        </w:rPr>
        <w:t xml:space="preserve">12. Publications Summary	64</w:t>
      </w:r>
    </w:p>
    <w:p>
      <w:pPr>
        <w:tabs>
          <w:tab w:val="right" w:pos="9128" w:leader="dot"/>
        </w:tabs>
        <w:spacing w:after="100"/>
      </w:pPr>
      <w:r>
        <w:rPr>
          <w:rFonts w:ascii="Times New Roman" w:cs="Times New Roman" w:eastAsia="Times New Roman" w:hAnsi="Times New Roman"/>
          <w:sz w:val="22"/>
          <w:szCs w:val="22"/>
        </w:rPr>
        <w:t xml:space="preserve">13. Research Plan	65</w:t>
      </w:r>
    </w:p>
    <w:p>
      <w:pPr>
        <w:tabs>
          <w:tab w:val="right" w:pos="9128" w:leader="dot"/>
        </w:tabs>
        <w:spacing w:after="100"/>
      </w:pPr>
      <w:r>
        <w:rPr>
          <w:rFonts w:ascii="Times New Roman" w:cs="Times New Roman" w:eastAsia="Times New Roman" w:hAnsi="Times New Roman"/>
          <w:sz w:val="22"/>
          <w:szCs w:val="22"/>
        </w:rPr>
        <w:t xml:space="preserve">References	</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Secure and trustworthy data sharing is now needed across organisational boundaries.</w:t>
      </w:r>
      <w:r>
        <w:rPr>
          <w:rFonts w:ascii="Times New Roman" w:cs="Times New Roman" w:eastAsia="Times New Roman" w:hAnsi="Times New Roman"/>
          <w:sz w:val="22"/>
          <w:szCs w:val="22"/>
        </w:rPr>
        <w:t xml:space="preserve">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rPr>
        <w:t xml:space="preserve">(Ghafoor et al. 2025; Lomotey, Kumi &amp; Deters 2022; Nguyen et al.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Digital services make collaboration easier, but they also raise a governance question: how can data access be authorised and trusted when the participating entities do not belong to a single administrative or institutional domain?</w:t>
      </w:r>
      <w:r>
        <w:rPr>
          <w:rFonts w:ascii="Times New Roman" w:cs="Times New Roman" w:eastAsia="Times New Roman" w:hAnsi="Times New Roman"/>
          <w:sz w:val="22"/>
          <w:szCs w:val="22"/>
        </w:rPr>
        <w:t xml:space="preserve"> 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rPr>
        <w:t xml:space="preserve">(Webber et al. 2019; Welzel et al.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w:t>
      </w:r>
      <w:r>
        <w:rPr>
          <w:rFonts w:ascii="Times New Roman" w:cs="Times New Roman" w:eastAsia="Times New Roman" w:hAnsi="Times New Roman"/>
          <w:sz w:val="22"/>
          <w:szCs w:val="22"/>
        </w:rPr>
        <w:t xml:space="preserve"> Its exchange therefore raises complex questions concerning identity, authority, patient consent, privacy protection, accountability, and fine-grained access control </w:t>
      </w:r>
      <w:r>
        <w:rPr>
          <w:rFonts w:ascii="Times New Roman" w:cs="Times New Roman" w:eastAsia="Times New Roman" w:hAnsi="Times New Roman"/>
          <w:sz w:val="22"/>
          <w:szCs w:val="22"/>
        </w:rPr>
        <w:t xml:space="preserve">(Kaplow et al. 2024; McClelland &amp; Harper 2023; Narkhede, Wankhede &amp; Kamble 2025; Nazir et al. 2026)</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w:t>
      </w:r>
      <w:r>
        <w:rPr>
          <w:rFonts w:ascii="Times New Roman" w:cs="Times New Roman" w:eastAsia="Times New Roman" w:hAnsi="Times New Roman"/>
          <w:sz w:val="22"/>
          <w:szCs w:val="22"/>
        </w:rPr>
        <w:t xml:space="preserve">(Nazir et al. 2026; Tawfik et al.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w:t>
      </w:r>
      <w:r>
        <w:rPr>
          <w:rFonts w:ascii="Times New Roman" w:cs="Times New Roman" w:eastAsia="Times New Roman" w:hAnsi="Times New Roman"/>
          <w:sz w:val="22"/>
          <w:szCs w:val="22"/>
        </w:rPr>
        <w:t xml:space="preserve"> In such settings, no single participant may possess sufficient authority to determine access independently, and trust cannot necessarily be assumed on the basis of membership in a common administrative domain.</w:t>
      </w:r>
      <w:r>
        <w:rPr>
          <w:rFonts w:ascii="Times New Roman" w:cs="Times New Roman" w:eastAsia="Times New Roman" w:hAnsi="Times New Roman"/>
          <w:sz w:val="22"/>
          <w:szCs w:val="22"/>
        </w:rPr>
        <w:t xml:space="preserve">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rPr>
        <w:t xml:space="preserve">(Ibrahim et al. 2024; Webber et al. 2019)</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these settings, authorisation is a distributed governance problem, not just a check of a user's login and a static permission </w:t>
      </w:r>
      <w:r>
        <w:rPr>
          <w:rFonts w:ascii="Times New Roman" w:cs="Times New Roman" w:eastAsia="Times New Roman" w:hAnsi="Times New Roman"/>
          <w:sz w:val="22"/>
          <w:szCs w:val="22"/>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rPr>
        <w:t xml:space="preserve">(Al Mamun, Azam &amp; Gritti 2022; Hellstern et al. 2022; Li, Liu &amp; Shrestha 2026; Nguyen et al. 2025)</w:t>
      </w:r>
      <w:r>
        <w:rPr>
          <w:rFonts w:ascii="Times New Roman" w:cs="Times New Roman" w:eastAsia="Times New Roman" w:hAnsi="Times New Roman"/>
          <w:sz w:val="22"/>
          <w:szCs w:val="22"/>
        </w:rPr>
        <w:t xml:space="preserve">, while decentralised identifiers </w:t>
      </w:r>
      <w:r>
        <w:rPr>
          <w:rFonts w:ascii="Times New Roman" w:cs="Times New Roman" w:eastAsia="Times New Roman" w:hAnsi="Times New Roman"/>
          <w:sz w:val="22"/>
          <w:szCs w:val="22"/>
        </w:rPr>
        <w:t xml:space="preserve">(Mazzocca et al. 2025)</w:t>
      </w:r>
      <w:r>
        <w:rPr>
          <w:rFonts w:ascii="Times New Roman" w:cs="Times New Roman" w:eastAsia="Times New Roman" w:hAnsi="Times New Roman"/>
          <w:sz w:val="22"/>
          <w:szCs w:val="22"/>
        </w:rPr>
        <w:t xml:space="preserve"> can support the identification of participants without relying exclusively on a central identity provider.</w:t>
      </w:r>
      <w:r>
        <w:rPr>
          <w:rFonts w:ascii="Times New Roman" w:cs="Times New Roman" w:eastAsia="Times New Roman" w:hAnsi="Times New Roman"/>
          <w:sz w:val="22"/>
          <w:szCs w:val="22"/>
        </w:rPr>
        <w:t xml:space="preserve"> Verifiable credentials can provide cryptographically verifiable evidence concerning roles or authority </w:t>
      </w:r>
      <w:r>
        <w:rPr>
          <w:rFonts w:ascii="Times New Roman" w:cs="Times New Roman" w:eastAsia="Times New Roman" w:hAnsi="Times New Roman"/>
          <w:sz w:val="22"/>
          <w:szCs w:val="22"/>
        </w:rPr>
        <w:t xml:space="preserve">(Flamini et al. 2024)</w:t>
      </w:r>
      <w:r>
        <w:rPr>
          <w:rFonts w:ascii="Times New Roman" w:cs="Times New Roman" w:eastAsia="Times New Roman" w:hAnsi="Times New Roman"/>
          <w:sz w:val="22"/>
          <w:szCs w:val="22"/>
        </w:rPr>
        <w:t xml:space="preserve">, and policy-based access-control mechanisms can restrict access to authorised resources </w:t>
      </w:r>
      <w:r>
        <w:rPr>
          <w:rFonts w:ascii="Times New Roman" w:cs="Times New Roman" w:eastAsia="Times New Roman" w:hAnsi="Times New Roman"/>
          <w:sz w:val="22"/>
          <w:szCs w:val="22"/>
        </w:rPr>
        <w:t xml:space="preserve">(Andrew et al. 2023; Nazir et al. 2026; Tawfik et al.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w:t>
      </w:r>
      <w:r>
        <w:rPr>
          <w:rFonts w:ascii="Times New Roman" w:cs="Times New Roman" w:eastAsia="Times New Roman" w:hAnsi="Times New Roman"/>
          <w:sz w:val="22"/>
          <w:szCs w:val="22"/>
        </w:rPr>
        <w:t xml:space="preserve"> Consent must therefore be treated as an active, evaluable part of the authorisation process, not as a static record of permission, extending the dynamic consent perspective </w:t>
      </w:r>
      <w:r>
        <w:rPr>
          <w:rFonts w:ascii="Times New Roman" w:cs="Times New Roman" w:eastAsia="Times New Roman" w:hAnsi="Times New Roman"/>
          <w:sz w:val="22"/>
          <w:szCs w:val="22"/>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w:t>
      </w:r>
      <w:r>
        <w:rPr>
          <w:rFonts w:ascii="Times New Roman" w:cs="Times New Roman" w:eastAsia="Times New Roman" w:hAnsi="Times New Roman"/>
          <w:sz w:val="22"/>
          <w:szCs w:val="22"/>
        </w:rPr>
        <w:t xml:space="preserve">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rPr>
        <w:t xml:space="preserve">(Jesus &amp; Pandit 2022; Khalid et al. 2023)</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w:t>
      </w:r>
      <w:r>
        <w:rPr>
          <w:rFonts w:ascii="Times New Roman" w:cs="Times New Roman" w:eastAsia="Times New Roman" w:hAnsi="Times New Roman"/>
          <w:sz w:val="22"/>
          <w:szCs w:val="22"/>
        </w:rPr>
        <w:t xml:space="preserve"> Likewise, successful authentication establishes that an entity has been identified, but authentication does not automatically establish that the entity possesses the authority to access a particular patient's information.</w:t>
      </w:r>
      <w:r>
        <w:rPr>
          <w:rFonts w:ascii="Times New Roman" w:cs="Times New Roman" w:eastAsia="Times New Roman" w:hAnsi="Times New Roman"/>
          <w:sz w:val="22"/>
          <w:szCs w:val="22"/>
        </w:rPr>
        <w:t xml:space="preserve"> Even where identity and collective approval have been satisfied, an access request may still be inappropriate if it exceeds the authorised purpose or data scope.</w:t>
      </w:r>
      <w:r>
        <w:rPr>
          <w:rFonts w:ascii="Times New Roman" w:cs="Times New Roman" w:eastAsia="Times New Roman" w:hAnsi="Times New Roman"/>
          <w:sz w:val="22"/>
          <w:szCs w:val="22"/>
        </w:rPr>
        <w:t xml:space="preserv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w:t>
      </w:r>
      <w:r>
        <w:rPr>
          <w:rFonts w:ascii="Times New Roman" w:cs="Times New Roman" w:eastAsia="Times New Roman" w:hAnsi="Times New Roman"/>
          <w:sz w:val="22"/>
          <w:szCs w:val="22"/>
        </w:rPr>
        <w:t xml:space="preserve"> Existing approaches provide important technological components, including decentralised identity and verifiable credentials </w:t>
      </w:r>
      <w:r>
        <w:rPr>
          <w:rFonts w:ascii="Times New Roman" w:cs="Times New Roman" w:eastAsia="Times New Roman" w:hAnsi="Times New Roman"/>
          <w:sz w:val="22"/>
          <w:szCs w:val="22"/>
        </w:rPr>
        <w:t xml:space="preserve">(Phuyal et al. 2026b; Wu &amp; Zhang 2025)</w:t>
      </w:r>
      <w:r>
        <w:rPr>
          <w:rFonts w:ascii="Times New Roman" w:cs="Times New Roman" w:eastAsia="Times New Roman" w:hAnsi="Times New Roman"/>
          <w:sz w:val="22"/>
          <w:szCs w:val="22"/>
        </w:rPr>
        <w:t xml:space="preserve">, blockchain-based records </w:t>
      </w:r>
      <w:r>
        <w:rPr>
          <w:rFonts w:ascii="Times New Roman" w:cs="Times New Roman" w:eastAsia="Times New Roman" w:hAnsi="Times New Roman"/>
          <w:sz w:val="22"/>
          <w:szCs w:val="22"/>
        </w:rPr>
        <w:t xml:space="preserve">(Madine et al. 2020; Tith et al. 2020)</w:t>
      </w:r>
      <w:r>
        <w:rPr>
          <w:rFonts w:ascii="Times New Roman" w:cs="Times New Roman" w:eastAsia="Times New Roman" w:hAnsi="Times New Roman"/>
          <w:sz w:val="22"/>
          <w:szCs w:val="22"/>
        </w:rPr>
        <w:t xml:space="preserve">, multi-party approval mechanisms </w:t>
      </w:r>
      <w:r>
        <w:rPr>
          <w:rFonts w:ascii="Times New Roman" w:cs="Times New Roman" w:eastAsia="Times New Roman" w:hAnsi="Times New Roman"/>
          <w:sz w:val="22"/>
          <w:szCs w:val="22"/>
        </w:rPr>
        <w:t xml:space="preserve">(Ekholm et al. 2025; Punia et al. 2025; Tan, Chi &amp; Lam 2024)</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rPr>
        <w:t xml:space="preserve">(Eneh et al. 2026; Khayer et al. 2025; Panagoulias et al. 2026; Román-Martínez et al. 2023)</w:t>
      </w:r>
      <w:r>
        <w:rPr>
          <w:rFonts w:ascii="Times New Roman" w:cs="Times New Roman" w:eastAsia="Times New Roman" w:hAnsi="Times New Roman"/>
          <w:sz w:val="22"/>
          <w:szCs w:val="22"/>
        </w:rPr>
        <w:t xml:space="preserve">, as well as several partial combinations </w:t>
      </w:r>
      <w:r>
        <w:rPr>
          <w:rFonts w:ascii="Times New Roman" w:cs="Times New Roman" w:eastAsia="Times New Roman" w:hAnsi="Times New Roman"/>
          <w:sz w:val="22"/>
          <w:szCs w:val="22"/>
        </w:rPr>
        <w:t xml:space="preserve">(Ferreira et al.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However, these mechanisms are often investigated independently or integrated primarily at the implementation level.</w:t>
      </w:r>
      <w:r>
        <w:rPr>
          <w:rFonts w:ascii="Times New Roman" w:cs="Times New Roman" w:eastAsia="Times New Roman" w:hAnsi="Times New Roman"/>
          <w:sz w:val="22"/>
          <w:szCs w:val="22"/>
        </w:rPr>
        <w:t xml:space="preserve"> The overarching research question is how a trust-oriented computing framework can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research objectives are operationalised through six corresponding sub-research questions (SRQ1 to SRQ6, referred to as RQ1 to RQ6).</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w:t>
      </w:r>
      <w:r>
        <w:rPr>
          <w:rFonts w:ascii="Times New Roman" w:cs="Times New Roman" w:eastAsia="Times New Roman" w:hAnsi="Times New Roman"/>
          <w:sz w:val="22"/>
          <w:szCs w:val="22"/>
        </w:rPr>
        <w:t xml:space="preserve"> Under this perspective, trust is not treated as a property that is provided by blockchain, decentralised identity, or any other individual technology.</w:t>
      </w:r>
      <w:r>
        <w:rPr>
          <w:rFonts w:ascii="Times New Roman" w:cs="Times New Roman" w:eastAsia="Times New Roman" w:hAnsi="Times New Roman"/>
          <w:sz w:val="22"/>
          <w:szCs w:val="22"/>
        </w:rPr>
        <w:t xml:space="preserve"> Instead, trustworthy authorisation is understood as an emergent property of a decision process in which independently verifiable conditions must be satisfied.</w:t>
      </w:r>
      <w:r>
        <w:rPr>
          <w:rFonts w:ascii="Times New Roman" w:cs="Times New Roman" w:eastAsia="Times New Roman" w:hAnsi="Times New Roman"/>
          <w:sz w:val="22"/>
          <w:szCs w:val="22"/>
        </w:rPr>
        <w:t xml:space="preserve"> Trusted Computing provides an additional perspective on the protection and verification of security-critical processes.</w:t>
      </w:r>
      <w:r>
        <w:rPr>
          <w:rFonts w:ascii="Times New Roman" w:cs="Times New Roman" w:eastAsia="Times New Roman" w:hAnsi="Times New Roman"/>
          <w:sz w:val="22"/>
          <w:szCs w:val="22"/>
        </w:rPr>
        <w:t xml:space="preserve">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rPr>
        <w:t xml:space="preserve">(Li et al. 2026b; Ménétrey et al. 2022)</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w:t>
      </w:r>
      <w:r>
        <w:rPr>
          <w:rFonts w:ascii="Times New Roman" w:cs="Times New Roman" w:eastAsia="Times New Roman" w:hAnsi="Times New Roman"/>
          <w:sz w:val="22"/>
          <w:szCs w:val="22"/>
        </w:rPr>
        <w:t xml:space="preserve"> Nevertheless, Trusted Computing does not by itself determine the correctness of an authorisation policy.</w:t>
      </w:r>
      <w:r>
        <w:rPr>
          <w:rFonts w:ascii="Times New Roman" w:cs="Times New Roman" w:eastAsia="Times New Roman" w:hAnsi="Times New Roman"/>
          <w:sz w:val="22"/>
          <w:szCs w:val="22"/>
        </w:rPr>
        <w:t xml:space="preserve"> Consequently, secure execution and trustworthy authorisation address complementary rather than identical problems.</w:t>
      </w:r>
      <w:r>
        <w:rPr>
          <w:rFonts w:ascii="Times New Roman" w:cs="Times New Roman" w:eastAsia="Times New Roman" w:hAnsi="Times New Roman"/>
          <w:sz w:val="22"/>
          <w:szCs w:val="22"/>
        </w:rPr>
        <w:t xml:space="preserve">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w:t>
      </w:r>
      <w:r>
        <w:rPr>
          <w:rFonts w:ascii="Times New Roman" w:cs="Times New Roman" w:eastAsia="Times New Roman" w:hAnsi="Times New Roman"/>
          <w:sz w:val="22"/>
          <w:szCs w:val="22"/>
        </w:rPr>
        <w:t xml:space="preserve"> Authority concerns whether that participant possesses the relevant role or permission to participate in a particular decision.</w:t>
      </w:r>
      <w:r>
        <w:rPr>
          <w:rFonts w:ascii="Times New Roman" w:cs="Times New Roman" w:eastAsia="Times New Roman" w:hAnsi="Times New Roman"/>
          <w:sz w:val="22"/>
          <w:szCs w:val="22"/>
        </w:rPr>
        <w:t xml:space="preserve"> Multi-party authorisation concerns whether the required set of independently verified participants has satisfied a defined collective approval condition.</w:t>
      </w:r>
      <w:r>
        <w:rPr>
          <w:rFonts w:ascii="Times New Roman" w:cs="Times New Roman" w:eastAsia="Times New Roman" w:hAnsi="Times New Roman"/>
          <w:sz w:val="22"/>
          <w:szCs w:val="22"/>
        </w:rPr>
        <w:t xml:space="preserve"> Policy compliance concerns whether the requested access is consistent with the authorised purpose and data scope.</w:t>
      </w:r>
      <w:r>
        <w:rPr>
          <w:rFonts w:ascii="Times New Roman" w:cs="Times New Roman" w:eastAsia="Times New Roman" w:hAnsi="Times New Roman"/>
          <w:sz w:val="22"/>
          <w:szCs w:val="22"/>
        </w:rPr>
        <w:t xml:space="preserve"> 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w:t>
      </w:r>
      <w:r>
        <w:rPr>
          <w:rFonts w:ascii="Times New Roman" w:cs="Times New Roman" w:eastAsia="Times New Roman" w:hAnsi="Times New Roman"/>
          <w:sz w:val="22"/>
          <w:szCs w:val="22"/>
        </w:rPr>
        <w:t xml:space="preserve">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w:t>
      </w:r>
      <w:r>
        <w:rPr>
          <w:rFonts w:ascii="Times New Roman" w:cs="Times New Roman" w:eastAsia="Times New Roman" w:hAnsi="Times New Roman"/>
          <w:sz w:val="22"/>
          <w:szCs w:val="22"/>
        </w:rPr>
        <w:t xml:space="preserve"> The first focus is the development of a trust-centric consent representation capable of capturing the conditions associated with an authorisation decision.</w:t>
      </w:r>
      <w:r>
        <w:rPr>
          <w:rFonts w:ascii="Times New Roman" w:cs="Times New Roman" w:eastAsia="Times New Roman" w:hAnsi="Times New Roman"/>
          <w:sz w:val="22"/>
          <w:szCs w:val="22"/>
        </w:rPr>
        <w:t xml:space="preserve"> Building on this representation, the research investigates how decentralised identifiers and verifiable credentials can establish trustworthy participants while maintaining a clear conceptual separation between identity authentication and authorisation authority.</w:t>
      </w:r>
      <w:r>
        <w:rPr>
          <w:rFonts w:ascii="Times New Roman" w:cs="Times New Roman" w:eastAsia="Times New Roman" w:hAnsi="Times New Roman"/>
          <w:sz w:val="22"/>
          <w:szCs w:val="22"/>
        </w:rPr>
        <w:t xml:space="preserve"> The framework then extends individual trust to collective trust through a multi-party authorisation mechanism, ensuring that sensitive healthcare data access can require the coordinated approval of multiple independently verified participants.</w:t>
      </w:r>
      <w:r>
        <w:rPr>
          <w:rFonts w:ascii="Times New Roman" w:cs="Times New Roman" w:eastAsia="Times New Roman" w:hAnsi="Times New Roman"/>
          <w:sz w:val="22"/>
          <w:szCs w:val="22"/>
        </w:rPr>
        <w:t xml:space="preserve"> Finally, policy-aware access control is incorporated to ensure that a valid identity or sufficient set of approvals cannot be used to obtain information outside the purpose or data scope authorised by the patient.</w:t>
      </w:r>
      <w:r>
        <w:rPr>
          <w:rFonts w:ascii="Times New Roman" w:cs="Times New Roman" w:eastAsia="Times New Roman" w:hAnsi="Times New Roman"/>
          <w:sz w:val="22"/>
          <w:szCs w:val="22"/>
        </w:rPr>
        <w:t xml:space="preserve"> These four dimensions, RO1 to RO4, collectively define the foundational scope of Multi-Party Patient Consent.</w:t>
      </w:r>
      <w:r>
        <w:rPr>
          <w:rFonts w:ascii="Times New Roman" w:cs="Times New Roman" w:eastAsia="Times New Roman" w:hAnsi="Times New Roman"/>
          <w:color w:val="00A000"/>
          <w:sz w:val="22"/>
          <w:szCs w:val="22"/>
        </w:rPr>
        <w:t xml:space="preserve"> RO1 to RO4 are completed with validation and evaluation at the current stage.</w:t>
      </w:r>
      <w:r>
        <w:rPr>
          <w:rFonts w:ascii="Times New Roman" w:cs="Times New Roman" w:eastAsia="Times New Roman" w:hAnsi="Times New Roman"/>
          <w:sz w:val="22"/>
          <w:szCs w:val="22"/>
        </w:rPr>
        <w:t xml:space="preserve"> RO5 adds temporal validity and lifecycle trust, because trust cannot be regarded as permanently established at the moment a consent is created.</w:t>
      </w:r>
      <w:r>
        <w:rPr>
          <w:rFonts w:ascii="Times New Roman" w:cs="Times New Roman" w:eastAsia="Times New Roman" w:hAnsi="Times New Roman"/>
          <w:sz w:val="22"/>
          <w:szCs w:val="22"/>
        </w:rPr>
        <w:t xml:space="preserve"> A consent that was valid when initially approved may subsequently become invalid due to expiration, revocation, or a change in its authorised lifecycle state.</w:t>
      </w:r>
      <w:r>
        <w:rPr>
          <w:rFonts w:ascii="Times New Roman" w:cs="Times New Roman" w:eastAsia="Times New Roman" w:hAnsi="Times New Roman"/>
          <w:sz w:val="22"/>
          <w:szCs w:val="22"/>
        </w:rPr>
        <w:t xml:space="preserve"> RO6 concerns formal security assurance and empirical validation.</w:t>
      </w:r>
      <w:r>
        <w:rPr>
          <w:rFonts w:ascii="Times New Roman" w:cs="Times New Roman" w:eastAsia="Times New Roman" w:hAnsi="Times New Roman"/>
          <w:color w:val="00A000"/>
          <w:sz w:val="22"/>
          <w:szCs w:val="22"/>
        </w:rPr>
        <w:t xml:space="preserve"> RO5 and RO6 are in progress, and part of each has already been delivered.</w:t>
      </w:r>
      <w:r>
        <w:rPr>
          <w:rFonts w:ascii="Times New Roman" w:cs="Times New Roman" w:eastAsia="Times New Roman" w:hAnsi="Times New Roman"/>
          <w:sz w:val="22"/>
          <w:szCs w:val="22"/>
        </w:rPr>
        <w:t xml:space="preserve"> RO6 is partially completed through the implementation and initial scenario-based validation of the HALAH (History Access Link for Authorised Healthcare) prototype.</w:t>
      </w:r>
      <w:r>
        <w:rPr>
          <w:rFonts w:ascii="Times New Roman" w:cs="Times New Roman" w:eastAsia="Times New Roman" w:hAnsi="Times New Roman"/>
          <w:sz w:val="22"/>
          <w:szCs w:val="22"/>
        </w:rPr>
        <w:t xml:space="preserve"> For RO5, this prototype provides a lifecycle-aware consent mechanism capable of rejecting access after expiration or revocation.</w:t>
      </w:r>
      <w:r>
        <w:rPr>
          <w:rFonts w:ascii="Times New Roman" w:cs="Times New Roman" w:eastAsia="Times New Roman" w:hAnsi="Times New Roman"/>
          <w:sz w:val="22"/>
          <w:szCs w:val="22"/>
        </w:rPr>
        <w:t xml:space="preserve">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color w:val="00A000"/>
          <w:sz w:val="22"/>
          <w:szCs w:val="22"/>
        </w:rPr>
        <w:t xml:space="preserve">HALAH runs on the Ethereum Sepolia testnet, and the guardian approval rule is currently implemented as N-of-N over the guardian set G.</w:t>
      </w:r>
      <w:r>
        <w:rPr>
          <w:rFonts w:ascii="Times New Roman" w:cs="Times New Roman" w:eastAsia="Times New Roman" w:hAnsi="Times New Roman"/>
          <w:sz w:val="22"/>
          <w:szCs w:val="22"/>
        </w:rPr>
        <w:t xml:space="preserve"> Synthetic healthcare records derived from the Synthea dataset </w:t>
      </w:r>
      <w:r>
        <w:rPr>
          <w:rFonts w:ascii="Times New Roman" w:cs="Times New Roman" w:eastAsia="Times New Roman" w:hAnsi="Times New Roman"/>
          <w:sz w:val="22"/>
          <w:szCs w:val="22"/>
        </w:rPr>
        <w:t xml:space="preserve">(Walonoski et al. 2018)</w:t>
      </w:r>
      <w:r>
        <w:rPr>
          <w:rFonts w:ascii="Times New Roman" w:cs="Times New Roman" w:eastAsia="Times New Roman" w:hAnsi="Times New Roman"/>
          <w:sz w:val="22"/>
          <w:szCs w:val="22"/>
        </w:rPr>
        <w:t xml:space="preserve"> are used to construct representative consent workflows.</w:t>
      </w:r>
      <w:r>
        <w:rPr>
          <w:rFonts w:ascii="Times New Roman" w:cs="Times New Roman" w:eastAsia="Times New Roman" w:hAnsi="Times New Roman"/>
          <w:sz w:val="22"/>
          <w:szCs w:val="22"/>
        </w:rPr>
        <w:t xml:space="preserve"> Security properties are demonstrated through adversarial and negative testing, as well as empirical evaluation using the HALAH prototype and representative healthcare data-sharing scenarios, rather than formal proof.</w:t>
      </w:r>
      <w:r>
        <w:rPr>
          <w:rFonts w:ascii="Times New Roman" w:cs="Times New Roman" w:eastAsia="Times New Roman" w:hAnsi="Times New Roman"/>
          <w:sz w:val="22"/>
          <w:szCs w:val="22"/>
        </w:rPr>
        <w:t xml:space="preserve"> The current stage covers the work delivered so far, while temporal and lifecycle trust, formal security assurance, and comprehensive empirical validation will be developed further in the next stage.</w:t>
      </w:r>
    </w:p>
    <w:p>
      <w:pPr>
        <w:spacing w:after="110" w:line="264"/>
        <w:jc w:val="both"/>
      </w:pPr>
      <w:r>
        <w:rPr>
          <w:rFonts w:ascii="Times New Roman" w:cs="Times New Roman" w:eastAsia="Times New Roman" w:hAnsi="Times New Roman"/>
          <w:color w:val="00A000"/>
          <w:sz w:val="22"/>
          <w:szCs w:val="22"/>
        </w:rPr>
        <w:t xml:space="preserve">Section 2 presents the systematic literature review, Section 3 the research gaps and questions, Section 4 the research objectives, and Section 5 the MVC-based research architecture.</w:t>
      </w:r>
      <w:r>
        <w:rPr>
          <w:rFonts w:ascii="Times New Roman" w:cs="Times New Roman" w:eastAsia="Times New Roman" w:hAnsi="Times New Roman"/>
          <w:color w:val="00A000"/>
          <w:sz w:val="22"/>
          <w:szCs w:val="22"/>
        </w:rPr>
        <w:t xml:space="preserv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does not only list technologies that can be applied to healthcare data sharing. It examines how existing approaches address different conditions required for a trustworthy authorisation decision and where conceptual or architectural gaps remain.</w:t>
      </w:r>
      <w:r>
        <w:rPr>
          <w:rFonts w:ascii="Times New Roman" w:cs="Times New Roman" w:eastAsia="Times New Roman" w:hAnsi="Times New Roman"/>
          <w:sz w:val="22"/>
          <w:szCs w:val="22"/>
        </w:rPr>
        <w:t xml:space="preserve"> Healthcare research has emphasised the importance of patient autonomy, privacy, informed consent, and controlled data sharing </w:t>
      </w:r>
      <w:r>
        <w:rPr>
          <w:rFonts w:ascii="Times New Roman" w:cs="Times New Roman" w:eastAsia="Times New Roman" w:hAnsi="Times New Roman"/>
          <w:sz w:val="22"/>
          <w:szCs w:val="22"/>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rPr>
        <w:t xml:space="preserve">(Jiang et al. 2023; Nazir et al. 2026; Tawfik et al. 2025; Yin et al. 2024)</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w:t>
      </w:r>
      <w:r>
        <w:rPr>
          <w:rFonts w:ascii="Times New Roman" w:cs="Times New Roman" w:eastAsia="Times New Roman" w:hAnsi="Times New Roman"/>
          <w:sz w:val="22"/>
          <w:szCs w:val="22"/>
        </w:rPr>
        <w:t xml:space="preserve"> Having the security mechanisms is one thing</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six requirements below collectively establish a progression from consent modelling and participant trust to collective authorisation, policy enforcement, temporal and lifecycle control, and finally formal security assurance and empirical validation.</w:t>
      </w:r>
      <w:r>
        <w:rPr>
          <w:rFonts w:ascii="Times New Roman" w:cs="Times New Roman" w:eastAsia="Times New Roman" w:hAnsi="Times New Roman"/>
          <w:sz w:val="22"/>
          <w:szCs w:val="22"/>
        </w:rPr>
        <w:t xml:space="preserve">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w:t>
      </w:r>
      <w:r>
        <w:rPr>
          <w:rFonts w:ascii="Times New Roman" w:cs="Times New Roman" w:eastAsia="Times New Roman" w:hAnsi="Times New Roman"/>
          <w:sz w:val="22"/>
          <w:szCs w:val="22"/>
        </w:rPr>
        <w:t xml:space="preserve">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Identifiers (DIDs) and Verifiable Credentials (VCs) provide an alternative to conventional identity architectures based exclusively on centralised identity providers.</w:t>
      </w:r>
      <w:r>
        <w:rPr>
          <w:rFonts w:ascii="Times New Roman" w:cs="Times New Roman" w:eastAsia="Times New Roman" w:hAnsi="Times New Roman"/>
          <w:sz w:val="22"/>
          <w:szCs w:val="22"/>
        </w:rPr>
        <w:t xml:space="preserve"> Participants should establish persistent and cryptographically verifiable identifiers without dependence on a single identity provider.</w:t>
      </w:r>
      <w:r>
        <w:rPr>
          <w:rFonts w:ascii="Times New Roman" w:cs="Times New Roman" w:eastAsia="Times New Roman" w:hAnsi="Times New Roman"/>
          <w:sz w:val="22"/>
          <w:szCs w:val="22"/>
        </w:rPr>
        <w:t xml:space="preserve"> Identity verification establishes who is participating, while authority verification determines whether that entity satisfies the requirements associated with a particular consent.</w:t>
      </w:r>
      <w:r>
        <w:rPr>
          <w:rFonts w:ascii="Times New Roman" w:cs="Times New Roman" w:eastAsia="Times New Roman" w:hAnsi="Times New Roman"/>
          <w:sz w:val="22"/>
          <w:szCs w:val="22"/>
        </w:rPr>
        <w:t xml:space="preserve">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w:t>
      </w:r>
      <w:r>
        <w:rPr>
          <w:rFonts w:ascii="Times New Roman" w:cs="Times New Roman" w:eastAsia="Times New Roman" w:hAnsi="Times New Roman"/>
          <w:sz w:val="22"/>
          <w:szCs w:val="22"/>
        </w:rPr>
        <w:t xml:space="preserve">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w:t>
      </w:r>
      <w:r>
        <w:rPr>
          <w:rFonts w:ascii="Times New Roman" w:cs="Times New Roman" w:eastAsia="Times New Roman" w:hAnsi="Times New Roman"/>
          <w:sz w:val="22"/>
          <w:szCs w:val="22"/>
        </w:rPr>
        <w:t xml:space="preserve"> The access decision must also be evaluated against the purpose and data-scope constraints explicitly associated with the consent.</w:t>
      </w:r>
      <w:r>
        <w:rPr>
          <w:rFonts w:ascii="Times New Roman" w:cs="Times New Roman" w:eastAsia="Times New Roman" w:hAnsi="Times New Roman"/>
          <w:color w:val="00A000"/>
          <w:sz w:val="22"/>
          <w:szCs w:val="22"/>
        </w:rPr>
        <w:t xml:space="preserve">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color w:val="00A000"/>
          <w:sz w:val="22"/>
          <w:szCs w:val="22"/>
        </w:rPr>
        <w:t xml:space="preserve">(Jiang et al. 2023)</w:t>
      </w:r>
      <w:r>
        <w:rPr>
          <w:rFonts w:ascii="Times New Roman" w:cs="Times New Roman" w:eastAsia="Times New Roman" w:hAnsi="Times New Roman"/>
          <w:color w:val="00A000"/>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w:t>
      </w:r>
      <w:r>
        <w:rPr>
          <w:rFonts w:ascii="Times New Roman" w:cs="Times New Roman" w:eastAsia="Times New Roman" w:hAnsi="Times New Roman"/>
          <w:sz w:val="22"/>
          <w:szCs w:val="22"/>
        </w:rPr>
        <w:t xml:space="preserve"> Every decision should preserve verifiable evidence to explain the reason for that decision.</w:t>
      </w:r>
      <w:r>
        <w:rPr>
          <w:rFonts w:ascii="Times New Roman" w:cs="Times New Roman" w:eastAsia="Times New Roman" w:hAnsi="Times New Roman"/>
          <w:sz w:val="22"/>
          <w:szCs w:val="22"/>
        </w:rPr>
        <w:t xml:space="preserve">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rPr>
        <w:t xml:space="preserve">(Page et al. 2021)</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w:t>
      </w:r>
      <w:r>
        <w:rPr>
          <w:rFonts w:ascii="Times New Roman" w:cs="Times New Roman" w:eastAsia="Times New Roman" w:hAnsi="Times New Roman"/>
          <w:color w:val="00A000"/>
          <w:sz w:val="22"/>
          <w:szCs w:val="22"/>
        </w:rPr>
        <w:t xml:space="preserve"> A written protocol (Protocol v1.1) fixed the review questions, databases, master query, eligibility criteria, codebook, and quality items before screening.</w:t>
      </w:r>
      <w:r>
        <w:rPr>
          <w:rFonts w:ascii="Times New Roman" w:cs="Times New Roman" w:eastAsia="Times New Roman" w:hAnsi="Times New Roman"/>
          <w:color w:val="00A000"/>
          <w:sz w:val="22"/>
          <w:szCs w:val="22"/>
        </w:rPr>
        <w:t xml:space="preserve"> All screening, coding, and quality assessment up to the reporting checkpoint were carried out by the author,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w:t>
      </w:r>
      <w:r>
        <w:rPr>
          <w:rFonts w:ascii="Times New Roman" w:cs="Times New Roman" w:eastAsia="Times New Roman" w:hAnsi="Times New Roman"/>
          <w:color w:val="00A000"/>
          <w:sz w:val="22"/>
          <w:szCs w:val="22"/>
        </w:rPr>
        <w:t xml:space="preserve"> Questions 1 to 5 correspond to Req 1 to Req 5, and Questions 6 and 7 together to Req 6.</w:t>
      </w:r>
      <w:r>
        <w:rPr>
          <w:rFonts w:ascii="Times New Roman" w:cs="Times New Roman" w:eastAsia="Times New Roman" w:hAnsi="Times New Roman"/>
          <w:sz w:val="22"/>
          <w:szCs w:val="22"/>
        </w:rPr>
        <w:t xml:space="preserve"> 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w:t>
      </w:r>
      <w:r>
        <w:rPr>
          <w:rFonts w:ascii="Times New Roman" w:cs="Times New Roman" w:eastAsia="Times New Roman" w:hAnsi="Times New Roman"/>
          <w:sz w:val="22"/>
          <w:szCs w:val="22"/>
        </w:rPr>
        <w:t xml:space="preserve"> These databases were selected because they provide complementary coverage of computer science, cybersecurity, healthcare informatics, distributed systems, and information management research.</w:t>
      </w:r>
      <w:r>
        <w:rPr>
          <w:rFonts w:ascii="Times New Roman" w:cs="Times New Roman" w:eastAsia="Times New Roman" w:hAnsi="Times New Roman"/>
          <w:sz w:val="22"/>
          <w:szCs w:val="22"/>
        </w:rPr>
        <w:t xml:space="preserve"> ScienceDirect and SpringerLink were used to identify research on healthcare information systems, privacy, interoperability, and data governance.</w:t>
      </w:r>
      <w:r>
        <w:rPr>
          <w:rFonts w:ascii="Times New Roman" w:cs="Times New Roman" w:eastAsia="Times New Roman" w:hAnsi="Times New Roman"/>
          <w:sz w:val="22"/>
          <w:szCs w:val="22"/>
        </w:rPr>
        <w:t xml:space="preserve"> Scopus and Web of Science were used to improve the coverage of multidisciplinary studies.</w:t>
      </w:r>
      <w:r>
        <w:rPr>
          <w:rFonts w:ascii="Times New Roman" w:cs="Times New Roman" w:eastAsia="Times New Roman" w:hAnsi="Times New Roman"/>
          <w:color w:val="00A000"/>
          <w:sz w:val="22"/>
          <w:szCs w:val="22"/>
        </w:rPr>
        <w:t xml:space="preserve"> One master query of three concept blocks joined by AND covered healthcare data, consent and authorisation, and trust and multi-party concepts.</w:t>
      </w:r>
      <w:r>
        <w:rPr>
          <w:rFonts w:ascii="Times New Roman" w:cs="Times New Roman" w:eastAsia="Times New Roman" w:hAnsi="Times New Roman"/>
          <w:sz w:val="22"/>
          <w:szCs w:val="22"/>
        </w:rPr>
        <w:t xml:space="preserve">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00A000"/>
          <w:sz w:val="22"/>
          <w:szCs w:val="22"/>
        </w:rPr>
        <w:t xml:space="preserve">The main searches were performed in August 2026.</w:t>
      </w:r>
      <w:r>
        <w:rPr>
          <w:rFonts w:ascii="Times New Roman" w:cs="Times New Roman" w:eastAsia="Times New Roman" w:hAnsi="Times New Roman"/>
          <w:color w:val="00A000"/>
          <w:sz w:val="22"/>
          <w:szCs w:val="22"/>
        </w:rPr>
        <w:t xml:space="preserve"> IEEE Xplore, Scopus, Web of Science, and ProQuest were searched on 24 August 2026, SpringerLink, ScienceDirect, and Google Scholar on 25 August 2026, and the ACM Digital Library on 5 September 2026 as a late arm, a declared limitation.</w:t>
      </w:r>
      <w:r>
        <w:rPr>
          <w:rFonts w:ascii="Times New Roman" w:cs="Times New Roman" w:eastAsia="Times New Roman" w:hAnsi="Times New Roman"/>
          <w:color w:val="00A000"/>
          <w:sz w:val="22"/>
          <w:szCs w:val="22"/>
        </w:rPr>
        <w:t xml:space="preserve"> Full-text coding began on 26 August 2026.</w:t>
      </w:r>
      <w:r>
        <w:rPr>
          <w:rFonts w:ascii="Times New Roman" w:cs="Times New Roman" w:eastAsia="Times New Roman" w:hAnsi="Times New Roman"/>
          <w:color w:val="00A000"/>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color w:val="00A000"/>
          <w:sz w:val="22"/>
          <w:szCs w:val="22"/>
        </w:rPr>
        <w:t xml:space="preserve">(Albalwy, Brass &amp; Davies 2021; Jaiman &amp; Urovi 2020; Madine et al. 2020; Tith et al. 2020)</w:t>
      </w:r>
      <w:r>
        <w:rPr>
          <w:rFonts w:ascii="Times New Roman" w:cs="Times New Roman" w:eastAsia="Times New Roman" w:hAnsi="Times New Roman"/>
          <w:color w:val="00A000"/>
          <w:sz w:val="22"/>
          <w:szCs w:val="22"/>
        </w:rPr>
        <w:t xml:space="preserve"> were retrieved.</w:t>
      </w:r>
      <w:r>
        <w:rPr>
          <w:rFonts w:ascii="Times New Roman" w:cs="Times New Roman" w:eastAsia="Times New Roman" w:hAnsi="Times New Roman"/>
          <w:color w:val="00A000"/>
          <w:sz w:val="22"/>
          <w:szCs w:val="22"/>
        </w:rPr>
        <w:t xml:space="preserve"> Seven of the eight misses were attributed to scope, missing trust terms, or the date range, and the cause of the eighth was recorded as an open item.</w:t>
      </w:r>
      <w:r>
        <w:rPr>
          <w:rFonts w:ascii="Times New Roman" w:cs="Times New Roman" w:eastAsia="Times New Roman" w:hAnsi="Times New Roman"/>
          <w:sz w:val="22"/>
          <w:szCs w:val="22"/>
        </w:rPr>
        <w:t xml:space="preserve"> The search results from all databases were exported into a reference management system.</w:t>
      </w:r>
      <w:r>
        <w:rPr>
          <w:rFonts w:ascii="Times New Roman" w:cs="Times New Roman" w:eastAsia="Times New Roman" w:hAnsi="Times New Roman"/>
          <w:sz w:val="22"/>
          <w:szCs w:val="22"/>
        </w:rPr>
        <w:t xml:space="preserve"> Duplicate records were identified using bibliographic metadata, including title, author, DOI, and publication year.</w:t>
      </w:r>
      <w:r>
        <w:rPr>
          <w:rFonts w:ascii="Times New Roman" w:cs="Times New Roman" w:eastAsia="Times New Roman" w:hAnsi="Times New Roman"/>
          <w:sz w:val="22"/>
          <w:szCs w:val="22"/>
        </w:rPr>
        <w:t xml:space="preserve"> 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w:t>
      </w:r>
      <w:r>
        <w:rPr>
          <w:rFonts w:ascii="Times New Roman" w:cs="Times New Roman" w:eastAsia="Times New Roman" w:hAnsi="Times New Roman"/>
          <w:color w:val="00A000"/>
          <w:sz w:val="22"/>
          <w:szCs w:val="22"/>
        </w:rPr>
        <w:t xml:space="preserve"> Inclusion required healthcare data (IC1), consent, authorisation, access control, trust, or governance relevant to data access (IC2), and a mechanism, model, system, or evaluation relevant to a review question (IC3).</w:t>
      </w:r>
      <w:r>
        <w:rPr>
          <w:rFonts w:ascii="Times New Roman" w:cs="Times New Roman" w:eastAsia="Times New Roman" w:hAnsi="Times New Roman"/>
          <w:color w:val="00A000"/>
          <w:sz w:val="22"/>
          <w:szCs w:val="22"/>
        </w:rPr>
        <w:t xml:space="preserve"> Studies also had to be peer-reviewed English papers with full text (IC4 to IC7).</w:t>
      </w:r>
      <w:r>
        <w:rPr>
          <w:rFonts w:ascii="Times New Roman" w:cs="Times New Roman" w:eastAsia="Times New Roman" w:hAnsi="Times New Roman"/>
          <w:sz w:val="22"/>
          <w:szCs w:val="22"/>
        </w:rPr>
        <w:t xml:space="preserve"> The search was restricted to studies published between January 2020 and 2026.</w:t>
      </w:r>
      <w:r>
        <w:rPr>
          <w:rFonts w:ascii="Times New Roman" w:cs="Times New Roman" w:eastAsia="Times New Roman" w:hAnsi="Times New Roman"/>
          <w:color w:val="00A000"/>
          <w:sz w:val="22"/>
          <w:szCs w:val="22"/>
        </w:rPr>
        <w:t xml:space="preserve"> Nine exclusion criteria (EC1 to EC9) removed, among others, non-healthcare studies, secondary reviews, and superficial mentions of consent, although no study was excluded for failing to support the proposed research gap.</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w:t>
      </w:r>
      <w:r>
        <w:rPr>
          <w:rFonts w:ascii="Times New Roman" w:cs="Times New Roman" w:eastAsia="Times New Roman" w:hAnsi="Times New Roman"/>
          <w:color w:val="00A000"/>
          <w:sz w:val="22"/>
          <w:szCs w:val="22"/>
        </w:rPr>
        <w:t xml:space="preserve"> Its counts are internally consistent.</w:t>
      </w:r>
      <w:r>
        <w:rPr>
          <w:rFonts w:ascii="Times New Roman" w:cs="Times New Roman" w:eastAsia="Times New Roman" w:hAnsi="Times New Roman"/>
          <w:color w:val="00A000"/>
          <w:sz w:val="22"/>
          <w:szCs w:val="22"/>
        </w:rPr>
        <w:t xml:space="preserve"> The seven database searches returned 9,256 records, or 6,039 unique records after deduplication, and after title and abstract screening, 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w:t>
      </w:r>
      <w:r>
        <w:rPr>
          <w:rFonts w:ascii="Times New Roman" w:cs="Times New Roman" w:eastAsia="Times New Roman" w:hAnsi="Times New Roman"/>
          <w:color w:val="00A000"/>
          <w:sz w:val="22"/>
          <w:szCs w:val="22"/>
        </w:rPr>
        <w:t xml:space="preserve"> A saturation rule was also defined, under which saturation is declared when eight consecutively coded studies with a positive signal for a dimension yield no new mechanism class.</w:t>
      </w:r>
      <w:r>
        <w:rPr>
          <w:rFonts w:ascii="Times New Roman" w:cs="Times New Roman" w:eastAsia="Times New Roman" w:hAnsi="Times New Roman"/>
          <w:color w:val="00A000"/>
          <w:sz w:val="22"/>
          <w:szCs w:val="22"/>
        </w:rPr>
        <w:t xml:space="preserve"> At the checkpoint, all 39 Tier A records and 25 further records had been assessed, and 44 reports had been fully coded and passed the quality gate.</w:t>
      </w:r>
      <w:r>
        <w:rPr>
          <w:rFonts w:ascii="Times New Roman" w:cs="Times New Roman" w:eastAsia="Times New Roman" w:hAnsi="Times New Roman"/>
          <w:color w:val="00A000"/>
          <w:sz w:val="22"/>
          <w:szCs w:val="22"/>
        </w:rPr>
        <w:t xml:space="preserve"> One full-text report could not be retrieved, and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w:t>
      </w:r>
      <w:r>
        <w:rPr>
          <w:rFonts w:ascii="Times New Roman" w:cs="Times New Roman" w:eastAsia="Times New Roman" w:hAnsi="Times New Roman"/>
          <w:color w:val="00A000"/>
          <w:sz w:val="22"/>
          <w:szCs w:val="22"/>
        </w:rPr>
        <w:t xml:space="preserve"> Each study was coded as Yes, Partial, or No against seven trust dimensions, T1 (identity), T2 (authority), T3 (multi-party), T4 (policy), T5 (temporal), T6 (lifecycle), and T7 (audit), and against the requirements, with a page reference for every positive coding.</w:t>
      </w:r>
      <w:r>
        <w:rPr>
          <w:rFonts w:ascii="Times New Roman" w:cs="Times New Roman" w:eastAsia="Times New Roman" w:hAnsi="Times New Roman"/>
          <w:color w:val="00A000"/>
          <w:sz w:val="22"/>
          <w:szCs w:val="22"/>
        </w:rPr>
        <w:t xml:space="preserve"> A study passed when its score on QA1 to QA4 of the eight quality items was at least 3.0.</w:t>
      </w:r>
      <w:r>
        <w:rPr>
          <w:rFonts w:ascii="Times New Roman" w:cs="Times New Roman" w:eastAsia="Times New Roman" w:hAnsi="Times New Roman"/>
          <w:color w:val="00A000"/>
          <w:sz w:val="22"/>
          <w:szCs w:val="22"/>
        </w:rPr>
        <w:t xml:space="preserve"> Table 1 shows the quality items, how each one was scored, and the rule used for inclusion.</w:t>
      </w:r>
      <w:r>
        <w:rPr>
          <w:rFonts w:ascii="Times New Roman" w:cs="Times New Roman" w:eastAsia="Times New Roman" w:hAnsi="Times New Roman"/>
          <w:color w:val="00A000"/>
          <w:sz w:val="22"/>
          <w:szCs w:val="22"/>
        </w:rPr>
        <w:t xml:space="preserve"> A study is core if its gap-impact verdict is contradicts, weakens, or narrows, or if its T3 coding is Yes or Partial, which gives 23 core studies of the 44.</w:t>
      </w:r>
      <w:r>
        <w:rPr>
          <w:rFonts w:ascii="Times New Roman" w:cs="Times New Roman" w:eastAsia="Times New Roman" w:hAnsi="Times New Roman"/>
          <w:color w:val="00A000"/>
          <w:sz w:val="22"/>
          <w:szCs w:val="22"/>
        </w:rPr>
        <w:t xml:space="preserve"> With the two supporting studies of highest quality score 7.0 </w:t>
      </w:r>
      <w:r>
        <w:rPr>
          <w:rFonts w:ascii="Times New Roman" w:cs="Times New Roman" w:eastAsia="Times New Roman" w:hAnsi="Times New Roman"/>
          <w:color w:val="00A000"/>
          <w:sz w:val="22"/>
          <w:szCs w:val="22"/>
        </w:rPr>
        <w:t xml:space="preserve">(Albalwy, Brass &amp; Davies 2021; Li et al. 2026a)</w:t>
      </w:r>
      <w:r>
        <w:rPr>
          <w:rFonts w:ascii="Times New Roman" w:cs="Times New Roman" w:eastAsia="Times New Roman" w:hAnsi="Times New Roman"/>
          <w:color w:val="00A000"/>
          <w:sz w:val="22"/>
          <w:szCs w:val="22"/>
        </w:rPr>
        <w:t xml:space="preserve">, they form the 25 primary studies, S1 to S25. 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w:t>
      </w:r>
      <w:r>
        <w:rPr>
          <w:rFonts w:ascii="Times New Roman" w:cs="Times New Roman" w:eastAsia="Times New Roman" w:hAnsi="Times New Roman"/>
          <w:color w:val="00A000"/>
          <w:sz w:val="22"/>
          <w:szCs w:val="22"/>
        </w:rPr>
        <w:t xml:space="preserve"> Each included study was assigned to one stream, normally the one on which it is coded most strongly</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S6 </w:t>
      </w:r>
      <w:r>
        <w:rPr>
          <w:rFonts w:ascii="Times New Roman" w:cs="Times New Roman" w:eastAsia="Times New Roman" w:hAnsi="Times New Roman"/>
          <w:color w:val="00A000"/>
          <w:sz w:val="22"/>
          <w:szCs w:val="22"/>
        </w:rPr>
        <w:t xml:space="preserve">(Hagström et al. 2024)</w:t>
      </w:r>
      <w:r>
        <w:rPr>
          <w:rFonts w:ascii="Times New Roman" w:cs="Times New Roman" w:eastAsia="Times New Roman" w:hAnsi="Times New Roman"/>
          <w:color w:val="00A000"/>
          <w:sz w:val="22"/>
          <w:szCs w:val="22"/>
        </w:rPr>
        <w:t xml:space="preserve"> is placed in the multi-party stream for its guardian access gate, although it is graded Partial on Req 3. </w:t>
      </w:r>
      <w:r>
        <w:rPr>
          <w:rFonts w:ascii="Times New Roman" w:cs="Times New Roman" w:eastAsia="Times New Roman" w:hAnsi="Times New Roman"/>
          <w:b/>
          <w:bCs/>
          <w:color w:val="00A000"/>
          <w:sz w:val="22"/>
          <w:szCs w:val="22"/>
        </w:rPr>
        <w:t xml:space="preserve">Consent representation and blockchain-based consent governance (Req 1).</w:t>
      </w:r>
      <w:r>
        <w:rPr>
          <w:rFonts w:ascii="Times New Roman" w:cs="Times New Roman" w:eastAsia="Times New Roman" w:hAnsi="Times New Roman"/>
          <w:color w:val="00A000"/>
          <w:sz w:val="22"/>
          <w:szCs w:val="22"/>
        </w:rPr>
        <w:t xml:space="preserve"> Two of the three studies of this stream are deployed platforms graded Partial.</w:t>
      </w:r>
      <w:r>
        <w:rPr>
          <w:rFonts w:ascii="Times New Roman" w:cs="Times New Roman" w:eastAsia="Times New Roman" w:hAnsi="Times New Roman"/>
          <w:color w:val="00A000"/>
          <w:sz w:val="22"/>
          <w:szCs w:val="22"/>
        </w:rPr>
        <w:t xml:space="preserve"> SooHoo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describe the iAgree portal across three United States health systems with a permissioned Ethereum audit contract, but consent enforcement is outside its scope.</w:t>
      </w:r>
      <w:r>
        <w:rPr>
          <w:rFonts w:ascii="Times New Roman" w:cs="Times New Roman" w:eastAsia="Times New Roman" w:hAnsi="Times New Roman"/>
          <w:color w:val="00A000"/>
          <w:sz w:val="22"/>
          <w:szCs w:val="22"/>
        </w:rPr>
        <w:t xml:space="preserve"> Tremper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report ten years of the Mainzelliste service with FHIR consent directives, but specify no check semantics and no demonstrated enforcement of withdrawal.</w:t>
      </w:r>
      <w:r>
        <w:rPr>
          <w:rFonts w:ascii="Times New Roman" w:cs="Times New Roman" w:eastAsia="Times New Roman" w:hAnsi="Times New Roman"/>
          <w:color w:val="00A000"/>
          <w:sz w:val="22"/>
          <w:szCs w:val="22"/>
        </w:rPr>
        <w:t xml:space="preserve"> The two platforms are single-party systems.</w:t>
      </w:r>
      <w:r>
        <w:rPr>
          <w:rFonts w:ascii="Times New Roman" w:cs="Times New Roman" w:eastAsia="Times New Roman" w:hAnsi="Times New Roman"/>
          <w:color w:val="00A000"/>
          <w:sz w:val="22"/>
          <w:szCs w:val="22"/>
        </w:rPr>
        <w:t xml:space="preserve"> Al Amin et al. </w:t>
      </w:r>
      <w:r>
        <w:rPr>
          <w:rFonts w:ascii="Times New Roman" w:cs="Times New Roman" w:eastAsia="Times New Roman" w:hAnsi="Times New Roman"/>
          <w:color w:val="00A000"/>
          <w:sz w:val="22"/>
          <w:szCs w:val="22"/>
        </w:rPr>
        <w:t xml:space="preserve">(2023)</w:t>
      </w:r>
      <w:r>
        <w:rPr>
          <w:rFonts w:ascii="Times New Roman" w:cs="Times New Roman" w:eastAsia="Times New Roman" w:hAnsi="Times New Roman"/>
          <w:color w:val="00A000"/>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rPr>
        <w:t xml:space="preserve">(Zhang, Kan &amp; Huang 2022)</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rPr>
        <w:t xml:space="preserve">(Teeda &amp; Subba Rao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 Table 3 summarises the description and the issues and limitations of each primary study.</w:t>
      </w:r>
    </w:p>
    <w:p>
      <w:pPr>
        <w:spacing w:after="110" w:line="264"/>
        <w:jc w:val="both"/>
      </w:pPr>
      <w:r>
        <w:rPr>
          <w:rFonts w:ascii="Times New Roman" w:cs="Times New Roman" w:eastAsia="Times New Roman" w:hAnsi="Times New Roman"/>
          <w:b/>
          <w:bCs/>
          <w:color w:val="00A000"/>
          <w:sz w:val="22"/>
          <w:szCs w:val="22"/>
        </w:rPr>
        <w:t xml:space="preserve">Decentralised identity and authority trust (Req 2).</w:t>
      </w:r>
      <w:r>
        <w:rPr>
          <w:rFonts w:ascii="Times New Roman" w:cs="Times New Roman" w:eastAsia="Times New Roman" w:hAnsi="Times New Roman"/>
          <w:color w:val="00A000"/>
          <w:sz w:val="22"/>
          <w:szCs w:val="22"/>
        </w:rPr>
        <w:t xml:space="preserve"> 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color w:val="00A000"/>
          <w:sz w:val="22"/>
          <w:szCs w:val="22"/>
        </w:rPr>
        <w:t xml:space="preserve"> Phuyal et al. </w:t>
      </w:r>
      <w:r>
        <w:rPr>
          <w:rFonts w:ascii="Times New Roman" w:cs="Times New Roman" w:eastAsia="Times New Roman" w:hAnsi="Times New Roman"/>
          <w:color w:val="00A000"/>
          <w:sz w:val="22"/>
          <w:szCs w:val="22"/>
        </w:rPr>
        <w:t xml:space="preserve">(2026b)</w:t>
      </w:r>
      <w:r>
        <w:rPr>
          <w:rFonts w:ascii="Times New Roman" w:cs="Times New Roman" w:eastAsia="Times New Roman" w:hAnsi="Times New Roman"/>
          <w:color w:val="00A000"/>
          <w:sz w:val="22"/>
          <w:szCs w:val="22"/>
        </w:rPr>
        <w:t xml:space="preserve"> present the most integrated system, with EUDI-compatible wallets, W3C decentralised identifiers, verifiable credentials, an on-chain consent object on Hyperledger Besu, and Groth16 access proofs.</w:t>
      </w:r>
      <w:r>
        <w:rPr>
          <w:rFonts w:ascii="Times New Roman" w:cs="Times New Roman" w:eastAsia="Times New Roman" w:hAnsi="Times New Roman"/>
          <w:color w:val="00A000"/>
          <w:sz w:val="22"/>
          <w:szCs w:val="22"/>
        </w:rPr>
        <w:t xml:space="preserve"> Its licensing-body credential asserts role and scope of practice separately from authentication, which is among the strongest Req 2 evidence in the corpus.</w:t>
      </w:r>
      <w:r>
        <w:rPr>
          <w:rFonts w:ascii="Times New Roman" w:cs="Times New Roman" w:eastAsia="Times New Roman" w:hAnsi="Times New Roman"/>
          <w:color w:val="00A000"/>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color w:val="00A000"/>
          <w:sz w:val="22"/>
          <w:szCs w:val="22"/>
        </w:rPr>
        <w:t xml:space="preserve">(Phuyal et al. 2026a)</w:t>
      </w:r>
      <w:r>
        <w:rPr>
          <w:rFonts w:ascii="Times New Roman" w:cs="Times New Roman" w:eastAsia="Times New Roman" w:hAnsi="Times New Roman"/>
          <w:color w:val="00A000"/>
          <w:sz w:val="22"/>
          <w:szCs w:val="22"/>
        </w:rPr>
        <w:t xml:space="preserve"> is design-only.</w:t>
      </w:r>
      <w:r>
        <w:rPr>
          <w:rFonts w:ascii="Times New Roman" w:cs="Times New Roman" w:eastAsia="Times New Roman" w:hAnsi="Times New Roman"/>
          <w:color w:val="00A000"/>
          <w:sz w:val="22"/>
          <w:szCs w:val="22"/>
        </w:rPr>
        <w:t xml:space="preserve"> Tseng et al. </w:t>
      </w:r>
      <w:r>
        <w:rPr>
          <w:rFonts w:ascii="Times New Roman" w:cs="Times New Roman" w:eastAsia="Times New Roman" w:hAnsi="Times New Roman"/>
          <w:color w:val="00A000"/>
          <w:sz w:val="22"/>
          <w:szCs w:val="22"/>
        </w:rPr>
        <w:t xml:space="preserve">(2025)</w:t>
      </w:r>
      <w:r>
        <w:rPr>
          <w:rFonts w:ascii="Times New Roman" w:cs="Times New Roman" w:eastAsia="Times New Roman" w:hAnsi="Times New Roman"/>
          <w:color w:val="00A000"/>
          <w:sz w:val="22"/>
          <w:szCs w:val="22"/>
        </w:rPr>
        <w:t xml:space="preserve"> verify authority-issued roles separately from X.509 identities, although without W3C identifiers and with purpose logged but never evaluated.</w:t>
      </w:r>
      <w:r>
        <w:rPr>
          <w:rFonts w:ascii="Times New Roman" w:cs="Times New Roman" w:eastAsia="Times New Roman" w:hAnsi="Times New Roman"/>
          <w:sz w:val="22"/>
          <w:szCs w:val="22"/>
        </w:rPr>
        <w:t xml:space="preserve">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color w:val="00A000"/>
          <w:sz w:val="22"/>
          <w:szCs w:val="22"/>
        </w:rPr>
        <w:t xml:space="preserve">Multi-party authorisation and collaborative consent (Req 3).</w:t>
      </w:r>
      <w:r>
        <w:rPr>
          <w:rFonts w:ascii="Times New Roman" w:cs="Times New Roman" w:eastAsia="Times New Roman" w:hAnsi="Times New Roman"/>
          <w:color w:val="00A000"/>
          <w:sz w:val="22"/>
          <w:szCs w:val="22"/>
        </w:rPr>
        <w:t xml:space="preserve"> T3 was graded Yes in 6 of the 25 studies, Partial in 4, and No in 15, across six ratified mechanism classes.</w:t>
      </w:r>
      <w:r>
        <w:rPr>
          <w:rFonts w:ascii="Times New Roman" w:cs="Times New Roman" w:eastAsia="Times New Roman" w:hAnsi="Times New Roman"/>
          <w:color w:val="00A000"/>
          <w:sz w:val="22"/>
          <w:szCs w:val="22"/>
        </w:rPr>
        <w:t xml:space="preserve"> Madine et al. </w:t>
      </w:r>
      <w:r>
        <w:rPr>
          <w:rFonts w:ascii="Times New Roman" w:cs="Times New Roman" w:eastAsia="Times New Roman" w:hAnsi="Times New Roman"/>
          <w:color w:val="00A000"/>
          <w:sz w:val="22"/>
          <w:szCs w:val="22"/>
        </w:rPr>
        <w:t xml:space="preserve">(2020)</w:t>
      </w:r>
      <w:r>
        <w:rPr>
          <w:rFonts w:ascii="Times New Roman" w:cs="Times New Roman" w:eastAsia="Times New Roman" w:hAnsi="Times New Roman"/>
          <w:color w:val="00A000"/>
          <w:sz w:val="22"/>
          <w:szCs w:val="22"/>
        </w:rPr>
        <w:t xml:space="preserve"> require a regulator and a guardian threshold on the incapacitated path, but a single patient key suffices on the normal path.</w:t>
      </w:r>
      <w:r>
        <w:rPr>
          <w:rFonts w:ascii="Times New Roman" w:cs="Times New Roman" w:eastAsia="Times New Roman" w:hAnsi="Times New Roman"/>
          <w:color w:val="00A000"/>
          <w:sz w:val="22"/>
          <w:szCs w:val="22"/>
        </w:rPr>
        <w:t xml:space="preserve"> Wu et al. </w:t>
      </w:r>
      <w:r>
        <w:rPr>
          <w:rFonts w:ascii="Times New Roman" w:cs="Times New Roman" w:eastAsia="Times New Roman" w:hAnsi="Times New Roman"/>
          <w:color w:val="00A000"/>
          <w:sz w:val="22"/>
          <w:szCs w:val="22"/>
        </w:rPr>
        <w:t xml:space="preserve">(2022)</w:t>
      </w:r>
      <w:r>
        <w:rPr>
          <w:rFonts w:ascii="Times New Roman" w:cs="Times New Roman" w:eastAsia="Times New Roman" w:hAnsi="Times New Roman"/>
          <w:color w:val="00A000"/>
          <w:sz w:val="22"/>
          <w:szCs w:val="22"/>
        </w:rPr>
        <w:t xml:space="preserve"> apply a (t, n) investigator threshold to record admission and revocation, and Abbasi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use a Shamir (5, 3) threshold for key custody.</w:t>
      </w:r>
      <w:r>
        <w:rPr>
          <w:rFonts w:ascii="Times New Roman" w:cs="Times New Roman" w:eastAsia="Times New Roman" w:hAnsi="Times New Roman"/>
          <w:color w:val="00A000"/>
          <w:sz w:val="22"/>
          <w:szCs w:val="22"/>
        </w:rPr>
        <w:t xml:space="preserve"> Punia et al. </w:t>
      </w:r>
      <w:r>
        <w:rPr>
          <w:rFonts w:ascii="Times New Roman" w:cs="Times New Roman" w:eastAsia="Times New Roman" w:hAnsi="Times New Roman"/>
          <w:color w:val="00A000"/>
          <w:sz w:val="22"/>
          <w:szCs w:val="22"/>
        </w:rPr>
        <w:t xml:space="preserve">(2025)</w:t>
      </w:r>
      <w:r>
        <w:rPr>
          <w:rFonts w:ascii="Times New Roman" w:cs="Times New Roman" w:eastAsia="Times New Roman" w:hAnsi="Times New Roman"/>
          <w:color w:val="00A000"/>
          <w:sz w:val="22"/>
          <w:szCs w:val="22"/>
        </w:rPr>
        <w:t xml:space="preserve"> conjoin an M-of-N multi-signature with an attribute and role policy, but a single emergency officer can bypass the threshold.</w:t>
      </w:r>
      <w:r>
        <w:rPr>
          <w:rFonts w:ascii="Times New Roman" w:cs="Times New Roman" w:eastAsia="Times New Roman" w:hAnsi="Times New Roman"/>
          <w:color w:val="00A000"/>
          <w:sz w:val="22"/>
          <w:szCs w:val="22"/>
        </w:rPr>
        <w:t xml:space="preserve"> Tan et al. </w:t>
      </w:r>
      <w:r>
        <w:rPr>
          <w:rFonts w:ascii="Times New Roman" w:cs="Times New Roman" w:eastAsia="Times New Roman" w:hAnsi="Times New Roman"/>
          <w:color w:val="00A000"/>
          <w:sz w:val="22"/>
          <w:szCs w:val="22"/>
        </w:rPr>
        <w:t xml:space="preserve">(2024)</w:t>
      </w:r>
      <w:r>
        <w:rPr>
          <w:rFonts w:ascii="Times New Roman" w:cs="Times New Roman" w:eastAsia="Times New Roman" w:hAnsi="Times New Roman"/>
          <w:color w:val="00A000"/>
          <w:sz w:val="22"/>
          <w:szCs w:val="22"/>
        </w:rPr>
        <w:t xml:space="preserve"> use patient-appointed verifiers as a contingency, </w:t>
      </w:r>
      <w:r>
        <w:rPr>
          <w:rFonts w:ascii="Times New Roman" w:cs="Times New Roman" w:eastAsia="Times New Roman" w:hAnsi="Times New Roman"/>
          <w:color w:val="00A000"/>
          <w:sz w:val="22"/>
          <w:szCs w:val="22"/>
        </w:rPr>
        <w:t xml:space="preserve">(Ekholm et al. 2025)</w:t>
      </w:r>
      <w:r>
        <w:rPr>
          <w:rFonts w:ascii="Times New Roman" w:cs="Times New Roman" w:eastAsia="Times New Roman" w:hAnsi="Times New Roman"/>
          <w:color w:val="00A000"/>
          <w:sz w:val="22"/>
          <w:szCs w:val="22"/>
        </w:rPr>
        <w:t xml:space="preserve"> reports guardian co-consent at registration time, and </w:t>
      </w:r>
      <w:r>
        <w:rPr>
          <w:rFonts w:ascii="Times New Roman" w:cs="Times New Roman" w:eastAsia="Times New Roman" w:hAnsi="Times New Roman"/>
          <w:color w:val="00A000"/>
          <w:sz w:val="22"/>
          <w:szCs w:val="22"/>
        </w:rPr>
        <w:t xml:space="preserve">(Hagström et al. 2024)</w:t>
      </w:r>
      <w:r>
        <w:rPr>
          <w:rFonts w:ascii="Times New Roman" w:cs="Times New Roman" w:eastAsia="Times New Roman" w:hAnsi="Times New Roman"/>
          <w:color w:val="00A000"/>
          <w:sz w:val="22"/>
          <w:szCs w:val="22"/>
        </w:rPr>
        <w:t xml:space="preserve"> gates guardian access by the minor's consent and a clinician's capacity assessment.</w:t>
      </w:r>
      <w:r>
        <w:rPr>
          <w:rFonts w:ascii="Times New Roman" w:cs="Times New Roman" w:eastAsia="Times New Roman" w:hAnsi="Times New Roman"/>
          <w:color w:val="00A000"/>
          <w:sz w:val="22"/>
          <w:szCs w:val="22"/>
        </w:rPr>
        <w:t xml:space="preserve"> No reviewed study evaluates a threshold predicate over a patient-designated guardian set on every request, and none does so together with the policy, temporal, and jurisdictional conditions.</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A000"/>
          <w:sz w:val="22"/>
          <w:szCs w:val="22"/>
        </w:rPr>
        <w:t xml:space="preserve"> Tith et al. </w:t>
      </w:r>
      <w:r>
        <w:rPr>
          <w:rFonts w:ascii="Times New Roman" w:cs="Times New Roman" w:eastAsia="Times New Roman" w:hAnsi="Times New Roman"/>
          <w:color w:val="00A000"/>
          <w:sz w:val="22"/>
          <w:szCs w:val="22"/>
        </w:rPr>
        <w:t xml:space="preserve">(2020)</w:t>
      </w:r>
      <w:r>
        <w:rPr>
          <w:rFonts w:ascii="Times New Roman" w:cs="Times New Roman" w:eastAsia="Times New Roman" w:hAnsi="Times New Roman"/>
          <w:color w:val="00A000"/>
          <w:sz w:val="22"/>
          <w:szCs w:val="22"/>
        </w:rPr>
        <w:t xml:space="preserve"> match a purpose tree in chaincode, and Jaiman and Urovi </w:t>
      </w:r>
      <w:r>
        <w:rPr>
          <w:rFonts w:ascii="Times New Roman" w:cs="Times New Roman" w:eastAsia="Times New Roman" w:hAnsi="Times New Roman"/>
          <w:color w:val="00A000"/>
          <w:sz w:val="22"/>
          <w:szCs w:val="22"/>
        </w:rPr>
        <w:t xml:space="preserve">(2020)</w:t>
      </w:r>
      <w:r>
        <w:rPr>
          <w:rFonts w:ascii="Times New Roman" w:cs="Times New Roman" w:eastAsia="Times New Roman" w:hAnsi="Times New Roman"/>
          <w:color w:val="00A000"/>
          <w:sz w:val="22"/>
          <w:szCs w:val="22"/>
        </w:rPr>
        <w:t xml:space="preserve"> match ontology terms against the patient's consent.</w:t>
      </w:r>
      <w:r>
        <w:rPr>
          <w:rFonts w:ascii="Times New Roman" w:cs="Times New Roman" w:eastAsia="Times New Roman" w:hAnsi="Times New Roman"/>
          <w:color w:val="00A000"/>
          <w:sz w:val="22"/>
          <w:szCs w:val="22"/>
        </w:rPr>
        <w:t xml:space="preserve"> Albalwy et al. </w:t>
      </w:r>
      <w:r>
        <w:rPr>
          <w:rFonts w:ascii="Times New Roman" w:cs="Times New Roman" w:eastAsia="Times New Roman" w:hAnsi="Times New Roman"/>
          <w:color w:val="00A000"/>
          <w:sz w:val="22"/>
          <w:szCs w:val="22"/>
        </w:rPr>
        <w:t xml:space="preserve">(2021)</w:t>
      </w:r>
      <w:r>
        <w:rPr>
          <w:rFonts w:ascii="Times New Roman" w:cs="Times New Roman" w:eastAsia="Times New Roman" w:hAnsi="Times New Roman"/>
          <w:color w:val="00A000"/>
          <w:sz w:val="22"/>
          <w:szCs w:val="22"/>
        </w:rPr>
        <w:t xml:space="preserve"> evaluate a hashed policy tree of data type, role, and purpose, and Román-Martínez et al. </w:t>
      </w:r>
      <w:r>
        <w:rPr>
          <w:rFonts w:ascii="Times New Roman" w:cs="Times New Roman" w:eastAsia="Times New Roman" w:hAnsi="Times New Roman"/>
          <w:color w:val="00A000"/>
          <w:sz w:val="22"/>
          <w:szCs w:val="22"/>
        </w:rPr>
        <w:t xml:space="preserve">(2023)</w:t>
      </w:r>
      <w:r>
        <w:rPr>
          <w:rFonts w:ascii="Times New Roman" w:cs="Times New Roman" w:eastAsia="Times New Roman" w:hAnsi="Times New Roman"/>
          <w:color w:val="00A000"/>
          <w:sz w:val="22"/>
          <w:szCs w:val="22"/>
        </w:rPr>
        <w:t xml:space="preserve"> evaluate the FHIR purpose-of-use through XACML.</w:t>
      </w:r>
      <w:r>
        <w:rPr>
          <w:rFonts w:ascii="Times New Roman" w:cs="Times New Roman" w:eastAsia="Times New Roman" w:hAnsi="Times New Roman"/>
          <w:color w:val="00A000"/>
          <w:sz w:val="22"/>
          <w:szCs w:val="22"/>
        </w:rPr>
        <w:t xml:space="preserve"> The trust dimension T4 is coded Yes in 11 studies, Partial in 10, and No in 4, and the Req 4 grade in Table 4 is Yes in 10, Partial in 11, and No in 4.</w:t>
      </w:r>
      <w:r>
        <w:rPr>
          <w:rFonts w:ascii="Times New Roman" w:cs="Times New Roman" w:eastAsia="Times New Roman" w:hAnsi="Times New Roman"/>
          <w:color w:val="00A000"/>
          <w:sz w:val="22"/>
          <w:szCs w:val="22"/>
        </w:rPr>
        <w:t xml:space="preserve"> However, purpose-of-use enters the decision in only six studies </w:t>
      </w:r>
      <w:r>
        <w:rPr>
          <w:rFonts w:ascii="Times New Roman" w:cs="Times New Roman" w:eastAsia="Times New Roman" w:hAnsi="Times New Roman"/>
          <w:color w:val="00A000"/>
          <w:sz w:val="22"/>
          <w:szCs w:val="22"/>
        </w:rPr>
        <w:t xml:space="preserve">(Eneh et al. 2026; Panagoulias et al. 2026)</w:t>
      </w:r>
      <w:r>
        <w:rPr>
          <w:rFonts w:ascii="Times New Roman" w:cs="Times New Roman" w:eastAsia="Times New Roman" w:hAnsi="Times New Roman"/>
          <w:color w:val="00A000"/>
          <w:sz w:val="22"/>
          <w:szCs w:val="22"/>
        </w:rPr>
        <w:t xml:space="preserve">, and every one is coded T3 No.</w:t>
      </w:r>
      <w:r>
        <w:rPr>
          <w:rFonts w:ascii="Times New Roman" w:cs="Times New Roman" w:eastAsia="Times New Roman" w:hAnsi="Times New Roman"/>
          <w:color w:val="00A000"/>
          <w:sz w:val="22"/>
          <w:szCs w:val="22"/>
        </w:rPr>
        <w:t xml:space="preserve">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color w:val="00A000"/>
          <w:sz w:val="22"/>
          <w:szCs w:val="22"/>
        </w:rPr>
        <w:t xml:space="preserve"> Eneh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present EdgeConsent, which enforces temporal validity inside the decision predicate, although its lifecycle is only an active flag.</w:t>
      </w:r>
      <w:r>
        <w:rPr>
          <w:rFonts w:ascii="Times New Roman" w:cs="Times New Roman" w:eastAsia="Times New Roman" w:hAnsi="Times New Roman"/>
          <w:sz w:val="22"/>
          <w:szCs w:val="22"/>
        </w:rPr>
        <w:t xml:space="preserve"> Temporal validity must also be evaluated together with the lifecycle state of the consent.</w:t>
      </w:r>
      <w:r>
        <w:rPr>
          <w:rFonts w:ascii="Times New Roman" w:cs="Times New Roman" w:eastAsia="Times New Roman" w:hAnsi="Times New Roman"/>
          <w:color w:val="00A000"/>
          <w:sz w:val="22"/>
          <w:szCs w:val="22"/>
        </w:rPr>
        <w:t xml:space="preserve"> Hema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bind the expiry into key derivation, and Panagoulias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enforce revocation at decision time across 43,500 simulated attempts in a single-node ledger.</w:t>
      </w:r>
      <w:r>
        <w:rPr>
          <w:rFonts w:ascii="Times New Roman" w:cs="Times New Roman" w:eastAsia="Times New Roman" w:hAnsi="Times New Roman"/>
          <w:color w:val="00A000"/>
          <w:sz w:val="22"/>
          <w:szCs w:val="22"/>
        </w:rPr>
        <w:t xml:space="preserve"> Li et al. </w:t>
      </w:r>
      <w:r>
        <w:rPr>
          <w:rFonts w:ascii="Times New Roman" w:cs="Times New Roman" w:eastAsia="Times New Roman" w:hAnsi="Times New Roman"/>
          <w:color w:val="00A000"/>
          <w:sz w:val="22"/>
          <w:szCs w:val="22"/>
        </w:rPr>
        <w:t xml:space="preserve">(2026a)</w:t>
      </w:r>
      <w:r>
        <w:rPr>
          <w:rFonts w:ascii="Times New Roman" w:cs="Times New Roman" w:eastAsia="Times New Roman" w:hAnsi="Times New Roman"/>
          <w:color w:val="00A000"/>
          <w:sz w:val="22"/>
          <w:szCs w:val="22"/>
        </w:rPr>
        <w:t xml:space="preserve"> enforce time on a credential rather than on the consent.</w:t>
      </w:r>
      <w:r>
        <w:rPr>
          <w:rFonts w:ascii="Times New Roman" w:cs="Times New Roman" w:eastAsia="Times New Roman" w:hAnsi="Times New Roman"/>
          <w:color w:val="00A000"/>
          <w:sz w:val="22"/>
          <w:szCs w:val="22"/>
        </w:rPr>
        <w:t xml:space="preserve"> T5 is coded Yes in 8 studies and T6 in 7, a post-revocation denial is demonstrated only by </w:t>
      </w:r>
      <w:r>
        <w:rPr>
          <w:rFonts w:ascii="Times New Roman" w:cs="Times New Roman" w:eastAsia="Times New Roman" w:hAnsi="Times New Roman"/>
          <w:color w:val="00A000"/>
          <w:sz w:val="22"/>
          <w:szCs w:val="22"/>
        </w:rPr>
        <w:t xml:space="preserve">(Phuyal et al. 2026b)</w:t>
      </w:r>
      <w:r>
        <w:rPr>
          <w:rFonts w:ascii="Times New Roman" w:cs="Times New Roman" w:eastAsia="Times New Roman" w:hAnsi="Times New Roman"/>
          <w:color w:val="00A000"/>
          <w:sz w:val="22"/>
          <w:szCs w:val="22"/>
        </w:rPr>
        <w:t xml:space="preserve">, and the four stream-5 systems that enforce time inside the decision are all single-party, with doing so through the credential rather than the consent.</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color w:val="00A000"/>
          <w:sz w:val="22"/>
          <w:szCs w:val="22"/>
        </w:rPr>
        <w:t xml:space="preserve"> Wu and Zhang </w:t>
      </w:r>
      <w:r>
        <w:rPr>
          <w:rFonts w:ascii="Times New Roman" w:cs="Times New Roman" w:eastAsia="Times New Roman" w:hAnsi="Times New Roman"/>
          <w:color w:val="00A000"/>
          <w:sz w:val="22"/>
          <w:szCs w:val="22"/>
        </w:rPr>
        <w:t xml:space="preserve">(2025)</w:t>
      </w:r>
      <w:r>
        <w:rPr>
          <w:rFonts w:ascii="Times New Roman" w:cs="Times New Roman" w:eastAsia="Times New Roman" w:hAnsi="Times New Roman"/>
          <w:color w:val="00A000"/>
          <w:sz w:val="22"/>
          <w:szCs w:val="22"/>
        </w:rPr>
        <w:t xml:space="preserve"> present HealthDID, with three game-based definitions and three theorems proved by reduction, although the proofs cover only the identity and authority fragment.</w:t>
      </w:r>
      <w:r>
        <w:rPr>
          <w:rFonts w:ascii="Times New Roman" w:cs="Times New Roman" w:eastAsia="Times New Roman" w:hAnsi="Times New Roman"/>
          <w:color w:val="00A000"/>
          <w:sz w:val="22"/>
          <w:szCs w:val="22"/>
        </w:rPr>
        <w:t xml:space="preserve"> Zhao and Su </w:t>
      </w:r>
      <w:r>
        <w:rPr>
          <w:rFonts w:ascii="Times New Roman" w:cs="Times New Roman" w:eastAsia="Times New Roman" w:hAnsi="Times New Roman"/>
          <w:color w:val="00A000"/>
          <w:sz w:val="22"/>
          <w:szCs w:val="22"/>
        </w:rPr>
        <w:t xml:space="preserve">(2024)</w:t>
      </w:r>
      <w:r>
        <w:rPr>
          <w:rFonts w:ascii="Times New Roman" w:cs="Times New Roman" w:eastAsia="Times New Roman" w:hAnsi="Times New Roman"/>
          <w:color w:val="00A000"/>
          <w:sz w:val="22"/>
          <w:szCs w:val="22"/>
        </w:rPr>
        <w:t xml:space="preserve"> and Maruthi and Singh </w:t>
      </w:r>
      <w:r>
        <w:rPr>
          <w:rFonts w:ascii="Times New Roman" w:cs="Times New Roman" w:eastAsia="Times New Roman" w:hAnsi="Times New Roman"/>
          <w:color w:val="00A000"/>
          <w:sz w:val="22"/>
          <w:szCs w:val="22"/>
        </w:rPr>
        <w:t xml:space="preserve">(2025)</w:t>
      </w:r>
      <w:r>
        <w:rPr>
          <w:rFonts w:ascii="Times New Roman" w:cs="Times New Roman" w:eastAsia="Times New Roman" w:hAnsi="Times New Roman"/>
          <w:color w:val="00A000"/>
          <w:sz w:val="22"/>
          <w:szCs w:val="22"/>
        </w:rPr>
        <w:t xml:space="preserve"> prove threshold gates in isolation, and Mei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prove a static encryption predicate.</w:t>
      </w:r>
      <w:r>
        <w:rPr>
          <w:rFonts w:ascii="Times New Roman" w:cs="Times New Roman" w:eastAsia="Times New Roman" w:hAnsi="Times New Roman"/>
          <w:color w:val="00A000"/>
          <w:sz w:val="22"/>
          <w:szCs w:val="22"/>
        </w:rPr>
        <w:t xml:space="preserve"> Formal assurance is coded Yes in only 4 of the 25 studies, and empirical validation Yes in 5, Partial in 19, and No in 1.</w:t>
      </w:r>
      <w:r>
        <w:rPr>
          <w:rFonts w:ascii="Times New Roman" w:cs="Times New Roman" w:eastAsia="Times New Roman" w:hAnsi="Times New Roman"/>
          <w:color w:val="00A000"/>
          <w:sz w:val="22"/>
          <w:szCs w:val="22"/>
        </w:rPr>
        <w:t xml:space="preserve"> An inverse relation between predicate breadth and assurance strength was observed.</w:t>
      </w:r>
      <w:r>
        <w:rPr>
          <w:rFonts w:ascii="Times New Roman" w:cs="Times New Roman" w:eastAsia="Times New Roman" w:hAnsi="Times New Roman"/>
          <w:color w:val="00A000"/>
          <w:sz w:val="22"/>
          <w:szCs w:val="22"/>
        </w:rPr>
        <w:t xml:space="preserve"> Few studies execute adversarial scenarios that examine whether security controls can resist deliberate attempts to circumvent the authorisation process. 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highlight w:val="yellow"/>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w:t>
      </w:r>
      <w:r>
        <w:rPr>
          <w:rFonts w:ascii="Times New Roman" w:cs="Times New Roman" w:eastAsia="Times New Roman" w:hAnsi="Times New Roman"/>
          <w:sz w:val="22"/>
          <w:szCs w:val="22"/>
        </w:rPr>
        <w:t xml:space="preserve"> These contributions address different layers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w:t>
      </w:r>
      <w:r>
        <w:rPr>
          <w:rFonts w:ascii="Times New Roman" w:cs="Times New Roman" w:eastAsia="Times New Roman" w:hAnsi="Times New Roman"/>
          <w:color w:val="00A000"/>
          <w:sz w:val="22"/>
          <w:szCs w:val="22"/>
        </w:rPr>
        <w:t xml:space="preserve"> The systems that enforce purpose and time are authored by a single patient and lack a formal argument.</w:t>
      </w:r>
      <w:r>
        <w:rPr>
          <w:rFonts w:ascii="Times New Roman" w:cs="Times New Roman" w:eastAsia="Times New Roman" w:hAnsi="Times New Roman"/>
          <w:color w:val="00A000"/>
          <w:sz w:val="22"/>
          <w:szCs w:val="22"/>
        </w:rPr>
        <w:t xml:space="preserve"> The multi-party systems carry no purpose condition, whereas the proved schemes either omit policy, temporal validity, and lifecycle or, as in </w:t>
      </w:r>
      <w:r>
        <w:rPr>
          <w:rFonts w:ascii="Times New Roman" w:cs="Times New Roman" w:eastAsia="Times New Roman" w:hAnsi="Times New Roman"/>
          <w:color w:val="00A000"/>
          <w:sz w:val="22"/>
          <w:szCs w:val="22"/>
        </w:rPr>
        <w:t xml:space="preserve">(Mei et al. 2026)</w:t>
      </w:r>
      <w:r>
        <w:rPr>
          <w:rFonts w:ascii="Times New Roman" w:cs="Times New Roman" w:eastAsia="Times New Roman" w:hAnsi="Times New Roman"/>
          <w:color w:val="00A000"/>
          <w:sz w:val="22"/>
          <w:szCs w:val="22"/>
        </w:rPr>
        <w:t xml:space="preserve">, prove only a static encryption predicate. Table 4 summarises the 25 studies against the six requirements, where Yes denotes satisfied, Partial partially satisfied, and No not satisfied.</w:t>
      </w:r>
      <w:r>
        <w:rPr>
          <w:rFonts w:ascii="Times New Roman" w:cs="Times New Roman" w:eastAsia="Times New Roman" w:hAnsi="Times New Roman"/>
          <w:color w:val="00A000"/>
          <w:sz w:val="22"/>
          <w:szCs w:val="22"/>
        </w:rPr>
        <w:t xml:space="preserve"> 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The matrix supports four observations.</w:t>
      </w:r>
      <w:r>
        <w:rPr>
          <w:rFonts w:ascii="Times New Roman" w:cs="Times New Roman" w:eastAsia="Times New Roman" w:hAnsi="Times New Roman"/>
          <w:color w:val="00A000"/>
          <w:sz w:val="22"/>
          <w:szCs w:val="22"/>
        </w:rPr>
        <w:t xml:space="preserve"> First, counting only full satisfaction, Req 1 is met by 12 of the 25 studies, Req 2 by 7, Req 3 by 6, Req 4 by 10, Req 5 by 8, and Req 6 by 9.</w:t>
      </w:r>
      <w:r>
        <w:rPr>
          <w:rFonts w:ascii="Times New Roman" w:cs="Times New Roman" w:eastAsia="Times New Roman" w:hAnsi="Times New Roman"/>
          <w:color w:val="00A000"/>
          <w:sz w:val="22"/>
          <w:szCs w:val="22"/>
        </w:rPr>
        <w:t xml:space="preserve"> Second, no study satisfies all six, the maximum of four is reached by </w:t>
      </w:r>
      <w:r>
        <w:rPr>
          <w:rFonts w:ascii="Times New Roman" w:cs="Times New Roman" w:eastAsia="Times New Roman" w:hAnsi="Times New Roman"/>
          <w:color w:val="00A000"/>
          <w:sz w:val="22"/>
          <w:szCs w:val="22"/>
        </w:rPr>
        <w:t xml:space="preserve">(Madine et al. 2020)</w:t>
      </w:r>
      <w:r>
        <w:rPr>
          <w:rFonts w:ascii="Times New Roman" w:cs="Times New Roman" w:eastAsia="Times New Roman" w:hAnsi="Times New Roman"/>
          <w:color w:val="00A000"/>
          <w:sz w:val="22"/>
          <w:szCs w:val="22"/>
        </w:rPr>
        <w:t xml:space="preserve"> and </w:t>
      </w:r>
      <w:r>
        <w:rPr>
          <w:rFonts w:ascii="Times New Roman" w:cs="Times New Roman" w:eastAsia="Times New Roman" w:hAnsi="Times New Roman"/>
          <w:color w:val="00A000"/>
          <w:sz w:val="22"/>
          <w:szCs w:val="22"/>
        </w:rPr>
        <w:t xml:space="preserve">(Panagoulias et al. 2026)</w:t>
      </w:r>
      <w:r>
        <w:rPr>
          <w:rFonts w:ascii="Times New Roman" w:cs="Times New Roman" w:eastAsia="Times New Roman" w:hAnsi="Times New Roman"/>
          <w:color w:val="00A000"/>
          <w:sz w:val="22"/>
          <w:szCs w:val="22"/>
        </w:rPr>
        <w:t xml:space="preserve">, and five studies fully satisfy none.</w:t>
      </w:r>
      <w:r>
        <w:rPr>
          <w:rFonts w:ascii="Times New Roman" w:cs="Times New Roman" w:eastAsia="Times New Roman" w:hAnsi="Times New Roman"/>
          <w:color w:val="00A000"/>
          <w:sz w:val="22"/>
          <w:szCs w:val="22"/>
        </w:rPr>
        <w:t xml:space="preserve"> Third, Req 1 with Req 4 is the most frequent pair, in seven studies, whereas Req 2 and Req 4 never co-occur in full.</w:t>
      </w:r>
      <w:r>
        <w:rPr>
          <w:rFonts w:ascii="Times New Roman" w:cs="Times New Roman" w:eastAsia="Times New Roman" w:hAnsi="Times New Roman"/>
          <w:color w:val="00A000"/>
          <w:sz w:val="22"/>
          <w:szCs w:val="22"/>
        </w:rPr>
        <w:t xml:space="preserve"> Req 3 co-occurs with Req 4 only in </w:t>
      </w:r>
      <w:r>
        <w:rPr>
          <w:rFonts w:ascii="Times New Roman" w:cs="Times New Roman" w:eastAsia="Times New Roman" w:hAnsi="Times New Roman"/>
          <w:color w:val="00A000"/>
          <w:sz w:val="22"/>
          <w:szCs w:val="22"/>
        </w:rPr>
        <w:t xml:space="preserve">(Punia et al. 2025)</w:t>
      </w:r>
      <w:r>
        <w:rPr>
          <w:rFonts w:ascii="Times New Roman" w:cs="Times New Roman" w:eastAsia="Times New Roman" w:hAnsi="Times New Roman"/>
          <w:color w:val="00A000"/>
          <w:sz w:val="22"/>
          <w:szCs w:val="22"/>
        </w:rPr>
        <w:t xml:space="preserve">, whose threshold lies outside the policy predicate and whose policy carries no purpose term.</w:t>
      </w:r>
      <w:r>
        <w:rPr>
          <w:rFonts w:ascii="Times New Roman" w:cs="Times New Roman" w:eastAsia="Times New Roman" w:hAnsi="Times New Roman"/>
          <w:color w:val="00A000"/>
          <w:sz w:val="22"/>
          <w:szCs w:val="22"/>
        </w:rPr>
        <w:t xml:space="preserve"> Similarly, Req 3 co-occurs with Req 6 only in </w:t>
      </w:r>
      <w:r>
        <w:rPr>
          <w:rFonts w:ascii="Times New Roman" w:cs="Times New Roman" w:eastAsia="Times New Roman" w:hAnsi="Times New Roman"/>
          <w:color w:val="00A000"/>
          <w:sz w:val="22"/>
          <w:szCs w:val="22"/>
        </w:rPr>
        <w:t xml:space="preserve">(Maruthi &amp; Singh 2025; Zhao &amp; Su 2024)</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Fourth, the two quadruples are complementary, since lacks policy and assurance, whereas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w:t>
      </w:r>
      <w:r>
        <w:rPr>
          <w:rFonts w:ascii="Times New Roman" w:cs="Times New Roman" w:eastAsia="Times New Roman" w:hAnsi="Times New Roman"/>
          <w:sz w:val="22"/>
          <w:szCs w:val="22"/>
        </w:rPr>
        <w:t xml:space="preserve"> Rather, it lies in establishing an explicit conceptual relationship among them.</w:t>
      </w:r>
      <w:r>
        <w:rPr>
          <w:rFonts w:ascii="Times New Roman" w:cs="Times New Roman" w:eastAsia="Times New Roman" w:hAnsi="Times New Roman"/>
          <w:color w:val="00A000"/>
          <w:sz w:val="22"/>
          <w:szCs w:val="22"/>
        </w:rPr>
        <w:t xml:space="preserve"> The consent object C carries the identity, authority, threshold, policy, temporal, and lifecycle conditions together, so that their relationship is verifiable. Table 5 in Section 2.6 positions the proposed framework relative to these requirements.</w:t>
      </w:r>
      <w:r>
        <w:rPr>
          <w:rFonts w:ascii="Times New Roman" w:cs="Times New Roman" w:eastAsia="Times New Roman" w:hAnsi="Times New Roman"/>
          <w:color w:val="00A000"/>
          <w:sz w:val="22"/>
          <w:szCs w:val="22"/>
        </w:rPr>
        <w:t xml:space="preserve"> The conjunction is formally specified and validated through allow-and-deny test cases and attack cases, whereas its formal verification and the remaining lifecycle extensions of RQ5 are left for the next stage (Sections 10 and 11).</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w:t>
      </w:r>
      <w:r>
        <w:rPr>
          <w:rFonts w:ascii="Times New Roman" w:cs="Times New Roman" w:eastAsia="Times New Roman" w:hAnsi="Times New Roman"/>
          <w:color w:val="00A000"/>
          <w:sz w:val="22"/>
          <w:szCs w:val="22"/>
        </w:rPr>
        <w:t xml:space="preserve"> Across the corpus, Req 3 is the least satisfied requirement, 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color w:val="00A000"/>
          <w:sz w:val="22"/>
          <w:szCs w:val="22"/>
        </w:rPr>
        <w:t xml:space="preserve"> The rarity of multi-party approval and formal verification is also seen in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A000"/>
          <w:sz w:val="22"/>
          <w:szCs w:val="22"/>
        </w:rPr>
        <w:t xml:space="preserve">The review corrects one framing.</w:t>
      </w:r>
      <w:r>
        <w:rPr>
          <w:rFonts w:ascii="Times New Roman" w:cs="Times New Roman" w:eastAsia="Times New Roman" w:hAnsi="Times New Roman"/>
          <w:color w:val="00A000"/>
          <w:sz w:val="22"/>
          <w:szCs w:val="22"/>
        </w:rPr>
        <w:t xml:space="preserve"> Multi-party authorisation of patient consent is not absent from the literature, since the full-text coding shows it in six forms.</w:t>
      </w:r>
      <w:r>
        <w:rPr>
          <w:rFonts w:ascii="Times New Roman" w:cs="Times New Roman" w:eastAsia="Times New Roman" w:hAnsi="Times New Roman"/>
          <w:color w:val="00A000"/>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color w:val="00A000"/>
          <w:sz w:val="22"/>
          <w:szCs w:val="22"/>
        </w:rPr>
        <w:t xml:space="preserve">The review establishes two gaps.</w:t>
      </w:r>
      <w:r>
        <w:rPr>
          <w:rFonts w:ascii="Times New Roman" w:cs="Times New Roman" w:eastAsia="Times New Roman" w:hAnsi="Times New Roman"/>
          <w:color w:val="00A000"/>
          <w:sz w:val="22"/>
          <w:szCs w:val="22"/>
        </w:rPr>
        <w:t xml:space="preserve"> The first is a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since no study conjoins identity, authority, threshold, policy, temporal, jurisdictional, and lifecycle conditions in one decision predicate in which multi-party approval is a standing condition and the patient defines the approving set.</w:t>
      </w:r>
      <w:r>
        <w:rPr>
          <w:rFonts w:ascii="Times New Roman" w:cs="Times New Roman" w:eastAsia="Times New Roman" w:hAnsi="Times New Roman"/>
          <w:color w:val="00A000"/>
          <w:sz w:val="22"/>
          <w:szCs w:val="22"/>
        </w:rPr>
        <w:t xml:space="preserve"> The second is an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since co-existing conditions are neither proved nor tested as an authorisation decision, and any proof covers only a fragment of the predicate.</w:t>
      </w:r>
      <w:r>
        <w:rPr>
          <w:rFonts w:ascii="Times New Roman" w:cs="Times New Roman" w:eastAsia="Times New Roman" w:hAnsi="Times New Roman"/>
          <w:sz w:val="22"/>
          <w:szCs w:val="22"/>
        </w:rPr>
        <w:t xml:space="preserve"> As shown in Figure 2, the proposed research addresses both gaps by developing a trusted multi-party consent governance framework in which consent is represented as an evaluable authorisation object.</w:t>
      </w:r>
      <w:r>
        <w:rPr>
          <w:rFonts w:ascii="Times New Roman" w:cs="Times New Roman" w:eastAsia="Times New Roman" w:hAnsi="Times New Roman"/>
          <w:color w:val="00A000"/>
          <w:sz w:val="22"/>
          <w:szCs w:val="22"/>
        </w:rPr>
        <w:t xml:space="preserve">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The review has limitations.</w:t>
      </w:r>
      <w:r>
        <w:rPr>
          <w:rFonts w:ascii="Times New Roman" w:cs="Times New Roman" w:eastAsia="Times New Roman" w:hAnsi="Times New Roman"/>
          <w:color w:val="00A000"/>
          <w:sz w:val="22"/>
          <w:szCs w:val="22"/>
        </w:rPr>
        <w:t xml:space="preserve"> A further 588 records, mostly from SpringerLink, could not be screened at the abstract stage because the export contained no abstracts.</w:t>
      </w:r>
      <w:r>
        <w:rPr>
          <w:rFonts w:ascii="Times New Roman" w:cs="Times New Roman" w:eastAsia="Times New Roman" w:hAnsi="Times New Roman"/>
          <w:color w:val="00A000"/>
          <w:sz w:val="22"/>
          <w:szCs w:val="22"/>
        </w:rPr>
        <w:t xml:space="preserve"> The reporting checkpoint and a single round of coding mean that a small number of relevant studies may have been missed.</w:t>
      </w:r>
      <w:r>
        <w:rPr>
          <w:rFonts w:ascii="Times New Roman" w:cs="Times New Roman" w:eastAsia="Times New Roman" w:hAnsi="Times New Roman"/>
          <w:color w:val="00A000"/>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w:t>
      </w:r>
      <w:r>
        <w:rPr>
          <w:rFonts w:ascii="Times New Roman" w:cs="Times New Roman" w:eastAsia="Times New Roman" w:hAnsi="Times New Roman"/>
          <w:color w:val="00A000"/>
          <w:sz w:val="22"/>
          <w:szCs w:val="22"/>
        </w:rPr>
        <w:t xml:space="preserve">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w:t>
      </w:r>
      <w:r>
        <w:rPr>
          <w:rFonts w:ascii="Times New Roman" w:cs="Times New Roman" w:eastAsia="Times New Roman" w:hAnsi="Times New Roman"/>
          <w:color w:val="00A000"/>
          <w:sz w:val="22"/>
          <w:szCs w:val="22"/>
        </w:rPr>
        <w:t xml:space="preserve">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rPr>
              <w:t xml:space="preserve">(Bloemen, Logvinov &amp; Evans 2017)</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w:t>
      </w:r>
      <w:r>
        <w:rPr>
          <w:rFonts w:ascii="Times New Roman" w:cs="Times New Roman" w:eastAsia="Times New Roman" w:hAnsi="Times New Roman"/>
          <w:sz w:val="22"/>
          <w:szCs w:val="22"/>
        </w:rPr>
        <w:t xml:space="preserve"> However, the literature also reveals a significant conceptual and architectural fragmentation among these mechanisms.</w:t>
      </w:r>
      <w:r>
        <w:rPr>
          <w:rFonts w:ascii="Times New Roman" w:cs="Times New Roman" w:eastAsia="Times New Roman" w:hAnsi="Times New Roman"/>
          <w:sz w:val="22"/>
          <w:szCs w:val="22"/>
        </w:rPr>
        <w:t xml:space="preserve"> They are commonly investigated as independent technical solutions rather than as coordinated components of a unified trust-oriented authorisation model.</w:t>
      </w:r>
      <w:r>
        <w:rPr>
          <w:rFonts w:ascii="Times New Roman" w:cs="Times New Roman" w:eastAsia="Times New Roman" w:hAnsi="Times New Roman"/>
          <w:color w:val="00A000"/>
          <w:sz w:val="22"/>
          <w:szCs w:val="22"/>
        </w:rPr>
        <w:t xml:space="preserve"> The few studies that coordinate several of them in one decision </w:t>
      </w:r>
      <w:r>
        <w:rPr>
          <w:rFonts w:ascii="Times New Roman" w:cs="Times New Roman" w:eastAsia="Times New Roman" w:hAnsi="Times New Roman"/>
          <w:color w:val="00A000"/>
          <w:sz w:val="22"/>
          <w:szCs w:val="22"/>
        </w:rPr>
        <w:t xml:space="preserve">(Ferreira et al. 2025; Panagoulias et al. 2026; Phuyal et al. 2026b; Punia et al. 2025; Shanmugham &amp; Senthilkumar 2026)</w:t>
      </w:r>
      <w:r>
        <w:rPr>
          <w:rFonts w:ascii="Times New Roman" w:cs="Times New Roman" w:eastAsia="Times New Roman" w:hAnsi="Times New Roman"/>
          <w:color w:val="00A000"/>
          <w:sz w:val="22"/>
          <w:szCs w:val="22"/>
        </w:rPr>
        <w:t xml:space="preserve"> 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r>
        <w:rPr>
          <w:rFonts w:ascii="Times New Roman" w:cs="Times New Roman" w:eastAsia="Times New Roman" w:hAnsi="Times New Roman"/>
          <w:sz w:val="22"/>
          <w:szCs w:val="22"/>
        </w:rPr>
        <w:t xml:space="preserve"> Existing consent-oriented approaches tend to treat consent primarily as a record of a patient’s permission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rPr>
        <w:t xml:space="preserve">(Sawant &amp; Gomes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w:t>
      </w:r>
      <w:r>
        <w:rPr>
          <w:rFonts w:ascii="Times New Roman" w:cs="Times New Roman" w:eastAsia="Times New Roman" w:hAnsi="Times New Roman"/>
          <w:color w:val="00A000"/>
          <w:sz w:val="22"/>
          <w:szCs w:val="22"/>
        </w:rPr>
        <w:t xml:space="preserve"> Even the evaluable consent objects reported since 2020 </w:t>
      </w:r>
      <w:r>
        <w:rPr>
          <w:rFonts w:ascii="Times New Roman" w:cs="Times New Roman" w:eastAsia="Times New Roman" w:hAnsi="Times New Roman"/>
          <w:color w:val="00A000"/>
          <w:sz w:val="22"/>
          <w:szCs w:val="22"/>
        </w:rPr>
        <w:t xml:space="preserve">(Albalwy, Brass &amp; Davies 2021; Eneh et al. 2026; Phuyal et al. 2026b; Shanmugham &amp; Senthilkumar 2026; Tith et al. 2020)</w:t>
      </w:r>
      <w:r>
        <w:rPr>
          <w:rFonts w:ascii="Times New Roman" w:cs="Times New Roman" w:eastAsia="Times New Roman" w:hAnsi="Times New Roman"/>
          <w:color w:val="00A000"/>
          <w:sz w:val="22"/>
          <w:szCs w:val="22"/>
        </w:rPr>
        <w:t xml:space="preserve"> carry only a subset of the conditions and are issued by a single party.</w:t>
      </w:r>
      <w:r>
        <w:rPr>
          <w:rFonts w:ascii="Times New Roman" w:cs="Times New Roman" w:eastAsia="Times New Roman" w:hAnsi="Times New Roman"/>
          <w:sz w:val="22"/>
          <w:szCs w:val="22"/>
        </w:rPr>
        <w:t xml:space="preserve">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w:t>
      </w:r>
      <w:r>
        <w:rPr>
          <w:rFonts w:ascii="Times New Roman" w:cs="Times New Roman" w:eastAsia="Times New Roman" w:hAnsi="Times New Roman"/>
          <w:sz w:val="22"/>
          <w:szCs w:val="22"/>
        </w:rPr>
        <w:t xml:space="preserve"> Similarly, a valid decentralised identity can establish who a participant is </w:t>
      </w:r>
      <w:r>
        <w:rPr>
          <w:rFonts w:ascii="Times New Roman" w:cs="Times New Roman" w:eastAsia="Times New Roman" w:hAnsi="Times New Roman"/>
          <w:sz w:val="22"/>
          <w:szCs w:val="22"/>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w:t>
      </w:r>
      <w:r>
        <w:rPr>
          <w:rFonts w:ascii="Times New Roman" w:cs="Times New Roman" w:eastAsia="Times New Roman" w:hAnsi="Times New Roman"/>
          <w:sz w:val="22"/>
          <w:szCs w:val="22"/>
        </w:rPr>
        <w:t xml:space="preserve"> Multi-party approval can strengthen collective decision-making, but approval alone does not guarantee that the resulting access request conforms to the patient’s authorised purpose or data scope.</w:t>
      </w:r>
      <w:r>
        <w:rPr>
          <w:rFonts w:ascii="Times New Roman" w:cs="Times New Roman" w:eastAsia="Times New Roman" w:hAnsi="Times New Roman"/>
          <w:color w:val="00A000"/>
          <w:sz w:val="22"/>
          <w:szCs w:val="22"/>
        </w:rPr>
        <w:t xml:space="preserve"> In the reviewed studies, multi-party approval is never conjoined with a purpose condition </w:t>
      </w:r>
      <w:r>
        <w:rPr>
          <w:rFonts w:ascii="Times New Roman" w:cs="Times New Roman" w:eastAsia="Times New Roman" w:hAnsi="Times New Roman"/>
          <w:color w:val="00A000"/>
          <w:sz w:val="22"/>
          <w:szCs w:val="22"/>
        </w:rPr>
        <w:t xml:space="preserve">(Madine et al. 2020; Punia et al. 2025; Tan, Chi &amp; Lam 2024)</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w:t>
      </w:r>
      <w:r>
        <w:rPr>
          <w:rFonts w:ascii="Times New Roman" w:cs="Times New Roman" w:eastAsia="Times New Roman" w:hAnsi="Times New Roman"/>
          <w:sz w:val="22"/>
          <w:szCs w:val="22"/>
        </w:rPr>
        <w:t xml:space="preserve"> From a Trust Computing perspective, 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most of the needed technology, but not an integrated Trust Computing framework that treats patient consent as a security-bearing and evaluable authorisation object.</w:t>
      </w:r>
      <w:r>
        <w:rPr>
          <w:rFonts w:ascii="Times New Roman" w:cs="Times New Roman" w:eastAsia="Times New Roman" w:hAnsi="Times New Roman"/>
          <w:sz w:val="22"/>
          <w:szCs w:val="22"/>
        </w:rPr>
        <w:t xml:space="preserve"> Such a framework should be capable of representing the relevant trust conditions, verifying the participating entities and their authority, establishing collective authorisation, and enforcing the policy and data-scope constraints associated with the consent.</w:t>
      </w:r>
      <w:r>
        <w:rPr>
          <w:rFonts w:ascii="Times New Roman" w:cs="Times New Roman" w:eastAsia="Times New Roman" w:hAnsi="Times New Roman"/>
          <w:color w:val="00A000"/>
          <w:sz w:val="22"/>
          <w:szCs w:val="22"/>
        </w:rPr>
        <w:t xml:space="preserve">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w:t>
      </w:r>
      <w:r>
        <w:rPr>
          <w:rFonts w:ascii="Times New Roman" w:cs="Times New Roman" w:eastAsia="Times New Roman" w:hAnsi="Times New Roman"/>
          <w:color w:val="00A000"/>
          <w:sz w:val="22"/>
          <w:szCs w:val="22"/>
        </w:rPr>
        <w:t xml:space="preserve"> These two requirements correspond to the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and the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identified in Section 2.</w:t>
      </w:r>
      <w:r>
        <w:rPr>
          <w:rFonts w:ascii="Times New Roman" w:cs="Times New Roman" w:eastAsia="Times New Roman" w:hAnsi="Times New Roman"/>
          <w:color w:val="00A000"/>
          <w:sz w:val="22"/>
          <w:szCs w:val="22"/>
        </w:rPr>
        <w:t xml:space="preserve">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color w:val="00A000"/>
          <w:sz w:val="22"/>
          <w:szCs w:val="22"/>
        </w:rPr>
        <w:t xml:space="preserve">(Punia et al. 2025; Wu et al. 2022; Zhao &amp; Su 2024)</w:t>
      </w:r>
      <w:r>
        <w:rPr>
          <w:rFonts w:ascii="Times New Roman" w:cs="Times New Roman" w:eastAsia="Times New Roman" w:hAnsi="Times New Roman"/>
          <w:color w:val="00A000"/>
          <w:sz w:val="22"/>
          <w:szCs w:val="22"/>
        </w:rPr>
        <w:t xml:space="preserve">, or appointed by the patient </w:t>
      </w:r>
      <w:r>
        <w:rPr>
          <w:rFonts w:ascii="Times New Roman" w:cs="Times New Roman" w:eastAsia="Times New Roman" w:hAnsi="Times New Roman"/>
          <w:color w:val="00A000"/>
          <w:sz w:val="22"/>
          <w:szCs w:val="22"/>
        </w:rPr>
        <w:t xml:space="preserve">(Maruthi &amp; Singh 2025; Tan, Chi &amp; Lam 2024)</w:t>
      </w:r>
      <w:r>
        <w:rPr>
          <w:rFonts w:ascii="Times New Roman" w:cs="Times New Roman" w:eastAsia="Times New Roman" w:hAnsi="Times New Roman"/>
          <w:color w:val="00A000"/>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color w:val="00A000"/>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1 (consent representation).</w:t>
      </w:r>
      <w:r>
        <w:rPr>
          <w:rFonts w:ascii="Times New Roman" w:cs="Times New Roman" w:eastAsia="Times New Roman" w:hAnsi="Times New Roman"/>
          <w:color w:val="00A000"/>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3 (multi-party authorisation).</w:t>
      </w:r>
      <w:r>
        <w:rPr>
          <w:rFonts w:ascii="Times New Roman" w:cs="Times New Roman" w:eastAsia="Times New Roman" w:hAnsi="Times New Roman"/>
          <w:color w:val="00A000"/>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4 (policy and context).</w:t>
      </w:r>
      <w:r>
        <w:rPr>
          <w:rFonts w:ascii="Times New Roman" w:cs="Times New Roman" w:eastAsia="Times New Roman" w:hAnsi="Times New Roman"/>
          <w:color w:val="00A000"/>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5 (temporal and lifecycle trust).</w:t>
      </w:r>
      <w:r>
        <w:rPr>
          <w:rFonts w:ascii="Times New Roman" w:cs="Times New Roman" w:eastAsia="Times New Roman" w:hAnsi="Times New Roman"/>
          <w:color w:val="00A000"/>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6 (security assurance).</w:t>
      </w:r>
      <w:r>
        <w:rPr>
          <w:rFonts w:ascii="Times New Roman" w:cs="Times New Roman" w:eastAsia="Times New Roman" w:hAnsi="Times New Roman"/>
          <w:color w:val="00A000"/>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color w:val="00A000"/>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w:t>
      </w:r>
      <w:r>
        <w:rPr>
          <w:rFonts w:ascii="Times New Roman" w:cs="Times New Roman" w:eastAsia="Times New Roman" w:hAnsi="Times New Roman"/>
          <w:color w:val="00A000"/>
          <w:sz w:val="22"/>
          <w:szCs w:val="22"/>
        </w:rPr>
        <w:t xml:space="preserve"> The guardian set G is the set of designated participants whose independent approval is required.</w:t>
      </w:r>
      <w:r>
        <w:rPr>
          <w:rFonts w:ascii="Times New Roman" w:cs="Times New Roman" w:eastAsia="Times New Roman" w:hAnsi="Times New Roman"/>
          <w:sz w:val="22"/>
          <w:szCs w:val="22"/>
        </w:rPr>
        <w:t xml:space="preserve"> Each guardian is checked to determine whether the individual or entity possesses the required authority to participate in consent-related decisions.</w:t>
      </w:r>
      <w:r>
        <w:rPr>
          <w:rFonts w:ascii="Times New Roman" w:cs="Times New Roman" w:eastAsia="Times New Roman" w:hAnsi="Times New Roman"/>
          <w:color w:val="00A000"/>
          <w:sz w:val="22"/>
          <w:szCs w:val="22"/>
        </w:rPr>
        <w:t xml:space="preserve"> The threshold N is the number of valid guardian approvals needed for activation.</w:t>
      </w:r>
      <w:r>
        <w:rPr>
          <w:rFonts w:ascii="Times New Roman" w:cs="Times New Roman" w:eastAsia="Times New Roman" w:hAnsi="Times New Roman"/>
          <w:sz w:val="22"/>
          <w:szCs w:val="22"/>
        </w:rPr>
        <w:t xml:space="preserve"> If the number of valid approvals is below the required threshold N, the consent cannot produce an effective authorisation decision.</w:t>
      </w:r>
      <w:r>
        <w:rPr>
          <w:rFonts w:ascii="Times New Roman" w:cs="Times New Roman" w:eastAsia="Times New Roman" w:hAnsi="Times New Roman"/>
          <w:color w:val="00A000"/>
          <w:sz w:val="22"/>
          <w:szCs w:val="22"/>
        </w:rPr>
        <w:t xml:space="preserve">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w:t>
      </w:r>
      <w:r>
        <w:rPr>
          <w:rFonts w:ascii="Times New Roman" w:cs="Times New Roman" w:eastAsia="Times New Roman" w:hAnsi="Times New Roman"/>
          <w:sz w:val="22"/>
          <w:szCs w:val="22"/>
        </w:rPr>
        <w:t xml:space="preserve"> The terms establish and enforce represent two complementary aspects of the research problem.</w:t>
      </w:r>
      <w:r>
        <w:rPr>
          <w:rFonts w:ascii="Times New Roman" w:cs="Times New Roman" w:eastAsia="Times New Roman" w:hAnsi="Times New Roman"/>
          <w:sz w:val="22"/>
          <w:szCs w:val="22"/>
        </w:rPr>
        <w:t xml:space="preserve"> Establishment concerns how trustworthy participants, authority relationships, and collective consent decisions are created.</w:t>
      </w:r>
      <w:r>
        <w:rPr>
          <w:rFonts w:ascii="Times New Roman" w:cs="Times New Roman" w:eastAsia="Times New Roman" w:hAnsi="Times New Roman"/>
          <w:sz w:val="22"/>
          <w:szCs w:val="22"/>
        </w:rPr>
        <w:t xml:space="preserve">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w:t>
      </w:r>
      <w:r>
        <w:rPr>
          <w:rFonts w:ascii="Times New Roman" w:cs="Times New Roman" w:eastAsia="Times New Roman" w:hAnsi="Times New Roman"/>
          <w:sz w:val="22"/>
          <w:szCs w:val="22"/>
        </w:rPr>
        <w:t xml:space="preserve"> Each sub-research question addresses a distinct dimension of the proposed trust-oriented healthcare authorisation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A000"/>
          <w:sz w:val="22"/>
          <w:szCs w:val="22"/>
        </w:rPr>
        <w:t xml:space="preserve"> For brevity, SRQ1 to SRQ6 are referred to as RQ1 to RQ6 throughout this report.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w:t>
      </w:r>
      <w:r>
        <w:rPr>
          <w:rFonts w:ascii="Times New Roman" w:cs="Times New Roman" w:eastAsia="Times New Roman" w:hAnsi="Times New Roman"/>
          <w:color w:val="00A000"/>
          <w:sz w:val="22"/>
          <w:szCs w:val="22"/>
        </w:rPr>
        <w:t xml:space="preserve"> Within A, the guardian set G and the threshold N define the required approvals, T is the temporal validity window, L is the jurisdictional constraint, and E also records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w:t>
      </w:r>
      <w:r>
        <w:rPr>
          <w:rFonts w:ascii="Times New Roman" w:cs="Times New Roman" w:eastAsia="Times New Roman" w:hAnsi="Times New Roman"/>
          <w:color w:val="00A000"/>
          <w:sz w:val="22"/>
          <w:szCs w:val="22"/>
        </w:rPr>
        <w:t xml:space="preserve"> RQ1 establishes the conceptual object.</w:t>
      </w:r>
      <w:r>
        <w:rPr>
          <w:rFonts w:ascii="Times New Roman" w:cs="Times New Roman" w:eastAsia="Times New Roman" w:hAnsi="Times New Roman"/>
          <w:sz w:val="22"/>
          <w:szCs w:val="22"/>
        </w:rPr>
        <w:t xml:space="preserve"> RQ2 establishes the trustworthiness of the participants.</w:t>
      </w:r>
      <w:r>
        <w:rPr>
          <w:rFonts w:ascii="Times New Roman" w:cs="Times New Roman" w:eastAsia="Times New Roman" w:hAnsi="Times New Roman"/>
          <w:sz w:val="22"/>
          <w:szCs w:val="22"/>
        </w:rPr>
        <w:t xml:space="preserve"> RQ3 then extends this participant-level trust into a collective decision.</w:t>
      </w:r>
      <w:r>
        <w:rPr>
          <w:rFonts w:ascii="Times New Roman" w:cs="Times New Roman" w:eastAsia="Times New Roman" w:hAnsi="Times New Roman"/>
          <w:sz w:val="22"/>
          <w:szCs w:val="22"/>
        </w:rPr>
        <w:t xml:space="preserve"> RQ4 determines whether the resulting authorisation is applicable to the specific data-access request.</w:t>
      </w:r>
      <w:r>
        <w:rPr>
          <w:rFonts w:ascii="Times New Roman" w:cs="Times New Roman" w:eastAsia="Times New Roman" w:hAnsi="Times New Roman"/>
          <w:sz w:val="22"/>
          <w:szCs w:val="22"/>
        </w:rPr>
        <w:t xml:space="preserve"> RQ5 further introduces the dynamic dimension of trust by determining whether the authorisation remains valid with respect to its temporal conditions and lifecycle state.</w:t>
      </w:r>
      <w:r>
        <w:rPr>
          <w:rFonts w:ascii="Times New Roman" w:cs="Times New Roman" w:eastAsia="Times New Roman" w:hAnsi="Times New Roman"/>
          <w:sz w:val="22"/>
          <w:szCs w:val="22"/>
        </w:rPr>
        <w:t xml:space="preserve"> Finally, RQ6 establishes the assurance layer by formally defining the resulting security properties and empirically evaluating whether the implemented framework enforces them correctly.</w:t>
      </w:r>
      <w:r>
        <w:rPr>
          <w:rFonts w:ascii="Times New Roman" w:cs="Times New Roman" w:eastAsia="Times New Roman" w:hAnsi="Times New Roman"/>
          <w:sz w:val="22"/>
          <w:szCs w:val="22"/>
        </w:rPr>
        <w:t xml:space="preserve"> The integrated authorisation condition can therefore be expressed as Equation (2).</w:t>
      </w:r>
      <w:r>
        <w:rPr>
          <w:rFonts w:ascii="Times New Roman" w:cs="Times New Roman" w:eastAsia="Times New Roman" w:hAnsi="Times New Roman"/>
          <w:color w:val="00A000"/>
          <w:sz w:val="22"/>
          <w:szCs w:val="22"/>
        </w:rPr>
        <w:t xml:space="preserve"> Here,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represents identity and authority validity,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collective authorisation validity,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policy and contextual compliance,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temporal validity,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jurisdictional compliance, while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color w:val="00A000"/>
          <w:sz w:val="22"/>
          <w:szCs w:val="22"/>
        </w:rPr>
        <w:t xml:space="preserve"> In the prototype, an ALLOW decision additionally requires the Groth16 ZK proof </w:t>
      </w:r>
      <w:r>
        <w:rPr>
          <w:rFonts w:ascii="Times New Roman" w:cs="Times New Roman" w:eastAsia="Times New Roman" w:hAnsi="Times New Roman"/>
          <w:color w:val="00A000"/>
          <w:sz w:val="22"/>
          <w:szCs w:val="22"/>
        </w:rPr>
        <w:t xml:space="preserve">(Groth 2016)</w:t>
      </w:r>
      <w:r>
        <w:rPr>
          <w:rFonts w:ascii="Times New Roman" w:cs="Times New Roman" w:eastAsia="Times New Roman" w:hAnsi="Times New Roman"/>
          <w:color w:val="00A000"/>
          <w:sz w:val="22"/>
          <w:szCs w:val="22"/>
        </w:rPr>
        <w:t xml:space="preserve"> to verify, so a request that satisfies the five predicates is still denied when the proof fails, as in attack A9 (Section 11.4).</w:t>
      </w:r>
      <w:r>
        <w:rPr>
          <w:rFonts w:ascii="Times New Roman" w:cs="Times New Roman" w:eastAsia="Times New Roman" w:hAnsi="Times New Roman"/>
          <w:sz w:val="22"/>
          <w:szCs w:val="22"/>
        </w:rPr>
        <w:t xml:space="preserve"> Formal security assurance does not constitute another authorisation condition to be evaluated at runtime.</w:t>
      </w:r>
      <w:r>
        <w:rPr>
          <w:rFonts w:ascii="Times New Roman" w:cs="Times New Roman" w:eastAsia="Times New Roman" w:hAnsi="Times New Roman"/>
          <w:sz w:val="22"/>
          <w:szCs w:val="22"/>
        </w:rPr>
        <w:t xml:space="preserve"> Instead, it provides a means of specifying, analysing, and verifying the security properties of the integrated authorisation mechanism.</w:t>
      </w:r>
      <w:r>
        <w:rPr>
          <w:rFonts w:ascii="Times New Roman" w:cs="Times New Roman" w:eastAsia="Times New Roman" w:hAnsi="Times New Roman"/>
          <w:sz w:val="22"/>
          <w:szCs w:val="22"/>
        </w:rPr>
        <w:t xml:space="preserve">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w:t>
      </w:r>
      <w:r>
        <w:rPr>
          <w:rFonts w:ascii="Times New Roman" w:cs="Times New Roman" w:eastAsia="Times New Roman" w:hAnsi="Times New Roman"/>
          <w:sz w:val="22"/>
          <w:szCs w:val="22"/>
        </w:rPr>
        <w:t xml:space="preserve"> Each objective represents a research contribution that can be examined conceptually, technically, and, where appropriate, empirically.</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w:t>
      </w:r>
      <w:r>
        <w:rPr>
          <w:rFonts w:ascii="Times New Roman" w:cs="Times New Roman" w:eastAsia="Times New Roman" w:hAnsi="Times New Roman"/>
          <w:sz w:val="22"/>
          <w:szCs w:val="22"/>
        </w:rPr>
        <w:t xml:space="preserve"> The model incorporates identity information, authority requirements, policy constraints, and authorisation evidence so that a consent decision can be evaluated when a subsequent data-access request is made.</w:t>
      </w:r>
      <w:r>
        <w:rPr>
          <w:rFonts w:ascii="Times New Roman" w:cs="Times New Roman" w:eastAsia="Times New Roman" w:hAnsi="Times New Roman"/>
          <w:sz w:val="22"/>
          <w:szCs w:val="22"/>
        </w:rPr>
        <w:t xml:space="preserve"> RO1 directly addresses RQ1 and establishes the conceptual foundation for the remaining objectives.</w:t>
      </w:r>
      <w:r>
        <w:rPr>
          <w:rFonts w:ascii="Times New Roman" w:cs="Times New Roman" w:eastAsia="Times New Roman" w:hAnsi="Times New Roman"/>
          <w:sz w:val="22"/>
          <w:szCs w:val="22"/>
        </w:rPr>
        <w:t xml:space="preserve">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explicitly separating identity authentication from authorisation authority.</w:t>
      </w:r>
      <w:r>
        <w:rPr>
          <w:rFonts w:ascii="Times New Roman" w:cs="Times New Roman" w:eastAsia="Times New Roman" w:hAnsi="Times New Roman"/>
          <w:sz w:val="22"/>
          <w:szCs w:val="22"/>
        </w:rPr>
        <w:t xml:space="preserve"> RO2 addresses RQ2 and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w:t>
      </w:r>
      <w:r>
        <w:rPr>
          <w:rFonts w:ascii="Times New Roman" w:cs="Times New Roman" w:eastAsia="Times New Roman" w:hAnsi="Times New Roman"/>
          <w:sz w:val="22"/>
          <w:szCs w:val="22"/>
        </w:rPr>
        <w:t xml:space="preserve"> The objective is to prevent unilateral authorisation where collective approval is required.</w:t>
      </w:r>
      <w:r>
        <w:rPr>
          <w:rFonts w:ascii="Times New Roman" w:cs="Times New Roman" w:eastAsia="Times New Roman" w:hAnsi="Times New Roman"/>
          <w:sz w:val="22"/>
          <w:szCs w:val="22"/>
        </w:rPr>
        <w:t xml:space="preserve"> The guardian set G, fixed at consent creation, defines which participants are eligible to contribute an approval to the authorisation process.</w:t>
      </w:r>
      <w:r>
        <w:rPr>
          <w:rFonts w:ascii="Times New Roman" w:cs="Times New Roman" w:eastAsia="Times New Roman" w:hAnsi="Times New Roman"/>
          <w:sz w:val="22"/>
          <w:szCs w:val="22"/>
        </w:rPr>
        <w:t xml:space="preserve"> Each participant must submit an approval that can be independently verified through EIP-712 signature recovery.</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color w:val="00A000"/>
          <w:sz w:val="22"/>
          <w:szCs w:val="22"/>
        </w:rPr>
        <w:t xml:space="preserve"> A valid signature is required from every listed guardian, so the threshold equals |G|, an N-of-N condition demonstrated in the 2-of-2 configuration.</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w:t>
      </w:r>
      <w:r>
        <w:rPr>
          <w:rFonts w:ascii="Times New Roman" w:cs="Times New Roman" w:eastAsia="Times New Roman" w:hAnsi="Times New Roman"/>
          <w:sz w:val="22"/>
          <w:szCs w:val="22"/>
        </w:rPr>
        <w:t xml:space="preserve"> The objective is to ensure that a valid identity and sufficient multi-party approval cannot be used to obtain healthcare information outside the authorised scope.</w:t>
      </w:r>
      <w:r>
        <w:rPr>
          <w:rFonts w:ascii="Times New Roman" w:cs="Times New Roman" w:eastAsia="Times New Roman" w:hAnsi="Times New Roman"/>
          <w:sz w:val="22"/>
          <w:szCs w:val="22"/>
        </w:rPr>
        <w:t xml:space="preserve"> A request is permitted only when the purpose is compatible with the consent and the requested data scope is a non-empty subset of the authorised EMR modules.</w:t>
      </w:r>
      <w:r>
        <w:rPr>
          <w:rFonts w:ascii="Times New Roman" w:cs="Times New Roman" w:eastAsia="Times New Roman" w:hAnsi="Times New Roman"/>
          <w:color w:val="00A000"/>
          <w:sz w:val="22"/>
          <w:szCs w:val="22"/>
        </w:rPr>
        <w:t xml:space="preserve"> In the current prototype, the request purpose is taken from the consent, so the purpose check confirms that the consent purpose is a supported healthcare use, while the comparison with a separately declared request purpose is left to the next stage.</w:t>
      </w:r>
      <w:r>
        <w:rPr>
          <w:rFonts w:ascii="Times New Roman" w:cs="Times New Roman" w:eastAsia="Times New Roman" w:hAnsi="Times New Roman"/>
          <w:sz w:val="22"/>
          <w:szCs w:val="22"/>
        </w:rPr>
        <w:t xml:space="preserve"> RO4 directly addresses RQ4 and completes the foundational authorisation model.</w:t>
      </w:r>
      <w:r>
        <w:rPr>
          <w:rFonts w:ascii="Times New Roman" w:cs="Times New Roman" w:eastAsia="Times New Roman" w:hAnsi="Times New Roman"/>
          <w:sz w:val="22"/>
          <w:szCs w:val="22"/>
        </w:rPr>
        <w:t xml:space="preserve">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 and that expiration, revocation, and unauthorised state transitions are correctly enforced.</w:t>
      </w:r>
      <w:r>
        <w:rPr>
          <w:rFonts w:ascii="Times New Roman" w:cs="Times New Roman" w:eastAsia="Times New Roman" w:hAnsi="Times New Roman"/>
          <w:sz w:val="22"/>
          <w:szCs w:val="22"/>
        </w:rPr>
        <w:t xml:space="preserve"> RO5 addresses RQ5 and extends the foundational authorisation model into a dynamic consent environment.</w:t>
      </w:r>
      <w:r>
        <w:rPr>
          <w:rFonts w:ascii="Times New Roman" w:cs="Times New Roman" w:eastAsia="Times New Roman" w:hAnsi="Times New Roman"/>
          <w:sz w:val="22"/>
          <w:szCs w:val="22"/>
        </w:rPr>
        <w:t xml:space="preserve"> The current HALAH code already collects a start time and expiry time during consent creation.</w:t>
      </w:r>
      <w:r>
        <w:rPr>
          <w:rFonts w:ascii="Times New Roman" w:cs="Times New Roman" w:eastAsia="Times New Roman" w:hAnsi="Times New Roman"/>
          <w:color w:val="00A000"/>
          <w:sz w:val="22"/>
          <w:szCs w:val="22"/>
        </w:rPr>
        <w:t xml:space="preserve"> The prototype records them on-chain as notBefore and expiry within the consent token, enforces the temporal validity window at every access decision through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implements end-to-end revocation, including an on-chain revoke transaction, and manages the consent through an explicit lifecycle state machine.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color w:val="00A000"/>
          <w:sz w:val="22"/>
          <w:szCs w:val="22"/>
        </w:rPr>
        <w:t xml:space="preserve"> The remaining work concerns the lifecycle transition check, a formal lifecycle model, and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w:t>
      </w:r>
      <w:r>
        <w:rPr>
          <w:rFonts w:ascii="Times New Roman" w:cs="Times New Roman" w:eastAsia="Times New Roman" w:hAnsi="Times New Roman"/>
          <w:sz w:val="22"/>
          <w:szCs w:val="22"/>
        </w:rPr>
        <w:t xml:space="preserve"> RO6 addresses RQ6 and combines formal security assurance with empirical validation of the proposed framework.</w:t>
      </w:r>
      <w:r>
        <w:rPr>
          <w:rFonts w:ascii="Times New Roman" w:cs="Times New Roman" w:eastAsia="Times New Roman" w:hAnsi="Times New Roman"/>
          <w:sz w:val="22"/>
          <w:szCs w:val="22"/>
        </w:rPr>
        <w:t xml:space="preserve"> 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w:t>
      </w:r>
      <w:r>
        <w:rPr>
          <w:rFonts w:ascii="Times New Roman" w:cs="Times New Roman" w:eastAsia="Times New Roman" w:hAnsi="Times New Roman"/>
          <w:color w:val="00A000"/>
          <w:sz w:val="22"/>
          <w:szCs w:val="22"/>
        </w:rPr>
        <w:t xml:space="preserve"> In particular, 36 automated tests cover signature rejection, proof tampering, and twelve attack scenarios against the components of C and the contract.</w:t>
      </w:r>
      <w:r>
        <w:rPr>
          <w:rFonts w:ascii="Times New Roman" w:cs="Times New Roman" w:eastAsia="Times New Roman" w:hAnsi="Times New Roman"/>
          <w:color w:val="00A000"/>
          <w:sz w:val="22"/>
          <w:szCs w:val="22"/>
        </w:rPr>
        <w:t xml:space="preserve"> Preliminary measurements of on-chain cost, confirmation latency, and processing time have been obtained, and a live out-of-jurisdiction request against a consent anchored on the deployed Sepolia contract was refused by the application.</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sz w:val="22"/>
          <w:szCs w:val="22"/>
        </w:rPr>
        <w:t xml:space="preserve">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w:t>
      </w:r>
      <w:r>
        <w:rPr>
          <w:rFonts w:ascii="Times New Roman" w:cs="Times New Roman" w:eastAsia="Times New Roman" w:hAnsi="Times New Roman"/>
          <w:color w:val="00A000"/>
          <w:sz w:val="22"/>
          <w:szCs w:val="22"/>
        </w:rPr>
        <w:t xml:space="preserve"> RO1 to RO6 are realised in Section 6 to Section 11 respectively, each in the section presenting the solution for the corresponding research question.</w:t>
      </w:r>
      <w:r>
        <w:rPr>
          <w:rFonts w:ascii="Times New Roman" w:cs="Times New Roman" w:eastAsia="Times New Roman" w:hAnsi="Times New Roman"/>
          <w:color w:val="00A000"/>
          <w:sz w:val="22"/>
          <w:szCs w:val="22"/>
        </w:rPr>
        <w:t xml:space="preserve"> Because each research question corresponds to one gap identified in Section 2, each objective addresses the gap of the same number, so that RO1 addresses Gap 1 and RO6 addresses Gap 6.</w:t>
      </w:r>
      <w:r>
        <w:rPr>
          <w:rFonts w:ascii="Times New Roman" w:cs="Times New Roman" w:eastAsia="Times New Roman" w:hAnsi="Times New Roman"/>
          <w:sz w:val="22"/>
          <w:szCs w:val="22"/>
        </w:rPr>
        <w:t xml:space="preserve"> Each research question therefore has one research activity, and each objective contributes to the framework.</w:t>
      </w:r>
      <w:r>
        <w:rPr>
          <w:rFonts w:ascii="Times New Roman" w:cs="Times New Roman" w:eastAsia="Times New Roman" w:hAnsi="Times New Roman"/>
          <w:color w:val="00A000"/>
          <w:sz w:val="22"/>
          <w:szCs w:val="22"/>
        </w:rPr>
        <w:t xml:space="preserve"> RO1 to RO4 are delivered in this stage, together with their validation and evaluation through the implemented prototype, whereas, as stated in Section 1, RO5 and RO6 are partially completed.</w:t>
      </w:r>
      <w:r>
        <w:rPr>
          <w:rFonts w:ascii="Times New Roman" w:cs="Times New Roman" w:eastAsia="Times New Roman" w:hAnsi="Times New Roman"/>
          <w:color w:val="00A000"/>
          <w:sz w:val="22"/>
          <w:szCs w:val="22"/>
        </w:rPr>
        <w:t xml:space="preserve"> Their remaining work is detailed in Section 10 and Section 11, and its schedule is presented in Section 13.</w:t>
      </w:r>
      <w:r>
        <w:rPr>
          <w:rFonts w:ascii="Times New Roman" w:cs="Times New Roman" w:eastAsia="Times New Roman" w:hAnsi="Times New Roman"/>
          <w:sz w:val="22"/>
          <w:szCs w:val="22"/>
        </w:rPr>
        <w:t xml:space="preserve">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w:t>
      </w:r>
      <w:r>
        <w:rPr>
          <w:rFonts w:ascii="Times New Roman" w:cs="Times New Roman" w:eastAsia="Times New Roman" w:hAnsi="Times New Roman"/>
          <w:sz w:val="22"/>
          <w:szCs w:val="22"/>
        </w:rPr>
        <w:t xml:space="preserve"> However, the MVC architecture is not used merely as a conventional software engineering pattern for separating data, interfaces, and application logic.</w:t>
      </w:r>
      <w:r>
        <w:rPr>
          <w:rFonts w:ascii="Times New Roman" w:cs="Times New Roman" w:eastAsia="Times New Roman" w:hAnsi="Times New Roman"/>
          <w:sz w:val="22"/>
          <w:szCs w:val="22"/>
        </w:rPr>
        <w:t xml:space="preserve"> Within the proposed framework, MVC is extended to support a more fundamental separation between the representation of consent, the interaction of independent stakeholders, and the enforcement of security-critical authorisation decisions.</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w:t>
      </w:r>
      <w:r>
        <w:rPr>
          <w:rFonts w:ascii="Times New Roman" w:cs="Times New Roman" w:eastAsia="Times New Roman" w:hAnsi="Times New Roman"/>
          <w:sz w:val="22"/>
          <w:szCs w:val="22"/>
        </w:rPr>
        <w:t xml:space="preserve"> Consequently, the system cannot rely on a single user authentication event or a static permission entry to determine whether access should be granted.</w:t>
      </w:r>
      <w:r>
        <w:rPr>
          <w:rFonts w:ascii="Times New Roman" w:cs="Times New Roman" w:eastAsia="Times New Roman" w:hAnsi="Times New Roman"/>
          <w:sz w:val="22"/>
          <w:szCs w:val="22"/>
        </w:rPr>
        <w:t xml:space="preserve"> Instead, the authorisation decision is the result of evaluating independently verifiable security conditions together.</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w:t>
      </w:r>
      <w:r>
        <w:rPr>
          <w:rFonts w:ascii="Times New Roman" w:cs="Times New Roman" w:eastAsia="Times New Roman" w:hAnsi="Times New Roman"/>
          <w:sz w:val="22"/>
          <w:szCs w:val="22"/>
        </w:rPr>
        <w:t xml:space="preserve"> The View Layer represents the interaction boundary with independent healthcare stakeholders.</w:t>
      </w:r>
      <w:r>
        <w:rPr>
          <w:rFonts w:ascii="Times New Roman" w:cs="Times New Roman" w:eastAsia="Times New Roman" w:hAnsi="Times New Roman"/>
          <w:sz w:val="22"/>
          <w:szCs w:val="22"/>
        </w:rPr>
        <w:t xml:space="preserve"> The Controller Layer represents the security decision and coordination boundary.</w:t>
      </w:r>
      <w:r>
        <w:rPr>
          <w:rFonts w:ascii="Times New Roman" w:cs="Times New Roman" w:eastAsia="Times New Roman" w:hAnsi="Times New Roman"/>
          <w:sz w:val="22"/>
          <w:szCs w:val="22"/>
        </w:rPr>
        <w:t xml:space="preserve"> The Model Layer represents the persistent trust, consent, policy, and authorisation state. Figure 3 illustrates the conceptual relationship among these layers.</w:t>
      </w:r>
      <w:r>
        <w:rPr>
          <w:rFonts w:ascii="Times New Roman" w:cs="Times New Roman" w:eastAsia="Times New Roman" w:hAnsi="Times New Roman"/>
          <w:sz w:val="22"/>
          <w:szCs w:val="22"/>
        </w:rPr>
        <w:t xml:space="preserve">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w:t>
      </w:r>
      <w:r>
        <w:rPr>
          <w:rFonts w:ascii="Times New Roman" w:cs="Times New Roman" w:eastAsia="Times New Roman" w:hAnsi="Times New Roman"/>
          <w:sz w:val="22"/>
          <w:szCs w:val="22"/>
        </w:rPr>
        <w:t xml:space="preserve"> The Controller Layer constitutes the principal security enforcement boundary.</w:t>
      </w:r>
      <w:r>
        <w:rPr>
          <w:rFonts w:ascii="Times New Roman" w:cs="Times New Roman" w:eastAsia="Times New Roman" w:hAnsi="Times New Roman"/>
          <w:sz w:val="22"/>
          <w:szCs w:val="22"/>
        </w:rPr>
        <w:t xml:space="preserve"> It receives requests from the View and coordinates the evaluation of the relevant trust conditions.</w:t>
      </w:r>
      <w:r>
        <w:rPr>
          <w:rFonts w:ascii="Times New Roman" w:cs="Times New Roman" w:eastAsia="Times New Roman" w:hAnsi="Times New Roman"/>
          <w:sz w:val="22"/>
          <w:szCs w:val="22"/>
        </w:rPr>
        <w:t xml:space="preserve"> These include decentralised identity verification, credential and authority verification, multi-party approval evaluation, policy and data-scope evaluation, and final authorisation.</w:t>
      </w:r>
      <w:r>
        <w:rPr>
          <w:rFonts w:ascii="Times New Roman" w:cs="Times New Roman" w:eastAsia="Times New Roman" w:hAnsi="Times New Roman"/>
          <w:sz w:val="22"/>
          <w:szCs w:val="22"/>
        </w:rPr>
        <w:t xml:space="preserve"> The Controller also generates audit evidence associated with the resulting decision.</w:t>
      </w:r>
      <w:r>
        <w:rPr>
          <w:rFonts w:ascii="Times New Roman" w:cs="Times New Roman" w:eastAsia="Times New Roman" w:hAnsi="Times New Roman"/>
          <w:sz w:val="22"/>
          <w:szCs w:val="22"/>
        </w:rPr>
        <w:t xml:space="preserve"> Consequently, the Controller acts as the coordination point through which sensitive operations must pass before protected healthcare data can be accessed.</w:t>
      </w:r>
      <w:r>
        <w:rPr>
          <w:rFonts w:ascii="Times New Roman" w:cs="Times New Roman" w:eastAsia="Times New Roman" w:hAnsi="Times New Roman"/>
          <w:sz w:val="22"/>
          <w:szCs w:val="22"/>
        </w:rPr>
        <w:t xml:space="preserve"> The Model therefore provides the information required for the Controller to evaluate an access request, but the existence of a Model object does not itself imply that access is permitted.</w:t>
      </w:r>
      <w:r>
        <w:rPr>
          <w:rFonts w:ascii="Times New Roman" w:cs="Times New Roman" w:eastAsia="Times New Roman" w:hAnsi="Times New Roman"/>
          <w:color w:val="00A000"/>
          <w:sz w:val="22"/>
          <w:szCs w:val="22"/>
        </w:rPr>
        <w:t xml:space="preserve"> MVC was selected in preference to a purely on-chain design for two reasons.</w:t>
      </w:r>
      <w:r>
        <w:rPr>
          <w:rFonts w:ascii="Times New Roman" w:cs="Times New Roman" w:eastAsia="Times New Roman" w:hAnsi="Times New Roman"/>
          <w:color w:val="00A000"/>
          <w:sz w:val="22"/>
          <w:szCs w:val="22"/>
        </w:rPr>
        <w:t xml:space="preserve"> First, the authorisation decision must combine the identity, threshold, policy, temporal, and jurisdictional evaluation performed by the Controller with the anchoring of consent state on the blockchain.</w:t>
      </w:r>
      <w:r>
        <w:rPr>
          <w:rFonts w:ascii="Times New Roman" w:cs="Times New Roman" w:eastAsia="Times New Roman" w:hAnsi="Times New Roman"/>
          <w:color w:val="00A000"/>
          <w:sz w:val="22"/>
          <w:szCs w:val="22"/>
        </w:rPr>
        <w:t xml:space="preserve">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w:t>
      </w:r>
      <w:r>
        <w:rPr>
          <w:rFonts w:ascii="Times New Roman" w:cs="Times New Roman" w:eastAsia="Times New Roman" w:hAnsi="Times New Roman"/>
          <w:sz w:val="22"/>
          <w:szCs w:val="22"/>
        </w:rPr>
        <w:t xml:space="preserve"> The View is decomposed according to the principal stakeholder roles.</w:t>
      </w:r>
      <w:r>
        <w:rPr>
          <w:rFonts w:ascii="Times New Roman" w:cs="Times New Roman" w:eastAsia="Times New Roman" w:hAnsi="Times New Roman"/>
          <w:sz w:val="22"/>
          <w:szCs w:val="22"/>
        </w:rPr>
        <w:t xml:space="preserve"> The patient interface supports consent specification and consent-related actions.</w:t>
      </w:r>
      <w:r>
        <w:rPr>
          <w:rFonts w:ascii="Times New Roman" w:cs="Times New Roman" w:eastAsia="Times New Roman" w:hAnsi="Times New Roman"/>
          <w:sz w:val="22"/>
          <w:szCs w:val="22"/>
        </w:rPr>
        <w:t xml:space="preserve"> The guardian or other authorised-participant interface supports independent approval.</w:t>
      </w:r>
      <w:r>
        <w:rPr>
          <w:rFonts w:ascii="Times New Roman" w:cs="Times New Roman" w:eastAsia="Times New Roman" w:hAnsi="Times New Roman"/>
          <w:sz w:val="22"/>
          <w:szCs w:val="22"/>
        </w:rPr>
        <w:t xml:space="preserve"> The healthcare professional interface supports authorised data-access requests.</w:t>
      </w:r>
      <w:r>
        <w:rPr>
          <w:rFonts w:ascii="Times New Roman" w:cs="Times New Roman" w:eastAsia="Times New Roman" w:hAnsi="Times New Roman"/>
          <w:sz w:val="22"/>
          <w:szCs w:val="22"/>
        </w:rPr>
        <w:t xml:space="preserve"> The auditor interface supports inspection of authorisation evidence and audit history.</w:t>
      </w:r>
      <w:r>
        <w:rPr>
          <w:rFonts w:ascii="Times New Roman" w:cs="Times New Roman" w:eastAsia="Times New Roman" w:hAnsi="Times New Roman"/>
          <w:sz w:val="22"/>
          <w:szCs w:val="22"/>
        </w:rPr>
        <w:t xml:space="preserve"> These interfaces represent different interaction responsibilities but share the same architectural principle: none of them independently determines whether access should be granted.</w:t>
      </w:r>
      <w:r>
        <w:rPr>
          <w:rFonts w:ascii="Times New Roman" w:cs="Times New Roman" w:eastAsia="Times New Roman" w:hAnsi="Times New Roman"/>
          <w:sz w:val="22"/>
          <w:szCs w:val="22"/>
        </w:rPr>
        <w:t xml:space="preserve"> The Controller is decomposed into six principal security functions.</w:t>
      </w:r>
      <w:r>
        <w:rPr>
          <w:rFonts w:ascii="Times New Roman" w:cs="Times New Roman" w:eastAsia="Times New Roman" w:hAnsi="Times New Roman"/>
          <w:sz w:val="22"/>
          <w:szCs w:val="22"/>
        </w:rPr>
        <w:t xml:space="preserve"> Identity Verification establishes whether a participant can be identified through the relevant decentralised identity mechanism.</w:t>
      </w:r>
      <w:r>
        <w:rPr>
          <w:rFonts w:ascii="Times New Roman" w:cs="Times New Roman" w:eastAsia="Times New Roman" w:hAnsi="Times New Roman"/>
          <w:sz w:val="22"/>
          <w:szCs w:val="22"/>
        </w:rPr>
        <w:t xml:space="preserve"> Authority Verification evaluates whether the participant possesses appropriate evidence concerning the required role or authority.</w:t>
      </w:r>
      <w:r>
        <w:rPr>
          <w:rFonts w:ascii="Times New Roman" w:cs="Times New Roman" w:eastAsia="Times New Roman" w:hAnsi="Times New Roman"/>
          <w:sz w:val="22"/>
          <w:szCs w:val="22"/>
        </w:rPr>
        <w:t xml:space="preserve"> Approval Aggregation determines whether independently verified approvals satisfy the predefined threshold.</w:t>
      </w:r>
      <w:r>
        <w:rPr>
          <w:rFonts w:ascii="Times New Roman" w:cs="Times New Roman" w:eastAsia="Times New Roman" w:hAnsi="Times New Roman"/>
          <w:sz w:val="22"/>
          <w:szCs w:val="22"/>
        </w:rPr>
        <w:t xml:space="preserve"> Policy Enforcement evaluates whether the requested purpose and data scope comply with the consent policy.</w:t>
      </w:r>
      <w:r>
        <w:rPr>
          <w:rFonts w:ascii="Times New Roman" w:cs="Times New Roman" w:eastAsia="Times New Roman" w:hAnsi="Times New Roman"/>
          <w:sz w:val="22"/>
          <w:szCs w:val="22"/>
        </w:rPr>
        <w:t xml:space="preserve"> Decision Engine combines the resulting predicates into the final authorisation decision.</w:t>
      </w:r>
      <w:r>
        <w:rPr>
          <w:rFonts w:ascii="Times New Roman" w:cs="Times New Roman" w:eastAsia="Times New Roman" w:hAnsi="Times New Roman"/>
          <w:sz w:val="22"/>
          <w:szCs w:val="22"/>
        </w:rPr>
        <w:t xml:space="preserve"> Finally, Audit Coordination records the relevant evidence and decision events.</w:t>
      </w:r>
      <w:r>
        <w:rPr>
          <w:rFonts w:ascii="Times New Roman" w:cs="Times New Roman" w:eastAsia="Times New Roman" w:hAnsi="Times New Roman"/>
          <w:color w:val="00A000"/>
          <w:sz w:val="22"/>
          <w:szCs w:val="22"/>
        </w:rPr>
        <w:t xml:space="preserve"> The Model is decomposed into seven principal state representations: DID, VC, Consent, Approval, Policy, Evidence, and Lifecycle.</w:t>
      </w:r>
      <w:r>
        <w:rPr>
          <w:rFonts w:ascii="Times New Roman" w:cs="Times New Roman" w:eastAsia="Times New Roman" w:hAnsi="Times New Roman"/>
          <w:sz w:val="22"/>
          <w:szCs w:val="22"/>
        </w:rPr>
        <w:t xml:space="preserv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w:t>
      </w:r>
      <w:r>
        <w:rPr>
          <w:rFonts w:ascii="Times New Roman" w:cs="Times New Roman" w:eastAsia="Times New Roman" w:hAnsi="Times New Roman"/>
          <w:color w:val="00A000"/>
          <w:sz w:val="22"/>
          <w:szCs w:val="22"/>
        </w:rPr>
        <w:t xml:space="preserve"> The Model correspondingly contains the ConsentSBTv3 soulbound contract deployed on Sepolia together with the application audit ledger, both of which an independent verification tool reads, as described in Section 11.</w:t>
      </w:r>
      <w:r>
        <w:rPr>
          <w:rFonts w:ascii="Times New Roman" w:cs="Times New Roman" w:eastAsia="Times New Roman" w:hAnsi="Times New Roman"/>
          <w:color w:val="00A000"/>
          <w:sz w:val="22"/>
          <w:szCs w:val="22"/>
        </w:rPr>
        <w:t xml:space="preserve"> It should be acknowledged that, in the present prototype, credential verification consists of a structural check that each DID is well formed, and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combines this check with the EIP-712 verification of each listed guardian's signature.</w:t>
      </w:r>
      <w:r>
        <w:rPr>
          <w:rFonts w:ascii="Times New Roman" w:cs="Times New Roman" w:eastAsia="Times New Roman" w:hAnsi="Times New Roman"/>
          <w:color w:val="00A000"/>
          <w:sz w:val="22"/>
          <w:szCs w:val="22"/>
        </w:rPr>
        <w:t xml:space="preserve"> The requester's role and jurisdiction are declared in the interface rather than authenticated, and wallet-held signing keys and authenticated verifiable credentials are deferred to the production design.</w:t>
      </w:r>
      <w:r>
        <w:rPr>
          <w:rFonts w:ascii="Times New Roman" w:cs="Times New Roman" w:eastAsia="Times New Roman" w:hAnsi="Times New Roman"/>
          <w:color w:val="00A000"/>
          <w:sz w:val="22"/>
          <w:szCs w:val="22"/>
        </w:rPr>
        <w:t xml:space="preserve">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w:t>
      </w:r>
      <w:r>
        <w:rPr>
          <w:rFonts w:ascii="Times New Roman" w:cs="Times New Roman" w:eastAsia="Times New Roman" w:hAnsi="Times New Roman"/>
          <w:sz w:val="22"/>
          <w:szCs w:val="22"/>
        </w:rPr>
        <w:t xml:space="preserve"> A healthcare data-access request is not evaluated according to a single authentication event.</w:t>
      </w:r>
      <w:r>
        <w:rPr>
          <w:rFonts w:ascii="Times New Roman" w:cs="Times New Roman" w:eastAsia="Times New Roman" w:hAnsi="Times New Roman"/>
          <w:sz w:val="22"/>
          <w:szCs w:val="22"/>
        </w:rPr>
        <w:t xml:space="preserve"> As illustrated in Figure 5, the Controller coordinates a sequence of trust predicates representing the conditions established by the sub-research questions.</w:t>
      </w:r>
      <w:r>
        <w:rPr>
          <w:rFonts w:ascii="Times New Roman" w:cs="Times New Roman" w:eastAsia="Times New Roman" w:hAnsi="Times New Roman"/>
          <w:sz w:val="22"/>
          <w:szCs w:val="22"/>
        </w:rPr>
        <w:t xml:space="preserve">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w:t>
      </w:r>
      <w:r>
        <w:rPr>
          <w:rFonts w:ascii="Times New Roman" w:cs="Times New Roman" w:eastAsia="Times New Roman" w:hAnsi="Times New Roman"/>
          <w:sz w:val="22"/>
          <w:szCs w:val="22"/>
        </w:rPr>
        <w:t xml:space="preserv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w:t>
      </w:r>
      <w:r>
        <w:rPr>
          <w:rFonts w:ascii="Times New Roman" w:cs="Times New Roman" w:eastAsia="Times New Roman" w:hAnsi="Times New Roman"/>
          <w:sz w:val="22"/>
          <w:szCs w:val="22"/>
        </w:rPr>
        <w:t xml:space="preserve">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w:t>
      </w:r>
      <w:r>
        <w:rPr>
          <w:rFonts w:ascii="Times New Roman" w:cs="Times New Roman" w:eastAsia="Times New Roman" w:hAnsi="Times New Roman"/>
          <w:sz w:val="22"/>
          <w:szCs w:val="22"/>
        </w:rPr>
        <w:t xml:space="preserve">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w:t>
      </w:r>
      <w:r>
        <w:rPr>
          <w:rFonts w:ascii="Times New Roman" w:cs="Times New Roman" w:eastAsia="Times New Roman" w:hAnsi="Times New Roman"/>
          <w:color w:val="00A000"/>
          <w:sz w:val="22"/>
          <w:szCs w:val="22"/>
        </w:rPr>
        <w:t xml:space="preserve"> The fifth condition,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(C, R), determines whether the jurisdiction of the request satisfies the recorded jurisdictional constraint of the consent.</w:t>
      </w:r>
      <w:r>
        <w:rPr>
          <w:rFonts w:ascii="Times New Roman" w:cs="Times New Roman" w:eastAsia="Times New Roman" w:hAnsi="Times New Roman"/>
          <w:color w:val="00A000"/>
          <w:sz w:val="22"/>
          <w:szCs w:val="22"/>
        </w:rPr>
        <w:t xml:space="preserv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rather than within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w:t>
      </w:r>
      <w:r>
        <w:rPr>
          <w:rFonts w:ascii="Times New Roman" w:cs="Times New Roman" w:eastAsia="Times New Roman" w:hAnsi="Times New Roman"/>
          <w:sz w:val="22"/>
          <w:szCs w:val="22"/>
        </w:rPr>
        <w:t xml:space="preserve"> The Controller does not itself create these trust conditions.</w:t>
      </w:r>
      <w:r>
        <w:rPr>
          <w:rFonts w:ascii="Times New Roman" w:cs="Times New Roman" w:eastAsia="Times New Roman" w:hAnsi="Times New Roman"/>
          <w:sz w:val="22"/>
          <w:szCs w:val="22"/>
        </w:rPr>
        <w:t xml:space="preserve"> Instead, it evaluates evidence represented by the Model and coordinates the resulting decision.</w:t>
      </w:r>
      <w:r>
        <w:rPr>
          <w:rFonts w:ascii="Times New Roman" w:cs="Times New Roman" w:eastAsia="Times New Roman" w:hAnsi="Times New Roman"/>
          <w:sz w:val="22"/>
          <w:szCs w:val="22"/>
        </w:rPr>
        <w:t xml:space="preserve"> For the interpretation of the architecture: the Controller is a decision-enforcement mechanism, whereas the Model is a representation of trust and governance state.</w:t>
      </w:r>
      <w:r>
        <w:rPr>
          <w:rFonts w:ascii="Times New Roman" w:cs="Times New Roman" w:eastAsia="Times New Roman" w:hAnsi="Times New Roman"/>
          <w:sz w:val="22"/>
          <w:szCs w:val="22"/>
        </w:rPr>
        <w:t xml:space="preserve"> Both successful and unsuccessful decisions are subsequently associated with authorisation evidence, which supports accountability and subsequent verification.</w:t>
      </w:r>
      <w:r>
        <w:rPr>
          <w:rFonts w:ascii="Times New Roman" w:cs="Times New Roman" w:eastAsia="Times New Roman" w:hAnsi="Times New Roman"/>
          <w:sz w:val="22"/>
          <w:szCs w:val="22"/>
        </w:rPr>
        <w:t xml:space="preserve"> The layered architecture also establishes explicit trust boundaries.</w:t>
      </w:r>
      <w:r>
        <w:rPr>
          <w:rFonts w:ascii="Times New Roman" w:cs="Times New Roman" w:eastAsia="Times New Roman" w:hAnsi="Times New Roman"/>
          <w:sz w:val="22"/>
          <w:szCs w:val="22"/>
        </w:rPr>
        <w:t xml:space="preserve"> The View is considered an interaction boundary and therefore cannot be treated as a trusted source of authorisation decisions.</w:t>
      </w:r>
      <w:r>
        <w:rPr>
          <w:rFonts w:ascii="Times New Roman" w:cs="Times New Roman" w:eastAsia="Times New Roman" w:hAnsi="Times New Roman"/>
          <w:sz w:val="22"/>
          <w:szCs w:val="22"/>
        </w:rPr>
        <w:t xml:space="preserve"> The Controller represents the security enforcement boundary.</w:t>
      </w:r>
      <w:r>
        <w:rPr>
          <w:rFonts w:ascii="Times New Roman" w:cs="Times New Roman" w:eastAsia="Times New Roman" w:hAnsi="Times New Roman"/>
          <w:sz w:val="22"/>
          <w:szCs w:val="22"/>
        </w:rPr>
        <w:t xml:space="preserve"> It is responsible for applying the authorisation rules consistently and for preventing direct access to protected healthcare data when the required trust conditions are not satisfied.</w:t>
      </w:r>
      <w:r>
        <w:rPr>
          <w:rFonts w:ascii="Times New Roman" w:cs="Times New Roman" w:eastAsia="Times New Roman" w:hAnsi="Times New Roman"/>
          <w:sz w:val="22"/>
          <w:szCs w:val="22"/>
        </w:rPr>
        <w:t xml:space="preserve"> The Model represents the security-state boundary.</w:t>
      </w:r>
      <w:r>
        <w:rPr>
          <w:rFonts w:ascii="Times New Roman" w:cs="Times New Roman" w:eastAsia="Times New Roman" w:hAnsi="Times New Roman"/>
          <w:sz w:val="22"/>
          <w:szCs w:val="22"/>
        </w:rPr>
        <w:t xml:space="preserve"> Its records provide the evidence and state required for authorisation evaluation, but stored state alone does not constitute permission.</w:t>
      </w:r>
      <w:r>
        <w:rPr>
          <w:rFonts w:ascii="Times New Roman" w:cs="Times New Roman" w:eastAsia="Times New Roman" w:hAnsi="Times New Roman"/>
          <w:sz w:val="22"/>
          <w:szCs w:val="22"/>
        </w:rPr>
        <w:t xml:space="preserve"> In particular, the presence of a consent record, credential, or approval record cannot independently produce an access decision.</w:t>
      </w:r>
      <w:r>
        <w:rPr>
          <w:rFonts w:ascii="Times New Roman" w:cs="Times New Roman" w:eastAsia="Times New Roman" w:hAnsi="Times New Roman"/>
          <w:sz w:val="22"/>
          <w:szCs w:val="22"/>
        </w:rPr>
        <w:t xml:space="preserve"> The protected healthcare data represent the final resource boundary, and access is permitted only through the authorisation path enforced by the Controller.</w:t>
      </w:r>
      <w:r>
        <w:rPr>
          <w:rFonts w:ascii="Times New Roman" w:cs="Times New Roman" w:eastAsia="Times New Roman" w:hAnsi="Times New Roman"/>
          <w:sz w:val="22"/>
          <w:szCs w:val="22"/>
        </w:rPr>
        <w:t xml:space="preserve"> The proposed framework does not claim that MVC itself provides security.</w:t>
      </w:r>
      <w:r>
        <w:rPr>
          <w:rFonts w:ascii="Times New Roman" w:cs="Times New Roman" w:eastAsia="Times New Roman" w:hAnsi="Times New Roman"/>
          <w:sz w:val="22"/>
          <w:szCs w:val="22"/>
        </w:rPr>
        <w:t xml:space="preserve"> Instead, security arises from the explicit placement of trust-sensitive operations within the Controller, the structured representation of security state within the Model, and the prevention of direct security decisions at the View layer.</w:t>
      </w:r>
      <w:r>
        <w:rPr>
          <w:rFonts w:ascii="Times New Roman" w:cs="Times New Roman" w:eastAsia="Times New Roman" w:hAnsi="Times New Roman"/>
          <w:color w:val="00A000"/>
          <w:sz w:val="22"/>
          <w:szCs w:val="22"/>
        </w:rPr>
        <w:t xml:space="preserve">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w:t>
      </w:r>
      <w:r>
        <w:rPr>
          <w:rFonts w:ascii="Times New Roman" w:cs="Times New Roman" w:eastAsia="Times New Roman" w:hAnsi="Times New Roman"/>
          <w:sz w:val="22"/>
          <w:szCs w:val="22"/>
        </w:rPr>
        <w:t xml:space="preserve"> The workflow begins when the patient creates a consent request.</w:t>
      </w:r>
      <w:r>
        <w:rPr>
          <w:rFonts w:ascii="Times New Roman" w:cs="Times New Roman" w:eastAsia="Times New Roman" w:hAnsi="Times New Roman"/>
          <w:sz w:val="22"/>
          <w:szCs w:val="22"/>
        </w:rPr>
        <w:t xml:space="preserve"> The consent specification defines the intended purpose, permitted data scope, and other authorisation conditions.</w:t>
      </w:r>
      <w:r>
        <w:rPr>
          <w:rFonts w:ascii="Times New Roman" w:cs="Times New Roman" w:eastAsia="Times New Roman" w:hAnsi="Times New Roman"/>
          <w:sz w:val="22"/>
          <w:szCs w:val="22"/>
        </w:rPr>
        <w:t xml:space="preserve"> This step establishes what the patient intends to authorise and provides the policy context against which subsequent access requests can be evaluated.</w:t>
      </w:r>
      <w:r>
        <w:rPr>
          <w:rFonts w:ascii="Times New Roman" w:cs="Times New Roman" w:eastAsia="Times New Roman" w:hAnsi="Times New Roman"/>
          <w:sz w:val="22"/>
          <w:szCs w:val="22"/>
        </w:rPr>
        <w:t xml:space="preserve"> The next step of the workflow applies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w:t>
      </w:r>
      <w:r>
        <w:rPr>
          <w:rFonts w:ascii="Times New Roman" w:cs="Times New Roman" w:eastAsia="Times New Roman" w:hAnsi="Times New Roman"/>
          <w:sz w:val="22"/>
          <w:szCs w:val="22"/>
        </w:rPr>
        <w:t xml:space="preserve"> The framework then collects the guardians' independent approvals and evaluates whether the predefined authorisation threshold has been satisfied.</w:t>
      </w:r>
      <w:r>
        <w:rPr>
          <w:rFonts w:ascii="Times New Roman" w:cs="Times New Roman" w:eastAsia="Times New Roman" w:hAnsi="Times New Roman"/>
          <w:sz w:val="22"/>
          <w:szCs w:val="22"/>
        </w:rPr>
        <w:t xml:space="preserve">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guardians whose approvals have been verified and let N denote the required authorisation threshold, as in Equation (3).</w:t>
      </w:r>
      <w:r>
        <w:rPr>
          <w:rFonts w:ascii="Times New Roman" w:cs="Times New Roman" w:eastAsia="Times New Roman" w:hAnsi="Times New Roman"/>
          <w:color w:val="00A000"/>
          <w:sz w:val="22"/>
          <w:szCs w:val="22"/>
        </w:rPr>
        <w:t xml:space="preserve">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color w:val="00A000"/>
          <w:sz w:val="22"/>
          <w:szCs w:val="22"/>
        </w:rPr>
        <w:t xml:space="preserve">Only independently verified participants can contribute to the set of verified approving guardians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as defined in Equation (4), where A</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denotes the set of approvals submitted for C.</w:t>
      </w:r>
      <w:r>
        <w:rPr>
          <w:rFonts w:ascii="Times New Roman" w:cs="Times New Roman" w:eastAsia="Times New Roman" w:hAnsi="Times New Roman"/>
          <w:color w:val="00A000"/>
          <w:sz w:val="22"/>
          <w:szCs w:val="22"/>
        </w:rPr>
        <w:t xml:space="preserve">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therefore contains each member of G at most once, and an approval from a signer outside G does not enter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 compromised or unauthorised participant cannot independently activate access when the threshold has not been satisfied.</w:t>
      </w:r>
      <w:r>
        <w:rPr>
          <w:rFonts w:ascii="Times New Roman" w:cs="Times New Roman" w:eastAsia="Times New Roman" w:hAnsi="Times New Roman"/>
          <w:color w:val="00A000"/>
          <w:sz w:val="22"/>
          <w:szCs w:val="22"/>
        </w:rPr>
        <w:t xml:space="preserve">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color w:val="00A000"/>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w:t>
      </w:r>
      <w:r>
        <w:rPr>
          <w:rFonts w:ascii="Times New Roman" w:cs="Times New Roman" w:eastAsia="Times New Roman" w:hAnsi="Times New Roman"/>
          <w:color w:val="00A000"/>
          <w:sz w:val="22"/>
          <w:szCs w:val="22"/>
        </w:rPr>
        <w:t xml:space="preserve"> The temporal check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the jurisdictional check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are then evaluated, a Groth16 proof is generated and verified before access is granted, and the audit evidence is recorded.</w:t>
      </w:r>
      <w:r>
        <w:rPr>
          <w:rFonts w:ascii="Times New Roman" w:cs="Times New Roman" w:eastAsia="Times New Roman" w:hAnsi="Times New Roman"/>
          <w:color w:val="00A000"/>
          <w:sz w:val="22"/>
          <w:szCs w:val="22"/>
        </w:rPr>
        <w:t xml:space="preserve"> Beyond the access decision shown in Figure 6, the prototype continues through patient-initiated revocation and the corresponding on-chain revoke transaction, after which the auditor reviews the record and the verification tool performs an independent verification.</w:t>
      </w:r>
      <w:r>
        <w:rPr>
          <w:rFonts w:ascii="Times New Roman" w:cs="Times New Roman" w:eastAsia="Times New Roman" w:hAnsi="Times New Roman"/>
          <w:sz w:val="22"/>
          <w:szCs w:val="22"/>
        </w:rPr>
        <w:t xml:space="preserve"> 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w:t>
      </w:r>
      <w:r>
        <w:rPr>
          <w:rFonts w:ascii="Times New Roman" w:cs="Times New Roman" w:eastAsia="Times New Roman" w:hAnsi="Times New Roman"/>
          <w:sz w:val="22"/>
          <w:szCs w:val="22"/>
        </w:rPr>
        <w:t xml:space="preserve"> When the authorisation threshold is satisfied, the requested access is evaluated against the purpose and data-scope constraints defined in the consent object.</w:t>
      </w:r>
      <w:r>
        <w:rPr>
          <w:rFonts w:ascii="Times New Roman" w:cs="Times New Roman" w:eastAsia="Times New Roman" w:hAnsi="Times New Roman"/>
          <w:sz w:val="22"/>
          <w:szCs w:val="22"/>
        </w:rPr>
        <w:t xml:space="preserve"> This step addresses a limitation of identity-based and approval-based access control: a legitimate participant may still request data that fall outside the scope of the patient's consent.</w:t>
      </w:r>
      <w:r>
        <w:rPr>
          <w:rFonts w:ascii="Times New Roman" w:cs="Times New Roman" w:eastAsia="Times New Roman" w:hAnsi="Times New Roman"/>
          <w:sz w:val="22"/>
          <w:szCs w:val="22"/>
        </w:rPr>
        <w:t xml:space="preserve"> For example, if a consent authorises access to observations and medications, a request for observations, medications, and procedures should be rejected because the request exceeds the authorised data scope.</w:t>
      </w:r>
      <w:r>
        <w:rPr>
          <w:rFonts w:ascii="Times New Roman" w:cs="Times New Roman" w:eastAsia="Times New Roman" w:hAnsi="Times New Roman"/>
          <w:sz w:val="22"/>
          <w:szCs w:val="22"/>
        </w:rPr>
        <w:t xml:space="preserve"> Similarly, the requested purpose must be consistent with the purpose specified in the consent.</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w:t>
      </w:r>
      <w:r>
        <w:rPr>
          <w:rFonts w:ascii="Times New Roman" w:cs="Times New Roman" w:eastAsia="Times New Roman" w:hAnsi="Times New Roman"/>
          <w:sz w:val="22"/>
          <w:szCs w:val="22"/>
        </w:rPr>
        <w:t xml:space="preserve"> RO1 is primarily represented in the Model through the development of the trust-aware consent object C = (I, A, P, T, L, E).</w:t>
      </w:r>
      <w:r>
        <w:rPr>
          <w:rFonts w:ascii="Times New Roman" w:cs="Times New Roman" w:eastAsia="Times New Roman" w:hAnsi="Times New Roman"/>
          <w:sz w:val="22"/>
          <w:szCs w:val="22"/>
        </w:rPr>
        <w:t xml:space="preserve"> RO2 is implemented through the identity and authority verification mechanisms coordinated by the Controller.</w:t>
      </w:r>
      <w:r>
        <w:rPr>
          <w:rFonts w:ascii="Times New Roman" w:cs="Times New Roman" w:eastAsia="Times New Roman" w:hAnsi="Times New Roman"/>
          <w:sz w:val="22"/>
          <w:szCs w:val="22"/>
        </w:rPr>
        <w:t xml:space="preserve"> RO3 is realised through the multi-party approval and threshold evaluation process.</w:t>
      </w:r>
      <w:r>
        <w:rPr>
          <w:rFonts w:ascii="Times New Roman" w:cs="Times New Roman" w:eastAsia="Times New Roman" w:hAnsi="Times New Roman"/>
          <w:sz w:val="22"/>
          <w:szCs w:val="22"/>
        </w:rPr>
        <w:t xml:space="preserve"> RO4 is implemented through the policy evaluation mechanisms that constrain the authorised purpose and healthcare data scope.</w:t>
      </w:r>
      <w:r>
        <w:rPr>
          <w:rFonts w:ascii="Times New Roman" w:cs="Times New Roman" w:eastAsia="Times New Roman" w:hAnsi="Times New Roman"/>
          <w:sz w:val="22"/>
          <w:szCs w:val="22"/>
        </w:rPr>
        <w:t xml:space="preserv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is evaluated by the Controller before an access decision is produced,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w:t>
      </w:r>
      <w:r>
        <w:rPr>
          <w:rFonts w:ascii="Times New Roman" w:cs="Times New Roman" w:eastAsia="Times New Roman" w:hAnsi="Times New Roman"/>
          <w:sz w:val="22"/>
          <w:szCs w:val="22"/>
        </w:rPr>
        <w:t xml:space="preserve"> Formal security assurance evaluates the logical properties of the integrated model, while empirical validation evaluates whether the implementation consistently realises those properties.</w:t>
      </w:r>
      <w:r>
        <w:rPr>
          <w:rFonts w:ascii="Times New Roman" w:cs="Times New Roman" w:eastAsia="Times New Roman" w:hAnsi="Times New Roman"/>
          <w:color w:val="00A000"/>
          <w:sz w:val="22"/>
          <w:szCs w:val="22"/>
        </w:rPr>
        <w:t xml:space="preserv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w:t>
      </w:r>
      <w:r>
        <w:rPr>
          <w:rFonts w:ascii="Times New Roman" w:cs="Times New Roman" w:eastAsia="Times New Roman" w:hAnsi="Times New Roman"/>
          <w:color w:val="00A000"/>
          <w:sz w:val="22"/>
          <w:szCs w:val="22"/>
        </w:rPr>
        <w:t xml:space="preserve"> The evaluable consent object as such is already present in the literature.</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w:t>
      </w:r>
      <w:r>
        <w:rPr>
          <w:rFonts w:ascii="Times New Roman" w:cs="Times New Roman" w:eastAsia="Times New Roman" w:hAnsi="Times New Roman"/>
          <w:sz w:val="22"/>
          <w:szCs w:val="22"/>
        </w:rPr>
        <w:t xml:space="preserve"> Blockchain or other tamper-resistant storage mechanisms are integrated as infrastructure for preserving selected authorisation evidence.</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The detailed solutions for RQ1 to RQ6 are presented in Sections 6 to 11, and the formal assurance of the complete decision model 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w:t>
      </w:r>
      <w:r>
        <w:rPr>
          <w:rFonts w:ascii="Times New Roman" w:cs="Times New Roman" w:eastAsia="Times New Roman" w:hAnsi="Times New Roman"/>
          <w:sz w:val="22"/>
          <w:szCs w:val="22"/>
        </w:rPr>
        <w:t xml:space="preserve"> The purpose of this objective is to establish a formal representation of what the patient intends to authorise, who is permitted to participate in the authorisation process, which healthcare data may be accessed, and under what conditions.</w:t>
      </w:r>
      <w:r>
        <w:rPr>
          <w:rFonts w:ascii="Times New Roman" w:cs="Times New Roman" w:eastAsia="Times New Roman" w:hAnsi="Times New Roman"/>
          <w:sz w:val="22"/>
          <w:szCs w:val="22"/>
        </w:rPr>
        <w:t xml:space="preserve">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w:t>
      </w:r>
      <w:r>
        <w:rPr>
          <w:rFonts w:ascii="Times New Roman" w:cs="Times New Roman" w:eastAsia="Times New Roman" w:hAnsi="Times New Roman"/>
          <w:color w:val="00A000"/>
          <w:sz w:val="22"/>
          <w:szCs w:val="22"/>
        </w:rPr>
        <w:t xml:space="preserve"> T represents the temporal validity window, and L represents the jurisdiction in which the consent may be exercised.</w:t>
      </w:r>
      <w:r>
        <w:rPr>
          <w:rFonts w:ascii="Times New Roman" w:cs="Times New Roman" w:eastAsia="Times New Roman" w:hAnsi="Times New Roman"/>
          <w:sz w:val="22"/>
          <w:szCs w:val="22"/>
        </w:rPr>
        <w:t xml:space="preserve"> The identity component identifies the patient and relevant participants.</w:t>
      </w:r>
      <w:r>
        <w:rPr>
          <w:rFonts w:ascii="Times New Roman" w:cs="Times New Roman" w:eastAsia="Times New Roman" w:hAnsi="Times New Roman"/>
          <w:sz w:val="22"/>
          <w:szCs w:val="22"/>
        </w:rPr>
        <w:t xml:space="preserve"> The authorisation component defines the required participants and approval threshold.</w:t>
      </w:r>
      <w:r>
        <w:rPr>
          <w:rFonts w:ascii="Times New Roman" w:cs="Times New Roman" w:eastAsia="Times New Roman" w:hAnsi="Times New Roman"/>
          <w:sz w:val="22"/>
          <w:szCs w:val="22"/>
        </w:rPr>
        <w:t xml:space="preserve"> The policy component specifies the permitted purpose and healthcare data scope.</w:t>
      </w:r>
      <w:r>
        <w:rPr>
          <w:rFonts w:ascii="Times New Roman" w:cs="Times New Roman" w:eastAsia="Times New Roman" w:hAnsi="Times New Roman"/>
          <w:sz w:val="22"/>
          <w:szCs w:val="22"/>
        </w:rPr>
        <w:t xml:space="preserve"> The evidence component records the information required to support subsequent verification and audit.</w:t>
      </w:r>
      <w:r>
        <w:rPr>
          <w:rFonts w:ascii="Times New Roman" w:cs="Times New Roman" w:eastAsia="Times New Roman" w:hAnsi="Times New Roman"/>
          <w:sz w:val="22"/>
          <w:szCs w:val="22"/>
        </w:rPr>
        <w:t xml:space="preserve"> The consent model therefore separates the specification of consent from the final access decision.</w:t>
      </w:r>
      <w:r>
        <w:rPr>
          <w:rFonts w:ascii="Times New Roman" w:cs="Times New Roman" w:eastAsia="Times New Roman" w:hAnsi="Times New Roman"/>
          <w:sz w:val="22"/>
          <w:szCs w:val="22"/>
        </w:rPr>
        <w:t xml:space="preserv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w:t>
      </w:r>
      <w:r>
        <w:rPr>
          <w:rFonts w:ascii="Times New Roman" w:cs="Times New Roman" w:eastAsia="Times New Roman" w:hAnsi="Times New Roman"/>
          <w:sz w:val="22"/>
          <w:szCs w:val="22"/>
        </w:rPr>
        <w:t xml:space="preserve"> The process begins with a patient request and ends with a structured consent record that can be verified by subsequent authorisation services.</w:t>
      </w:r>
      <w:r>
        <w:rPr>
          <w:rFonts w:ascii="Times New Roman" w:cs="Times New Roman" w:eastAsia="Times New Roman" w:hAnsi="Times New Roman"/>
          <w:sz w:val="22"/>
          <w:szCs w:val="22"/>
        </w:rPr>
        <w:t xml:space="preserve"> The workflow first collects the patient identity and the intended healthcare participants.</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w:t>
      </w:r>
      <w:r>
        <w:rPr>
          <w:rFonts w:ascii="Times New Roman" w:cs="Times New Roman" w:eastAsia="Times New Roman" w:hAnsi="Times New Roman"/>
          <w:color w:val="00A000"/>
          <w:sz w:val="22"/>
          <w:szCs w:val="22"/>
        </w:rPr>
        <w:t xml:space="preserve">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color w:val="00A000"/>
          <w:sz w:val="22"/>
          <w:szCs w:val="22"/>
        </w:rPr>
        <w:t xml:space="preserve">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w:t>
      </w:r>
      <w:r>
        <w:rPr>
          <w:rFonts w:ascii="Times New Roman" w:cs="Times New Roman" w:eastAsia="Times New Roman" w:hAnsi="Times New Roman"/>
          <w:sz w:val="22"/>
          <w:szCs w:val="22"/>
        </w:rPr>
        <w:t xml:space="preserve"> 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A000"/>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w:t>
      </w:r>
      <w:r>
        <w:rPr>
          <w:rFonts w:ascii="Times New Roman" w:cs="Times New Roman" w:eastAsia="Times New Roman" w:hAnsi="Times New Roman"/>
          <w:sz w:val="22"/>
          <w:szCs w:val="22"/>
        </w:rPr>
        <w:t xml:space="preserve">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w:t>
      </w:r>
      <w:r>
        <w:rPr>
          <w:rFonts w:ascii="Times New Roman" w:cs="Times New Roman" w:eastAsia="Times New Roman" w:hAnsi="Times New Roman"/>
          <w:color w:val="00A000"/>
          <w:sz w:val="22"/>
          <w:szCs w:val="22"/>
        </w:rPr>
        <w:t xml:space="preserve"> The system validates the designated doctor D.</w:t>
      </w:r>
      <w:r>
        <w:rPr>
          <w:rFonts w:ascii="Times New Roman" w:cs="Times New Roman" w:eastAsia="Times New Roman" w:hAnsi="Times New Roman"/>
          <w:sz w:val="22"/>
          <w:szCs w:val="22"/>
        </w:rPr>
        <w:t xml:space="preserve"> The system then validates the guardian set G, which must be non-empty, and every guardian in it must have a well-formed DID.</w:t>
      </w:r>
      <w:r>
        <w:rPr>
          <w:rFonts w:ascii="Times New Roman" w:cs="Times New Roman" w:eastAsia="Times New Roman" w:hAnsi="Times New Roman"/>
          <w:sz w:val="22"/>
          <w:szCs w:val="22"/>
        </w:rPr>
        <w:t xml:space="preserve"> This step prevents an arbitrary third party from being treated as an authorised representative of the patient.</w:t>
      </w:r>
      <w:r>
        <w:rPr>
          <w:rFonts w:ascii="Times New Roman" w:cs="Times New Roman" w:eastAsia="Times New Roman" w:hAnsi="Times New Roman"/>
          <w:sz w:val="22"/>
          <w:szCs w:val="22"/>
        </w:rPr>
        <w:t xml:space="preserve">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w:t>
      </w:r>
      <w:r>
        <w:rPr>
          <w:rFonts w:ascii="Times New Roman" w:cs="Times New Roman" w:eastAsia="Times New Roman" w:hAnsi="Times New Roman"/>
          <w:sz w:val="22"/>
          <w:szCs w:val="22"/>
        </w:rPr>
        <w:t xml:space="preserve"> The authorised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w:t>
      </w:r>
      <w:r>
        <w:rPr>
          <w:rFonts w:ascii="Times New Roman" w:cs="Times New Roman" w:eastAsia="Times New Roman" w:hAnsi="Times New Roman"/>
          <w:sz w:val="22"/>
          <w:szCs w:val="22"/>
        </w:rPr>
        <w:t xml:space="preserve"> The scope may represent specific resource categories, 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this condition is not satisfied, the consent request is rejected.</w:t>
      </w:r>
      <w:r>
        <w:rPr>
          <w:rFonts w:ascii="Times New Roman" w:cs="Times New Roman" w:eastAsia="Times New Roman" w:hAnsi="Times New Roman"/>
          <w:sz w:val="22"/>
          <w:szCs w:val="22"/>
        </w:rPr>
        <w:t xml:space="preserve"> After all input elements have been validated, the system defines the authorisation requirement A.</w:t>
      </w:r>
      <w:r>
        <w:rPr>
          <w:rFonts w:ascii="Times New Roman" w:cs="Times New Roman" w:eastAsia="Times New Roman" w:hAnsi="Times New Roman"/>
          <w:sz w:val="22"/>
          <w:szCs w:val="22"/>
        </w:rPr>
        <w:t xml:space="preserve"> This requirement specifies the conditions that must subsequently be satisfied before access can be granted.</w:t>
      </w:r>
      <w:r>
        <w:rPr>
          <w:rFonts w:ascii="Times New Roman" w:cs="Times New Roman" w:eastAsia="Times New Roman" w:hAnsi="Times New Roman"/>
          <w:sz w:val="22"/>
          <w:szCs w:val="22"/>
        </w:rPr>
        <w:t xml:space="preserve">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w:t>
      </w:r>
      <w:r>
        <w:rPr>
          <w:rFonts w:ascii="Times New Roman" w:cs="Times New Roman" w:eastAsia="Times New Roman" w:hAnsi="Times New Roman"/>
          <w:color w:val="00A000"/>
          <w:sz w:val="22"/>
          <w:szCs w:val="22"/>
        </w:rPr>
        <w:t xml:space="preserve"> Possession of the identifier alone grants no access, because every subsequent request is evaluated by the complete decision rule.</w:t>
      </w:r>
      <w:r>
        <w:rPr>
          <w:rFonts w:ascii="Times New Roman" w:cs="Times New Roman" w:eastAsia="Times New Roman" w:hAnsi="Times New Roman"/>
          <w:color w:val="00A000"/>
          <w:sz w:val="22"/>
          <w:szCs w:val="22"/>
        </w:rPr>
        <w:t xml:space="preserve"> The smart contract assigns the on-chain token identifier separately, only when the consent is activated.</w:t>
      </w:r>
      <w:r>
        <w:rPr>
          <w:rFonts w:ascii="Times New Roman" w:cs="Times New Roman" w:eastAsia="Times New Roman" w:hAnsi="Times New Roman"/>
          <w:sz w:val="22"/>
          <w:szCs w:val="22"/>
        </w:rPr>
        <w:t xml:space="preserve"> The constructed consent object C is persisted, and finally the system records evidence associated with the creation event.</w:t>
      </w:r>
      <w:r>
        <w:rPr>
          <w:rFonts w:ascii="Times New Roman" w:cs="Times New Roman" w:eastAsia="Times New Roman" w:hAnsi="Times New Roman"/>
          <w:color w:val="00A000"/>
          <w:sz w:val="22"/>
          <w:szCs w:val="22"/>
        </w:rPr>
        <w:t xml:space="preserve"> The overall procedure can therefore be represented as a sequential trust establishment process that I</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D → G → 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T → L → A →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C → E.</w:t>
      </w:r>
      <w:r>
        <w:rPr>
          <w:rFonts w:ascii="Times New Roman" w:cs="Times New Roman" w:eastAsia="Times New Roman" w:hAnsi="Times New Roman"/>
          <w:sz w:val="22"/>
          <w:szCs w:val="22"/>
        </w:rPr>
        <w:t xml:space="preserve"> 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w:t>
      </w:r>
      <w:r>
        <w:rPr>
          <w:rFonts w:ascii="Times New Roman" w:cs="Times New Roman" w:eastAsia="Times New Roman" w:hAnsi="Times New Roman"/>
          <w:sz w:val="22"/>
          <w:szCs w:val="22"/>
        </w:rPr>
        <w:t xml:space="preserve"> The algorithm does not grant data access directly.</w:t>
      </w:r>
      <w:r>
        <w:rPr>
          <w:rFonts w:ascii="Times New Roman" w:cs="Times New Roman" w:eastAsia="Times New Roman" w:hAnsi="Times New Roman"/>
          <w:sz w:val="22"/>
          <w:szCs w:val="22"/>
        </w:rPr>
        <w:t xml:space="preserve"> Instead, it creates a consent object that can later be evaluated by the authorisation mechanism.</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A000"/>
          <w:sz w:val="22"/>
          <w:szCs w:val="22"/>
        </w:rPr>
        <w:t xml:space="preserve"> The consent is placed in the PENDING_SIGNATURE state, and nothing is anchored on-chain until all guardians approve.</w:t>
      </w:r>
      <w:r>
        <w:rPr>
          <w:rFonts w:ascii="Times New Roman" w:cs="Times New Roman" w:eastAsia="Times New Roman" w:hAnsi="Times New Roman"/>
          <w:sz w:val="22"/>
          <w:szCs w:val="22"/>
        </w:rPr>
        <w:t xml:space="preserve"> The algorithm also establishes the relationship between RO1 and the remaining objectives.</w:t>
      </w:r>
      <w:r>
        <w:rPr>
          <w:rFonts w:ascii="Times New Roman" w:cs="Times New Roman" w:eastAsia="Times New Roman" w:hAnsi="Times New Roman"/>
          <w:sz w:val="22"/>
          <w:szCs w:val="22"/>
        </w:rPr>
        <w:t xml:space="preserve"> RO2 uses the identity and authority information contained in I, RO3 evaluates the authorisation requirements contained in A, and RO4 evaluates the policy constraints contained in P.</w:t>
      </w:r>
      <w:r>
        <w:rPr>
          <w:rFonts w:ascii="Times New Roman" w:cs="Times New Roman" w:eastAsia="Times New Roman" w:hAnsi="Times New Roman"/>
          <w:sz w:val="22"/>
          <w:szCs w:val="22"/>
        </w:rPr>
        <w:t xml:space="preserve">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w:t>
      </w:r>
      <w:r>
        <w:rPr>
          <w:rFonts w:ascii="Times New Roman" w:cs="Times New Roman" w:eastAsia="Times New Roman" w:hAnsi="Times New Roman"/>
          <w:sz w:val="22"/>
          <w:szCs w:val="22"/>
        </w:rPr>
        <w:t xml:space="preserve"> The main contribution of RO1 is the transformation of consent from a static permission record into a structured authorisation object.</w:t>
      </w:r>
      <w:r>
        <w:rPr>
          <w:rFonts w:ascii="Times New Roman" w:cs="Times New Roman" w:eastAsia="Times New Roman" w:hAnsi="Times New Roman"/>
          <w:sz w:val="22"/>
          <w:szCs w:val="22"/>
        </w:rPr>
        <w:t xml:space="preserve"> The current result demonstrates that consent can be represented as an evaluable authorisation object rather than as a binary permission.</w:t>
      </w:r>
      <w:r>
        <w:rPr>
          <w:rFonts w:ascii="Times New Roman" w:cs="Times New Roman" w:eastAsia="Times New Roman" w:hAnsi="Times New Roman"/>
          <w:color w:val="00A000"/>
          <w:sz w:val="22"/>
          <w:szCs w:val="22"/>
        </w:rPr>
        <w:t xml:space="preserve"> In the current prototype, the identity validation of the first three steps is structural.</w:t>
      </w:r>
      <w:r>
        <w:rPr>
          <w:rFonts w:ascii="Times New Roman" w:cs="Times New Roman" w:eastAsia="Times New Roman" w:hAnsi="Times New Roman"/>
          <w:color w:val="00A000"/>
          <w:sz w:val="22"/>
          <w:szCs w:val="22"/>
        </w:rPr>
        <w:t xml:space="preserve"> In particular, the patient DID is selected from the loaded record set, and each guardian DID must be a well-formed DID before the consent is stored, whereas the doctor DID is checked for DID format only when the access decision is evaluated, as qualified in Section 7.</w:t>
      </w:r>
      <w:r>
        <w:rPr>
          <w:rFonts w:ascii="Times New Roman" w:cs="Times New Roman" w:eastAsia="Times New Roman" w:hAnsi="Times New Roman"/>
          <w:color w:val="00A000"/>
          <w:sz w:val="22"/>
          <w:szCs w:val="22"/>
        </w:rPr>
        <w:t xml:space="preserve">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separating identity authentication from authorisation authority.</w:t>
      </w:r>
      <w:r>
        <w:rPr>
          <w:rFonts w:ascii="Times New Roman" w:cs="Times New Roman" w:eastAsia="Times New Roman" w:hAnsi="Times New Roman"/>
          <w:sz w:val="22"/>
          <w:szCs w:val="22"/>
        </w:rPr>
        <w:t xml:space="preserve"> RO2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r>
        <w:rPr>
          <w:rFonts w:ascii="Times New Roman" w:cs="Times New Roman" w:eastAsia="Times New Roman" w:hAnsi="Times New Roman"/>
          <w:sz w:val="22"/>
          <w:szCs w:val="22"/>
        </w:rPr>
        <w:t xml:space="preserve">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w:t>
      </w:r>
      <w:r>
        <w:rPr>
          <w:rFonts w:ascii="Times New Roman" w:cs="Times New Roman" w:eastAsia="Times New Roman" w:hAnsi="Times New Roman"/>
          <w:sz w:val="22"/>
          <w:szCs w:val="22"/>
        </w:rPr>
        <w:t xml:space="preserve"> Neither mechanism should automatically grant access to patient data.</w:t>
      </w:r>
      <w:r>
        <w:rPr>
          <w:rFonts w:ascii="Times New Roman" w:cs="Times New Roman" w:eastAsia="Times New Roman" w:hAnsi="Times New Roman"/>
          <w:sz w:val="22"/>
          <w:szCs w:val="22"/>
        </w:rPr>
        <w:t xml:space="preserve"> Instead, the verified identity and authority information become inputs to the subsequent authorisation process.</w:t>
      </w:r>
      <w:r>
        <w:rPr>
          <w:rFonts w:ascii="Times New Roman" w:cs="Times New Roman" w:eastAsia="Times New Roman" w:hAnsi="Times New Roman"/>
          <w:color w:val="00A000"/>
          <w:sz w:val="22"/>
          <w:szCs w:val="22"/>
        </w:rPr>
        <w:t xml:space="preserve"> The identity and authority verification condition can be expressed as Equation (7), where u is the requesting participant and Authority(u, C) establishes whether the verified authority matches the role required by the consent.</w:t>
      </w:r>
      <w:r>
        <w:rPr>
          <w:rFonts w:ascii="Times New Roman" w:cs="Times New Roman" w:eastAsia="Times New Roman" w:hAnsi="Times New Roman"/>
          <w:sz w:val="22"/>
          <w:szCs w:val="22"/>
        </w:rPr>
        <w:t xml:space="preserve"> The DID verification process establishes whether the identity reference is valid.</w:t>
      </w:r>
      <w:r>
        <w:rPr>
          <w:rFonts w:ascii="Times New Roman" w:cs="Times New Roman" w:eastAsia="Times New Roman" w:hAnsi="Times New Roman"/>
          <w:sz w:val="22"/>
          <w:szCs w:val="22"/>
        </w:rPr>
        <w:t xml:space="preserve"> The VC verification process establishes whether the participant possesses valid authority evidence.</w:t>
      </w:r>
      <w:r>
        <w:rPr>
          <w:rFonts w:ascii="Times New Roman" w:cs="Times New Roman" w:eastAsia="Times New Roman" w:hAnsi="Times New Roman"/>
          <w:sz w:val="22"/>
          <w:szCs w:val="22"/>
        </w:rPr>
        <w:t xml:space="preserv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w:t>
      </w:r>
      <w:r>
        <w:rPr>
          <w:rFonts w:ascii="Times New Roman" w:cs="Times New Roman" w:eastAsia="Times New Roman" w:hAnsi="Times New Roman"/>
          <w:sz w:val="22"/>
          <w:szCs w:val="22"/>
        </w:rPr>
        <w:t xml:space="preserve"> The system resolves and verifies the participant's DID and then retrieves the associated VC.</w:t>
      </w:r>
      <w:r>
        <w:rPr>
          <w:rFonts w:ascii="Times New Roman" w:cs="Times New Roman" w:eastAsia="Times New Roman" w:hAnsi="Times New Roman"/>
          <w:sz w:val="22"/>
          <w:szCs w:val="22"/>
        </w:rPr>
        <w:t xml:space="preserve"> The credential is checked for validity and its claims are examined to determine whether the participant possesses the authority required by the consent.</w:t>
      </w:r>
      <w:r>
        <w:rPr>
          <w:rFonts w:ascii="Times New Roman" w:cs="Times New Roman" w:eastAsia="Times New Roman" w:hAnsi="Times New Roman"/>
          <w:sz w:val="22"/>
          <w:szCs w:val="22"/>
        </w:rPr>
        <w:t xml:space="preserve"> As shown in Figure 9, the output of RO2 is not an access-grant decision.</w:t>
      </w:r>
      <w:r>
        <w:rPr>
          <w:rFonts w:ascii="Times New Roman" w:cs="Times New Roman" w:eastAsia="Times New Roman" w:hAnsi="Times New Roman"/>
          <w:sz w:val="22"/>
          <w:szCs w:val="22"/>
        </w:rPr>
        <w:t xml:space="preserve"> It is a verified identity and authority result that can be consumed by RO3 and RO4.</w:t>
      </w:r>
      <w:r>
        <w:rPr>
          <w:rFonts w:ascii="Times New Roman" w:cs="Times New Roman" w:eastAsia="Times New Roman" w:hAnsi="Times New Roman"/>
          <w:sz w:val="22"/>
          <w:szCs w:val="22"/>
        </w:rPr>
        <w:t xml:space="preserve">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highlight w:val="yellow"/>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w:t>
      </w:r>
      <w:r>
        <w:rPr>
          <w:rFonts w:ascii="Times New Roman" w:cs="Times New Roman" w:eastAsia="Times New Roman" w:hAnsi="Times New Roman"/>
          <w:sz w:val="22"/>
          <w:szCs w:val="22"/>
        </w:rPr>
        <w:t xml:space="preserve"> The system first resolves the decentralised identifier (DID) associated with participant u.</w:t>
      </w:r>
      <w:r>
        <w:rPr>
          <w:rFonts w:ascii="Times New Roman" w:cs="Times New Roman" w:eastAsia="Times New Roman" w:hAnsi="Times New Roman"/>
          <w:sz w:val="22"/>
          <w:szCs w:val="22"/>
        </w:rPr>
        <w:t xml:space="preserve"> The system verifies the DID document and whether the relevant cryptographic information, such as verification methods and public keys, can be trusted.</w:t>
      </w:r>
      <w:r>
        <w:rPr>
          <w:rFonts w:ascii="Times New Roman" w:cs="Times New Roman" w:eastAsia="Times New Roman" w:hAnsi="Times New Roman"/>
          <w:sz w:val="22"/>
          <w:szCs w:val="22"/>
        </w:rPr>
        <w:t xml:space="preserve"> The VC provides machine-verifiable claims, such as professional role, organisational affiliation, or delegated authority.</w:t>
      </w:r>
      <w:r>
        <w:rPr>
          <w:rFonts w:ascii="Times New Roman" w:cs="Times New Roman" w:eastAsia="Times New Roman" w:hAnsi="Times New Roman"/>
          <w:color w:val="00A000"/>
          <w:sz w:val="22"/>
          <w:szCs w:val="22"/>
        </w:rPr>
        <w:t xml:space="preserve"> In the target design, the credential can be considered valid only when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Sig</w:t>
      </w:r>
      <w:r>
        <w:rPr>
          <w:rFonts w:ascii="Times New Roman" w:cs="Times New Roman" w:eastAsia="Times New Roman" w:hAnsi="Times New Roman"/>
          <w:color w:val="00A000"/>
          <w:sz w:val="22"/>
          <w:szCs w:val="22"/>
          <w:vertAlign w:val="subscript"/>
        </w:rPr>
        <w:t xml:space="preserve">VC</w:t>
      </w:r>
      <w:r>
        <w:rPr>
          <w:rFonts w:ascii="Times New Roman" w:cs="Times New Roman" w:eastAsia="Times New Roman" w:hAnsi="Times New Roman"/>
          <w:color w:val="00A000"/>
          <w:sz w:val="22"/>
          <w:szCs w:val="22"/>
        </w:rPr>
        <w:t xml:space="preserve"> ∧ Issuer</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Subject</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Time</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w:t>
      </w:r>
      <w:r>
        <w:rPr>
          <w:rFonts w:ascii="Times New Roman" w:cs="Times New Roman" w:eastAsia="Times New Roman" w:hAnsi="Times New Roman"/>
          <w:sz w:val="22"/>
          <w:szCs w:val="22"/>
        </w:rPr>
        <w:t xml:space="preserve">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w:t>
      </w:r>
      <w:r>
        <w:rPr>
          <w:rFonts w:ascii="Times New Roman" w:cs="Times New Roman" w:eastAsia="Times New Roman" w:hAnsi="Times New Roman"/>
          <w:sz w:val="22"/>
          <w:szCs w:val="22"/>
        </w:rPr>
        <w:t xml:space="preserve"> These claims may identify a doctor, guardian, researcher, auditor, or another authorised participant.</w:t>
      </w:r>
      <w:r>
        <w:rPr>
          <w:rFonts w:ascii="Times New Roman" w:cs="Times New Roman" w:eastAsia="Times New Roman" w:hAnsi="Times New Roman"/>
          <w:sz w:val="22"/>
          <w:szCs w:val="22"/>
        </w:rPr>
        <w:t xml:space="preserve"> The extracted claims are compared against the authorisation requirements specified in the consent object C.</w:t>
      </w:r>
      <w:r>
        <w:rPr>
          <w:rFonts w:ascii="Times New Roman" w:cs="Times New Roman" w:eastAsia="Times New Roman" w:hAnsi="Times New Roman"/>
          <w:sz w:val="22"/>
          <w:szCs w:val="22"/>
        </w:rPr>
        <w:t xml:space="preserve">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w:t>
      </w:r>
      <w:r>
        <w:rPr>
          <w:rFonts w:ascii="Times New Roman" w:cs="Times New Roman" w:eastAsia="Times New Roman" w:hAnsi="Times New Roman"/>
          <w:sz w:val="22"/>
          <w:szCs w:val="22"/>
        </w:rPr>
        <w:t xml:space="preserve"> Consequently, the procedure can be interpreted as a 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w:t>
      </w:r>
      <w:r>
        <w:rPr>
          <w:rFonts w:ascii="Times New Roman" w:cs="Times New Roman" w:eastAsia="Times New Roman" w:hAnsi="Times New Roman"/>
          <w:color w:val="00A000"/>
          <w:sz w:val="22"/>
          <w:szCs w:val="22"/>
        </w:rPr>
        <w:t xml:space="preserve"> The overall verification process can therefore be represented as DID</w:t>
      </w:r>
      <w:r>
        <w:rPr>
          <w:rFonts w:ascii="Times New Roman" w:cs="Times New Roman" w:eastAsia="Times New Roman" w:hAnsi="Times New Roman"/>
          <w:color w:val="00A000"/>
          <w:sz w:val="22"/>
          <w:szCs w:val="22"/>
          <w:vertAlign w:val="subscript"/>
        </w:rPr>
        <w:t xml:space="preserve">resolve</w:t>
      </w:r>
      <w:r>
        <w:rPr>
          <w:rFonts w:ascii="Times New Roman" w:cs="Times New Roman" w:eastAsia="Times New Roman" w:hAnsi="Times New Roman"/>
          <w:color w:val="00A000"/>
          <w:sz w:val="22"/>
          <w:szCs w:val="22"/>
        </w:rPr>
        <w:t xml:space="preserve"> → DID</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retrieve</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Claims</w:t>
      </w:r>
      <w:r>
        <w:rPr>
          <w:rFonts w:ascii="Times New Roman" w:cs="Times New Roman" w:eastAsia="Times New Roman" w:hAnsi="Times New Roman"/>
          <w:color w:val="00A000"/>
          <w:sz w:val="22"/>
          <w:szCs w:val="22"/>
          <w:vertAlign w:val="subscript"/>
        </w:rPr>
        <w:t xml:space="preserve">extract</w:t>
      </w:r>
      <w:r>
        <w:rPr>
          <w:rFonts w:ascii="Times New Roman" w:cs="Times New Roman" w:eastAsia="Times New Roman" w:hAnsi="Times New Roman"/>
          <w:color w:val="00A000"/>
          <w:sz w:val="22"/>
          <w:szCs w:val="22"/>
        </w:rPr>
        <w:t xml:space="preserve"> → Authority</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Evidence</w:t>
      </w:r>
      <w:r>
        <w:rPr>
          <w:rFonts w:ascii="Times New Roman" w:cs="Times New Roman" w:eastAsia="Times New Roman" w:hAnsi="Times New Roman"/>
          <w:color w:val="00A000"/>
          <w:sz w:val="22"/>
          <w:szCs w:val="22"/>
          <w:vertAlign w:val="subscript"/>
        </w:rPr>
        <w:t xml:space="preserve">record</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(u).</w:t>
      </w:r>
    </w:p>
    <w:p>
      <w:pPr>
        <w:spacing w:after="110" w:line="264"/>
        <w:jc w:val="both"/>
      </w:pPr>
      <w:r>
        <w:rPr>
          <w:rFonts w:ascii="Times New Roman" w:cs="Times New Roman" w:eastAsia="Times New Roman" w:hAnsi="Times New Roman"/>
          <w:color w:val="00A000"/>
          <w:sz w:val="22"/>
          <w:szCs w:val="22"/>
        </w:rPr>
        <w:t xml:space="preserve">Algorithm 2 formalises the procedure.</w:t>
      </w:r>
      <w:r>
        <w:rPr>
          <w:rFonts w:ascii="Times New Roman" w:cs="Times New Roman" w:eastAsia="Times New Roman" w:hAnsi="Times New Roman"/>
          <w:sz w:val="22"/>
          <w:szCs w:val="22"/>
        </w:rPr>
        <w:t xml:space="preserv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w:t>
      </w:r>
      <w:r>
        <w:rPr>
          <w:rFonts w:ascii="Times New Roman" w:cs="Times New Roman" w:eastAsia="Times New Roman" w:hAnsi="Times New Roman"/>
          <w:sz w:val="22"/>
          <w:szCs w:val="22"/>
        </w:rPr>
        <w:t xml:space="preserve"> The system records the evidence.</w:t>
      </w:r>
      <w:r>
        <w:rPr>
          <w:rFonts w:ascii="Times New Roman" w:cs="Times New Roman" w:eastAsia="Times New Roman" w:hAnsi="Times New Roman"/>
          <w:sz w:val="22"/>
          <w:szCs w:val="22"/>
        </w:rPr>
        <w:t xml:space="preserve"> The evidence may include the resolved DID, verification status, credential identifier, issuer information, relevant authority claims, and verification timestamp.</w:t>
      </w:r>
      <w:r>
        <w:rPr>
          <w:rFonts w:ascii="Times New Roman" w:cs="Times New Roman" w:eastAsia="Times New Roman" w:hAnsi="Times New Roman"/>
          <w:sz w:val="22"/>
          <w:szCs w:val="22"/>
        </w:rPr>
        <w:t xml:space="preserve">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w:t>
      </w:r>
      <w:r>
        <w:rPr>
          <w:rFonts w:ascii="Times New Roman" w:cs="Times New Roman" w:eastAsia="Times New Roman" w:hAnsi="Times New Roman"/>
          <w:sz w:val="22"/>
          <w:szCs w:val="22"/>
        </w:rPr>
        <w:t xml:space="preserve"> A participant may possess a valid DID while lacking the authority required by the consent.</w:t>
      </w:r>
      <w:r>
        <w:rPr>
          <w:rFonts w:ascii="Times New Roman" w:cs="Times New Roman" w:eastAsia="Times New Roman" w:hAnsi="Times New Roman"/>
          <w:sz w:val="22"/>
          <w:szCs w:val="22"/>
        </w:rPr>
        <w:t xml:space="preserve"> Similarly, a credential may be structurally valid but irrelevant to the specific authorisation requirement.</w:t>
      </w:r>
      <w:r>
        <w:rPr>
          <w:rFonts w:ascii="Times New Roman" w:cs="Times New Roman" w:eastAsia="Times New Roman" w:hAnsi="Times New Roman"/>
          <w:sz w:val="22"/>
          <w:szCs w:val="22"/>
        </w:rPr>
        <w:t xml:space="preserve"> Therefore, the algorithm verifies both credential validity and authority relevance.</w:t>
      </w:r>
      <w:r>
        <w:rPr>
          <w:rFonts w:ascii="Times New Roman" w:cs="Times New Roman" w:eastAsia="Times New Roman" w:hAnsi="Times New Roman"/>
          <w:sz w:val="22"/>
          <w:szCs w:val="22"/>
        </w:rPr>
        <w:t xml:space="preserve"> 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w:t>
      </w:r>
      <w:r>
        <w:rPr>
          <w:rFonts w:ascii="Times New Roman" w:cs="Times New Roman" w:eastAsia="Times New Roman" w:hAnsi="Times New Roman"/>
          <w:sz w:val="22"/>
          <w:szCs w:val="22"/>
        </w:rPr>
        <w:t xml:space="preserv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w:t>
      </w:r>
      <w:r>
        <w:rPr>
          <w:rFonts w:ascii="Times New Roman" w:cs="Times New Roman" w:eastAsia="Times New Roman" w:hAnsi="Times New Roman"/>
          <w:sz w:val="22"/>
          <w:szCs w:val="22"/>
        </w:rPr>
        <w:t xml:space="preserve"> The current implementation demonstrates the separation between participant identity and authorisation authority.</w:t>
      </w:r>
      <w:r>
        <w:rPr>
          <w:rFonts w:ascii="Times New Roman" w:cs="Times New Roman" w:eastAsia="Times New Roman" w:hAnsi="Times New Roman"/>
          <w:sz w:val="22"/>
          <w:szCs w:val="22"/>
        </w:rPr>
        <w:t xml:space="preserve"> A valid healthcare participant identity can be verified independently from the question of whether that participant is authorised to access a particular patient's data.</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in the current prototype combines a structural DID and credential-format check with EIP-712 verification of the signature of each listed guardian, and its outcome is recorded in the audit ledger.</w:t>
      </w:r>
      <w:r>
        <w:rPr>
          <w:rFonts w:ascii="Times New Roman" w:cs="Times New Roman" w:eastAsia="Times New Roman" w:hAnsi="Times New Roman"/>
          <w:color w:val="00A000"/>
          <w:sz w:val="22"/>
          <w:szCs w:val="22"/>
        </w:rPr>
        <w:t xml:space="preserve"> The condition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therefore defines the target verification model rather than the behaviour presently exercised by the demonstration.</w:t>
      </w:r>
      <w:r>
        <w:rPr>
          <w:rFonts w:ascii="Times New Roman" w:cs="Times New Roman" w:eastAsia="Times New Roman" w:hAnsi="Times New Roman"/>
          <w:color w:val="00A000"/>
          <w:sz w:val="22"/>
          <w:szCs w:val="22"/>
        </w:rPr>
        <w:t xml:space="preserve"> The doctor is not independently authenticated at consent creation, because the doctor DID is checked for DID format only when the access decision is evaluated.</w:t>
      </w:r>
      <w:r>
        <w:rPr>
          <w:rFonts w:ascii="Times New Roman" w:cs="Times New Roman" w:eastAsia="Times New Roman" w:hAnsi="Times New Roman"/>
          <w:color w:val="00A000"/>
          <w:sz w:val="22"/>
          <w:szCs w:val="22"/>
        </w:rPr>
        <w:t xml:space="preserve"> Cryptographic DID resolution against a registry, cryptographic validation of verifiable credentials, and authentication of the requester are acknowledged limitations reserved for the next stage.</w:t>
      </w:r>
      <w:r>
        <w:rPr>
          <w:rFonts w:ascii="Times New Roman" w:cs="Times New Roman" w:eastAsia="Times New Roman" w:hAnsi="Times New Roman"/>
          <w:color w:val="00A000"/>
          <w:sz w:val="22"/>
          <w:szCs w:val="22"/>
        </w:rPr>
        <w:t xml:space="preserv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w:t>
      </w:r>
      <w:r>
        <w:rPr>
          <w:rFonts w:ascii="Times New Roman" w:cs="Times New Roman" w:eastAsia="Times New Roman" w:hAnsi="Times New Roman"/>
          <w:sz w:val="22"/>
          <w:szCs w:val="22"/>
        </w:rPr>
        <w:t xml:space="preserve">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approving guardians and N represent the required approval threshold.</w:t>
      </w:r>
      <w:r>
        <w:rPr>
          <w:rFonts w:ascii="Times New Roman" w:cs="Times New Roman" w:eastAsia="Times New Roman" w:hAnsi="Times New Roman"/>
          <w:color w:val="00A000"/>
          <w:sz w:val="22"/>
          <w:szCs w:val="22"/>
        </w:rPr>
        <w:t xml:space="preserve">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w:t>
      </w:r>
      <w:r>
        <w:rPr>
          <w:rFonts w:ascii="Times New Roman" w:cs="Times New Roman" w:eastAsia="Times New Roman" w:hAnsi="Times New Roman"/>
          <w:sz w:val="22"/>
          <w:szCs w:val="22"/>
        </w:rPr>
        <w:t xml:space="preserve"> For example, a consent may require two valid guardian approvals.</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w:t>
      </w:r>
      <w:r>
        <w:rPr>
          <w:rFonts w:ascii="Times New Roman" w:cs="Times New Roman" w:eastAsia="Times New Roman" w:hAnsi="Times New Roman"/>
          <w:sz w:val="22"/>
          <w:szCs w:val="22"/>
        </w:rPr>
        <w:t xml:space="preserve">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color w:val="00A000"/>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w:t>
      </w:r>
      <w:r>
        <w:rPr>
          <w:rFonts w:ascii="Times New Roman" w:cs="Times New Roman" w:eastAsia="Times New Roman" w:hAnsi="Times New Roman"/>
          <w:color w:val="00A000"/>
          <w:sz w:val="22"/>
          <w:szCs w:val="22"/>
        </w:rPr>
        <w:t xml:space="preserve">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The authorisation becomes active only when the number of valid approvals reaches the required threshold.</w:t>
      </w:r>
      <w:r>
        <w:rPr>
          <w:rFonts w:ascii="Times New Roman" w:cs="Times New Roman" w:eastAsia="Times New Roman" w:hAnsi="Times New Roman"/>
          <w:sz w:val="22"/>
          <w:szCs w:val="22"/>
        </w:rPr>
        <w:t xml:space="preserve"> In the HALAH implementation, as shown in Figure 10, the Guardian workflow verifies the guardian VC,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w:t>
      </w:r>
      <w:r>
        <w:rPr>
          <w:rFonts w:ascii="Times New Roman" w:cs="Times New Roman" w:eastAsia="Times New Roman" w:hAnsi="Times New Roman"/>
          <w:sz w:val="22"/>
          <w:szCs w:val="22"/>
        </w:rPr>
        <w:t xml:space="preserve">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r>
        <w:rPr>
          <w:rFonts w:ascii="Times New Roman" w:cs="Times New Roman" w:eastAsia="Times New Roman" w:hAnsi="Times New Roman"/>
          <w:sz w:val="22"/>
          <w:szCs w:val="22"/>
        </w:rPr>
        <w:t xml:space="preserve"> The blockchain layer provides persistence, traceability, and evidence of the resulting state.</w:t>
      </w:r>
    </w:p>
    <w:p>
      <w:pPr>
        <w:spacing w:after="110" w:line="264"/>
        <w:jc w:val="both"/>
      </w:pPr>
      <w:r>
        <w:rPr>
          <w:rFonts w:ascii="Times New Roman" w:cs="Times New Roman" w:eastAsia="Times New Roman" w:hAnsi="Times New Roman"/>
          <w:color w:val="00A000"/>
          <w:sz w:val="22"/>
          <w:szCs w:val="22"/>
        </w:rPr>
        <w:t xml:space="preserve">In the HALAH implementation, guardian authority is evidenced by an EIP-712 typed-data signature bound to the consent identifier, the guardian DID, and the Sepolia chain identifier, and verified through off-chain signer recovery.</w:t>
      </w:r>
      <w:r>
        <w:rPr>
          <w:rFonts w:ascii="Times New Roman" w:cs="Times New Roman" w:eastAsia="Times New Roman" w:hAnsi="Times New Roman"/>
          <w:color w:val="00A000"/>
          <w:sz w:val="22"/>
          <w:szCs w:val="22"/>
        </w:rPr>
        <w:t xml:space="preserve"> The preceding VC verification is presently a DID-format check, and the signing keys are derived deterministically from the guardian DIDs rather than held in wallets, which is a limitation of the prototype.</w:t>
      </w:r>
      <w:r>
        <w:rPr>
          <w:rFonts w:ascii="Times New Roman" w:cs="Times New Roman" w:eastAsia="Times New Roman" w:hAnsi="Times New Roman"/>
          <w:color w:val="00A000"/>
          <w:sz w:val="22"/>
          <w:szCs w:val="22"/>
        </w:rPr>
        <w:t xml:space="preserve"> At access time, the recovery is repeated for every recorded signature within the identity predicate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w:t>
      </w:r>
      <w:r>
        <w:rPr>
          <w:rFonts w:ascii="Times New Roman" w:cs="Times New Roman" w:eastAsia="Times New Roman" w:hAnsi="Times New Roman"/>
          <w:sz w:val="22"/>
          <w:szCs w:val="22"/>
        </w:rPr>
        <w:t xml:space="preserve"> The system first retrieves the required participant set G associated with the consent object C.</w:t>
      </w:r>
      <w:r>
        <w:rPr>
          <w:rFonts w:ascii="Times New Roman" w:cs="Times New Roman" w:eastAsia="Times New Roman" w:hAnsi="Times New Roman"/>
          <w:sz w:val="22"/>
          <w:szCs w:val="22"/>
        </w:rPr>
        <w:t xml:space="preserve"> The system obtains the threshold value N, which specifies the minimum number of valid and distinct approvals required to activate the authorisation.</w:t>
      </w:r>
      <w:r>
        <w:rPr>
          <w:rFonts w:ascii="Times New Roman" w:cs="Times New Roman" w:eastAsia="Times New Roman" w:hAnsi="Times New Roman"/>
          <w:sz w:val="22"/>
          <w:szCs w:val="22"/>
        </w:rPr>
        <w:t xml:space="preserve"> The threshold must satisfy 1 ≤ N ≤ |G|.</w:t>
      </w:r>
      <w:r>
        <w:rPr>
          <w:rFonts w:ascii="Times New Roman" w:cs="Times New Roman" w:eastAsia="Times New Roman" w:hAnsi="Times New Roman"/>
          <w:sz w:val="22"/>
          <w:szCs w:val="22"/>
        </w:rPr>
        <w:t xml:space="preserve"> The threshold therefore determines how many eligible participants must independently approve the consent before the authorisation becomes active.</w:t>
      </w:r>
      <w:r>
        <w:rPr>
          <w:rFonts w:ascii="Times New Roman" w:cs="Times New Roman" w:eastAsia="Times New Roman" w:hAnsi="Times New Roman"/>
          <w:sz w:val="22"/>
          <w:szCs w:val="22"/>
        </w:rPr>
        <w:t xml:space="preserve"> The approval a is not considered valid until the identity and authority of the submitting participant have been verified.</w:t>
      </w:r>
      <w:r>
        <w:rPr>
          <w:rFonts w:ascii="Times New Roman" w:cs="Times New Roman" w:eastAsia="Times New Roman" w:hAnsi="Times New Roman"/>
          <w:sz w:val="22"/>
          <w:szCs w:val="22"/>
        </w:rPr>
        <w:t xml:space="preserve"> The verification process may invoke the DID and VC verification procedure described in Algorithm 2.</w:t>
      </w:r>
      <w:r>
        <w:rPr>
          <w:rFonts w:ascii="Times New Roman" w:cs="Times New Roman" w:eastAsia="Times New Roman" w:hAnsi="Times New Roman"/>
          <w:sz w:val="22"/>
          <w:szCs w:val="22"/>
        </w:rPr>
        <w:t xml:space="preserve"> If the verification fails, the approval is classified as invalid.</w:t>
      </w:r>
      <w:r>
        <w:rPr>
          <w:rFonts w:ascii="Times New Roman" w:cs="Times New Roman" w:eastAsia="Times New Roman" w:hAnsi="Times New Roman"/>
          <w:sz w:val="22"/>
          <w:szCs w:val="22"/>
        </w:rPr>
        <w:t xml:space="preserve">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w:t>
      </w:r>
      <w:r>
        <w:rPr>
          <w:rFonts w:ascii="Times New Roman" w:cs="Times New Roman" w:eastAsia="Times New Roman" w:hAnsi="Times New Roman"/>
          <w:sz w:val="22"/>
          <w:szCs w:val="22"/>
        </w:rPr>
        <w:t xml:space="preserve"> The system checks whether the participant has already approved consent object C.</w:t>
      </w:r>
      <w:r>
        <w:rPr>
          <w:rFonts w:ascii="Times New Roman" w:cs="Times New Roman" w:eastAsia="Times New Roman" w:hAnsi="Times New Roman"/>
          <w:sz w:val="22"/>
          <w:szCs w:val="22"/>
        </w:rPr>
        <w:t xml:space="preserve"> This prevents a single participant from submitting multiple approvals and artificially satisfying the threshold.</w:t>
      </w:r>
      <w:r>
        <w:rPr>
          <w:rFonts w:ascii="Times New Roman" w:cs="Times New Roman" w:eastAsia="Times New Roman" w:hAnsi="Times New Roman"/>
          <w:sz w:val="22"/>
          <w:szCs w:val="22"/>
        </w:rPr>
        <w:t xml:space="preserve"> Only approvals that have passed identity, authority, membership, and duplicate checks are 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w:t>
      </w:r>
      <w:r>
        <w:rPr>
          <w:rFonts w:ascii="Times New Roman" w:cs="Times New Roman" w:eastAsia="Times New Roman" w:hAnsi="Times New Roman"/>
          <w:sz w:val="22"/>
          <w:szCs w:val="22"/>
        </w:rPr>
        <w:t xml:space="preserve"> The system activates the authorisation associated with consent object C.</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w:t>
      </w:r>
      <w:r>
        <w:rPr>
          <w:rFonts w:ascii="Times New Roman" w:cs="Times New Roman" w:eastAsia="Times New Roman" w:hAnsi="Times New Roman"/>
          <w:sz w:val="22"/>
          <w:szCs w:val="22"/>
        </w:rPr>
        <w:t xml:space="preserve"> The evidence may include the consent identifier, threshold value N, identities of the approving participants, and approval timestamps.</w:t>
      </w:r>
      <w:r>
        <w:rPr>
          <w:rFonts w:ascii="Times New Roman" w:cs="Times New Roman" w:eastAsia="Times New Roman" w:hAnsi="Times New Roman"/>
          <w:sz w:val="22"/>
          <w:szCs w:val="22"/>
        </w:rPr>
        <w:t xml:space="preserve"> The system records a threshold-satisfied event.</w:t>
      </w:r>
      <w:r>
        <w:rPr>
          <w:rFonts w:ascii="Times New Roman" w:cs="Times New Roman" w:eastAsia="Times New Roman" w:hAnsi="Times New Roman"/>
          <w:sz w:val="22"/>
          <w:szCs w:val="22"/>
        </w:rPr>
        <w:t xml:space="preserve">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w:t>
      </w:r>
      <w:r>
        <w:rPr>
          <w:rFonts w:ascii="Times New Roman" w:cs="Times New Roman" w:eastAsia="Times New Roman" w:hAnsi="Times New Roman"/>
          <w:sz w:val="22"/>
          <w:szCs w:val="22"/>
        </w:rPr>
        <w:t xml:space="preserve">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w:t>
      </w:r>
      <w:r>
        <w:rPr>
          <w:rFonts w:ascii="Times New Roman" w:cs="Times New Roman" w:eastAsia="Times New Roman" w:hAnsi="Times New Roman"/>
          <w:sz w:val="22"/>
          <w:szCs w:val="22"/>
        </w:rPr>
        <w:t xml:space="preserve"> Instead, only valid, authorised, eligible, and non-duplicate approvals contribute to the threshold.</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An individual approval represents one participant’s contribution to the decision, whereas authorisation is activated only when the collective evidence satisfies the predefined threshold.</w:t>
      </w:r>
      <w:r>
        <w:rPr>
          <w:rFonts w:ascii="Times New Roman" w:cs="Times New Roman" w:eastAsia="Times New Roman" w:hAnsi="Times New Roman"/>
          <w:sz w:val="22"/>
          <w:szCs w:val="22"/>
        </w:rPr>
        <w:t xml:space="preserve">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w:t>
      </w:r>
      <w:r>
        <w:rPr>
          <w:rFonts w:ascii="Times New Roman" w:cs="Times New Roman" w:eastAsia="Times New Roman" w:hAnsi="Times New Roman"/>
          <w:sz w:val="22"/>
          <w:szCs w:val="22"/>
        </w:rPr>
        <w:t xml:space="preserve">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w:t>
      </w:r>
      <w:r>
        <w:rPr>
          <w:rFonts w:ascii="Times New Roman" w:cs="Times New Roman" w:eastAsia="Times New Roman" w:hAnsi="Times New Roman"/>
          <w:sz w:val="22"/>
          <w:szCs w:val="22"/>
        </w:rPr>
        <w:t xml:space="preserve"> Therefore, a single participant cannot unilaterally activate the consent when the threshold has not been satisfied.</w:t>
      </w:r>
      <w:r>
        <w:rPr>
          <w:rFonts w:ascii="Times New Roman" w:cs="Times New Roman" w:eastAsia="Times New Roman" w:hAnsi="Times New Roman"/>
          <w:color w:val="00A000"/>
          <w:sz w:val="22"/>
          <w:szCs w:val="22"/>
        </w:rPr>
        <w:t xml:space="preserve"> In the prototype, the on-chain mint is submitted as a background job through the owner account, and the contract stores keccak256(P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rather than the purpose itself.</w:t>
      </w:r>
      <w:r>
        <w:rPr>
          <w:rFonts w:ascii="Times New Roman" w:cs="Times New Roman" w:eastAsia="Times New Roman" w:hAnsi="Times New Roman"/>
          <w:color w:val="00A000"/>
          <w:sz w:val="22"/>
          <w:szCs w:val="22"/>
        </w:rPr>
        <w:t xml:space="preserve"> Activation is distinct from the access decision.</w:t>
      </w:r>
      <w:r>
        <w:rPr>
          <w:rFonts w:ascii="Times New Roman" w:cs="Times New Roman" w:eastAsia="Times New Roman" w:hAnsi="Times New Roman"/>
          <w:sz w:val="22"/>
          <w:szCs w:val="22"/>
        </w:rPr>
        <w:t xml:space="preserve">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w:t>
      </w:r>
      <w:r>
        <w:rPr>
          <w:rFonts w:ascii="Times New Roman" w:cs="Times New Roman" w:eastAsia="Times New Roman" w:hAnsi="Times New Roman"/>
          <w:sz w:val="22"/>
          <w:szCs w:val="22"/>
        </w:rPr>
        <w:t xml:space="preserve">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w:t>
      </w:r>
      <w:r>
        <w:rPr>
          <w:rFonts w:ascii="Times New Roman" w:cs="Times New Roman" w:eastAsia="Times New Roman" w:hAnsi="Times New Roman"/>
          <w:sz w:val="22"/>
          <w:szCs w:val="22"/>
        </w:rPr>
        <w:t xml:space="preserve">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color w:val="00A000"/>
          <w:sz w:val="22"/>
          <w:szCs w:val="22"/>
        </w:rPr>
        <w:t xml:space="preserve"> 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w:t>
      </w:r>
      <w:r>
        <w:rPr>
          <w:rFonts w:ascii="Times New Roman" w:cs="Times New Roman" w:eastAsia="Times New Roman" w:hAnsi="Times New Roman"/>
          <w:color w:val="00A000"/>
          <w:sz w:val="22"/>
          <w:szCs w:val="22"/>
        </w:rPr>
        <w:t xml:space="preserve"> The implemented threshold is derived from the designated guardian set as N = |G|, and the prototype therefore enforces an N-of-N instantiation of Equation (8) and has been evaluated in the 2-of-2 configuration.</w:t>
      </w:r>
      <w:r>
        <w:rPr>
          <w:rFonts w:ascii="Times New Roman" w:cs="Times New Roman" w:eastAsia="Times New Roman" w:hAnsi="Times New Roman"/>
          <w:color w:val="00A000"/>
          <w:sz w:val="22"/>
          <w:szCs w:val="22"/>
        </w:rPr>
        <w:t xml:space="preserve"> The unit-level adversarial tests include an approval from a signer outside G and a repeated approval from the same guardian, and before the hardening of 1 October 2026, both attacks were blocked only by the interface.</w:t>
      </w:r>
      <w:r>
        <w:rPr>
          <w:rFonts w:ascii="Times New Roman" w:cs="Times New Roman" w:eastAsia="Times New Roman" w:hAnsi="Times New Roman"/>
          <w:color w:val="00A000"/>
          <w:sz w:val="22"/>
          <w:szCs w:val="22"/>
        </w:rPr>
        <w:t xml:space="preserve"> However, since that hardening, the decision rule and the lifecycle evaluation count only distinct approvals from members of G towards N, and both attacks are refused.</w:t>
      </w:r>
      <w:r>
        <w:rPr>
          <w:rFonts w:ascii="Times New Roman" w:cs="Times New Roman" w:eastAsia="Times New Roman" w:hAnsi="Times New Roman"/>
          <w:color w:val="00A000"/>
          <w:sz w:val="22"/>
          <w:szCs w:val="22"/>
        </w:rPr>
        <w:t xml:space="preserve">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the current stage.</w:t>
      </w:r>
      <w:r>
        <w:rPr>
          <w:rFonts w:ascii="Times New Roman" w:cs="Times New Roman" w:eastAsia="Times New Roman" w:hAnsi="Times New Roman"/>
          <w:sz w:val="22"/>
          <w:szCs w:val="22"/>
        </w:rPr>
        <w:t xml:space="preserve"> The objective is to ensure that an otherwise valid requester cannot access healthcare information outside the purpose and data scope authorised by the consent.</w:t>
      </w:r>
      <w:r>
        <w:rPr>
          <w:rFonts w:ascii="Times New Roman" w:cs="Times New Roman" w:eastAsia="Times New Roman" w:hAnsi="Times New Roman"/>
          <w:sz w:val="22"/>
          <w:szCs w:val="22"/>
        </w:rPr>
        <w:t xml:space="preserve"> RO4 develops a policy-aware access-control mechanism capable of evaluating purpose and data-scope constraints before an access decision is issued.</w:t>
      </w:r>
      <w:r>
        <w:rPr>
          <w:rFonts w:ascii="Times New Roman" w:cs="Times New Roman" w:eastAsia="Times New Roman" w:hAnsi="Times New Roman"/>
          <w:sz w:val="22"/>
          <w:szCs w:val="22"/>
        </w:rPr>
        <w:t xml:space="preserve"> The objective is based on the observation that a valid identity and sufficient approval do not necessarily imply that every requested operation is permitted.</w:t>
      </w:r>
      <w:r>
        <w:rPr>
          <w:rFonts w:ascii="Times New Roman" w:cs="Times New Roman" w:eastAsia="Times New Roman" w:hAnsi="Times New Roman"/>
          <w:sz w:val="22"/>
          <w:szCs w:val="22"/>
        </w:rPr>
        <w:t xml:space="preserve">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color w:val="00A000"/>
          <w:sz w:val="22"/>
          <w:szCs w:val="22"/>
        </w:rPr>
        <w:t xml:space="preserve">The system evaluates whether the requested data scope S</w:t>
      </w:r>
      <w:r>
        <w:rPr>
          <w:rFonts w:ascii="Times New Roman" w:cs="Times New Roman" w:eastAsia="Times New Roman" w:hAnsi="Times New Roman"/>
          <w:color w:val="00A000"/>
          <w:sz w:val="22"/>
          <w:szCs w:val="22"/>
          <w:vertAlign w:val="subscript"/>
        </w:rPr>
        <w:t xml:space="preserve">R</w:t>
      </w:r>
      <w:r>
        <w:rPr>
          <w:rFonts w:ascii="Times New Roman" w:cs="Times New Roman" w:eastAsia="Times New Roman" w:hAnsi="Times New Roman"/>
          <w:color w:val="00A000"/>
          <w:sz w:val="22"/>
          <w:szCs w:val="22"/>
        </w:rPr>
        <w:t xml:space="preserve"> is non-empty and contained within the data scope authorised by the consent, denoted by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and Equation (14) defines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w:t>
      </w:r>
      <w:r>
        <w:rPr>
          <w:rFonts w:ascii="Times New Roman" w:cs="Times New Roman" w:eastAsia="Times New Roman" w:hAnsi="Times New Roman"/>
          <w:sz w:val="22"/>
          <w:szCs w:val="22"/>
        </w:rPr>
        <w:t xml:space="preserve"> This creates a conjunctive trust model in which the failure of any required condition prevents the final authorisation decision.</w:t>
      </w:r>
      <w:r>
        <w:rPr>
          <w:rFonts w:ascii="Times New Roman" w:cs="Times New Roman" w:eastAsia="Times New Roman" w:hAnsi="Times New Roman"/>
          <w:color w:val="00A000"/>
          <w:sz w:val="22"/>
          <w:szCs w:val="22"/>
        </w:rPr>
        <w:t xml:space="preserve"> In the current version, each request against an ACTIVE consent has its decision matrix recorded in the audit ledger with the GRANTED or DENIED outcome, although the three earliest grants of 22 September 2026 predate this logging.</w:t>
      </w:r>
      <w:r>
        <w:rPr>
          <w:rFonts w:ascii="Times New Roman" w:cs="Times New Roman" w:eastAsia="Times New Roman" w:hAnsi="Times New Roman"/>
          <w:sz w:val="22"/>
          <w:szCs w:val="22"/>
        </w:rPr>
        <w:t xml:space="preserve"> 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color w:val="00A000"/>
          <w:sz w:val="22"/>
          <w:szCs w:val="22"/>
        </w:rPr>
        <w:t xml:space="preserve">In the prototype, the matrix column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records the purpose check V</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only, while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is evaluated separately by the scope check of the doctor subsystem at request time.</w:t>
      </w:r>
      <w:r>
        <w:rPr>
          <w:rFonts w:ascii="Times New Roman" w:cs="Times New Roman" w:eastAsia="Times New Roman" w:hAnsi="Times New Roman"/>
          <w:color w:val="00A000"/>
          <w:sz w:val="22"/>
          <w:szCs w:val="22"/>
        </w:rPr>
        <w:t xml:space="preserv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w:t>
      </w:r>
      <w:r>
        <w:rPr>
          <w:rFonts w:ascii="Times New Roman" w:cs="Times New Roman" w:eastAsia="Times New Roman" w:hAnsi="Times New Roman"/>
          <w:sz w:val="22"/>
          <w:szCs w:val="22"/>
        </w:rPr>
        <w:t xml:space="preserve"> The system retrieves the consent object and verifies the requesting participant.</w:t>
      </w:r>
      <w:r>
        <w:rPr>
          <w:rFonts w:ascii="Times New Roman" w:cs="Times New Roman" w:eastAsia="Times New Roman" w:hAnsi="Times New Roman"/>
          <w:sz w:val="22"/>
          <w:szCs w:val="22"/>
        </w:rPr>
        <w:t xml:space="preserve"> It then checks whether the required multi-party authorisation has been established.</w:t>
      </w:r>
      <w:r>
        <w:rPr>
          <w:rFonts w:ascii="Times New Roman" w:cs="Times New Roman" w:eastAsia="Times New Roman" w:hAnsi="Times New Roman"/>
          <w:sz w:val="22"/>
          <w:szCs w:val="22"/>
        </w:rPr>
        <w:t xml:space="preserve"> After the identity and authorisation conditions are satisfied, the system evaluates the requested purpose and data scope.</w:t>
      </w:r>
      <w:r>
        <w:rPr>
          <w:rFonts w:ascii="Times New Roman" w:cs="Times New Roman" w:eastAsia="Times New Roman" w:hAnsi="Times New Roman"/>
          <w:sz w:val="22"/>
          <w:szCs w:val="22"/>
        </w:rPr>
        <w:t xml:space="preserve"> The HALAH implementation provides a concrete basis for this objective.</w:t>
      </w:r>
      <w:r>
        <w:rPr>
          <w:rFonts w:ascii="Times New Roman" w:cs="Times New Roman" w:eastAsia="Times New Roman" w:hAnsi="Times New Roman"/>
          <w:sz w:val="22"/>
          <w:szCs w:val="22"/>
        </w:rPr>
        <w:t xml:space="preserve"> As shown in Figure 11,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w:t>
      </w:r>
      <w:r>
        <w:rPr>
          <w:rFonts w:ascii="Times New Roman" w:cs="Times New Roman" w:eastAsia="Times New Roman" w:hAnsi="Times New Roman"/>
          <w:sz w:val="22"/>
          <w:szCs w:val="22"/>
        </w:rPr>
        <w:t xml:space="preserve"> This rule prevents a legitimate participant from obtaining data outside the patient's authorised scope.</w:t>
      </w:r>
      <w:r>
        <w:rPr>
          <w:rFonts w:ascii="Times New Roman" w:cs="Times New Roman" w:eastAsia="Times New Roman" w:hAnsi="Times New Roman"/>
          <w:sz w:val="22"/>
          <w:szCs w:val="22"/>
        </w:rPr>
        <w:t xml:space="preserve"> If the requested data exceeds the authorised scope, the request must be rejected even if the requester has successfully authenticated and the required number of participants has approved the consent.</w:t>
      </w:r>
      <w:r>
        <w:rPr>
          <w:rFonts w:ascii="Times New Roman" w:cs="Times New Roman" w:eastAsia="Times New Roman" w:hAnsi="Times New Roman"/>
          <w:sz w:val="22"/>
          <w:szCs w:val="22"/>
        </w:rPr>
        <w:t xml:space="preserv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w:t>
      </w:r>
      <w:r>
        <w:rPr>
          <w:rFonts w:ascii="Times New Roman" w:cs="Times New Roman" w:eastAsia="Times New Roman" w:hAnsi="Times New Roman"/>
          <w:sz w:val="22"/>
          <w:szCs w:val="22"/>
        </w:rPr>
        <w:t xml:space="preserve"> If any mandatory condition fails during the evaluation process, the system returns DENY and records the corresponding denial evidence. 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w:t>
      </w:r>
      <w:r>
        <w:rPr>
          <w:rFonts w:ascii="Times New Roman" w:cs="Times New Roman" w:eastAsia="Times New Roman" w:hAnsi="Times New Roman"/>
          <w:sz w:val="22"/>
          <w:szCs w:val="22"/>
        </w:rPr>
        <w:t xml:space="preserve"> 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w:t>
      </w:r>
      <w:r>
        <w:rPr>
          <w:rFonts w:ascii="Times New Roman" w:cs="Times New Roman" w:eastAsia="Times New Roman" w:hAnsi="Times New Roman"/>
          <w:sz w:val="22"/>
          <w:szCs w:val="22"/>
        </w:rPr>
        <w:t xml:space="preserve"> The system must not only determine whether a consent exists, but also evaluate whether the current request satisfies the consent's scope and purpose constraints.</w:t>
      </w:r>
      <w:r>
        <w:rPr>
          <w:rFonts w:ascii="Times New Roman" w:cs="Times New Roman" w:eastAsia="Times New Roman" w:hAnsi="Times New Roman"/>
          <w:sz w:val="22"/>
          <w:szCs w:val="22"/>
        </w:rPr>
        <w:t xml:space="preserve"> The decision is based on the conjunction of identity validity, active consent, sufficient multi-party approval, purpose compatibility, scope containment, temporal validity, and jurisdictional match.</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prevents a mismatch between the policy decision and the actual data returned to the requester.</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requires the evidence supporting the access decision to be a Groth16 zero-knowledge proof that has verified</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color w:val="00A000"/>
          <w:sz w:val="22"/>
          <w:szCs w:val="22"/>
        </w:rPr>
        <w:t xml:space="preserve"> The proof shows that the prover knows the secret and the expiry time behind a Poseidon commitment </w:t>
      </w:r>
      <w:r>
        <w:rPr>
          <w:rFonts w:ascii="Times New Roman" w:cs="Times New Roman" w:eastAsia="Times New Roman" w:hAnsi="Times New Roman"/>
          <w:color w:val="00A000"/>
          <w:sz w:val="22"/>
          <w:szCs w:val="22"/>
        </w:rPr>
        <w:t xml:space="preserve">(Grassi et al. 2021)</w:t>
      </w:r>
      <w:r>
        <w:rPr>
          <w:rFonts w:ascii="Times New Roman" w:cs="Times New Roman" w:eastAsia="Times New Roman" w:hAnsi="Times New Roman"/>
          <w:color w:val="00A000"/>
          <w:sz w:val="22"/>
          <w:szCs w:val="22"/>
        </w:rPr>
        <w:t xml:space="preserve"> held in the application's consent record, and that the consent has not expired at time t.</w:t>
      </w:r>
      <w:r>
        <w:rPr>
          <w:rFonts w:ascii="Times New Roman" w:cs="Times New Roman" w:eastAsia="Times New Roman" w:hAnsi="Times New Roman"/>
          <w:color w:val="00A000"/>
          <w:sz w:val="22"/>
          <w:szCs w:val="22"/>
        </w:rPr>
        <w:t xml:space="preserve"> The proof mode is recorded with the decision in the audit ledger, and the proof constitutes the access evidence required by Algorithm 4 before any data are retrieved.</w:t>
      </w:r>
      <w:r>
        <w:rPr>
          <w:rFonts w:ascii="Times New Roman" w:cs="Times New Roman" w:eastAsia="Times New Roman" w:hAnsi="Times New Roman"/>
          <w:sz w:val="22"/>
          <w:szCs w:val="22"/>
        </w:rPr>
        <w:t xml:space="preserve">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color w:val="00A000"/>
          <w:sz w:val="22"/>
          <w:szCs w:val="22"/>
        </w:rPr>
        <w:t xml:space="preserve">In the demonstrated prototype, the doctor does not declare a separate request purpose.</w:t>
      </w:r>
      <w:r>
        <w:rPr>
          <w:rFonts w:ascii="Times New Roman" w:cs="Times New Roman" w:eastAsia="Times New Roman" w:hAnsi="Times New Roman"/>
          <w:sz w:val="22"/>
          <w:szCs w:val="22"/>
        </w:rPr>
        <w:t xml:space="preserve"> The consent purpose is validated to ensure that the purpose is explicitly specified and conforms to the supported healthcare-use policies of Treatment, Research, and Emergency.</w:t>
      </w:r>
      <w:r>
        <w:rPr>
          <w:rFonts w:ascii="Times New Roman" w:cs="Times New Roman" w:eastAsia="Times New Roman" w:hAnsi="Times New Roman"/>
          <w:sz w:val="22"/>
          <w:szCs w:val="22"/>
        </w:rPr>
        <w:t xml:space="preserve"> The purpose is subsequently bound to the consent object as keccak256(purpose) stored on-chain.</w:t>
      </w:r>
      <w:r>
        <w:rPr>
          <w:rFonts w:ascii="Times New Roman" w:cs="Times New Roman" w:eastAsia="Times New Roman" w:hAnsi="Times New Roman"/>
          <w:sz w:val="22"/>
          <w:szCs w:val="22"/>
        </w:rPr>
        <w:t xml:space="preserv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w:t>
      </w:r>
      <w:r>
        <w:rPr>
          <w:rFonts w:ascii="Times New Roman" w:cs="Times New Roman" w:eastAsia="Times New Roman" w:hAnsi="Times New Roman"/>
          <w:sz w:val="22"/>
          <w:szCs w:val="22"/>
        </w:rPr>
        <w:t xml:space="preserve">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color w:val="00A000"/>
          <w:sz w:val="22"/>
          <w:szCs w:val="22"/>
        </w:rPr>
        <w:t xml:space="preserve">The denial for a consent that is not ACTIVE is reported in the doctor interface but is not written to the audit ledger in the current prototype.</w:t>
      </w:r>
      <w:r>
        <w:rPr>
          <w:rFonts w:ascii="Times New Roman" w:cs="Times New Roman" w:eastAsia="Times New Roman" w:hAnsi="Times New Roman"/>
          <w:color w:val="00A000"/>
          <w:sz w:val="22"/>
          <w:szCs w:val="22"/>
        </w:rPr>
        <w:t xml:space="preserv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w:t>
      </w:r>
      <w:r>
        <w:rPr>
          <w:rFonts w:ascii="Times New Roman" w:cs="Times New Roman" w:eastAsia="Times New Roman" w:hAnsi="Times New Roman"/>
          <w:sz w:val="22"/>
          <w:szCs w:val="22"/>
        </w:rPr>
        <w:t xml:space="preserve"> RO4 represents the third layer of the framework beyond identity and multi-party approval.</w:t>
      </w:r>
      <w:r>
        <w:rPr>
          <w:rFonts w:ascii="Times New Roman" w:cs="Times New Roman" w:eastAsia="Times New Roman" w:hAnsi="Times New Roman"/>
          <w:color w:val="00A000"/>
          <w:sz w:val="22"/>
          <w:szCs w:val="22"/>
        </w:rPr>
        <w:t xml:space="preserve"> In the formal model,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evaluates to 0 for the over-scope request given above, and the prototype refuses such a request with the scope named as the failed check.</w:t>
      </w:r>
      <w:r>
        <w:rPr>
          <w:rFonts w:ascii="Times New Roman" w:cs="Times New Roman" w:eastAsia="Times New Roman" w:hAnsi="Times New Roman"/>
          <w:sz w:val="22"/>
          <w:szCs w:val="22"/>
        </w:rPr>
        <w:t xml:space="preserve"> The interface itself allows a requested scope to be selected from the consent scope only.</w:t>
      </w:r>
      <w:r>
        <w:rPr>
          <w:rFonts w:ascii="Times New Roman" w:cs="Times New Roman" w:eastAsia="Times New Roman" w:hAnsi="Times New Roman"/>
          <w:sz w:val="22"/>
          <w:szCs w:val="22"/>
        </w:rPr>
        <w:t xml:space="preserve"> The unit-level adversarial tests verify that a participant cannot obtain healthcare resources outside the scope authorised by the patient's consent, even when the participant possesses a valid identity and authority credential.</w:t>
      </w:r>
      <w:r>
        <w:rPr>
          <w:rFonts w:ascii="Times New Roman" w:cs="Times New Roman" w:eastAsia="Times New Roman" w:hAnsi="Times New Roman"/>
          <w:sz w:val="22"/>
          <w:szCs w:val="22"/>
        </w:rPr>
        <w:t xml:space="preserve"> The adversarial test set matters because a framework must show that legitimate requests succeed and that foreseeable attempts to bypass its security controls fail.</w:t>
      </w:r>
      <w:r>
        <w:rPr>
          <w:rFonts w:ascii="Times New Roman" w:cs="Times New Roman" w:eastAsia="Times New Roman" w:hAnsi="Times New Roman"/>
          <w:color w:val="00A000"/>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color w:val="00A000"/>
          <w:sz w:val="22"/>
          <w:szCs w:val="22"/>
        </w:rPr>
        <w:t xml:space="preserve">Every denial names the failed checks in the interface.</w:t>
      </w:r>
      <w:r>
        <w:rPr>
          <w:rFonts w:ascii="Times New Roman" w:cs="Times New Roman" w:eastAsia="Times New Roman" w:hAnsi="Times New Roman"/>
          <w:sz w:val="22"/>
          <w:szCs w:val="22"/>
        </w:rPr>
        <w:t xml:space="preserve"> Each consent specification and access request is accepted only when the required fields are valid.</w:t>
      </w:r>
      <w:r>
        <w:rPr>
          <w:rFonts w:ascii="Times New Roman" w:cs="Times New Roman" w:eastAsia="Times New Roman" w:hAnsi="Times New Roman"/>
          <w:color w:val="00A000"/>
          <w:sz w:val="22"/>
          <w:szCs w:val="22"/>
        </w:rPr>
        <w:t xml:space="preserve"> Malformed identifiers, scopes, and jurisdictions therefore do not reach the decision logic.</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w:t>
      </w:r>
      <w:r>
        <w:rPr>
          <w:rFonts w:ascii="Times New Roman" w:cs="Times New Roman" w:eastAsia="Times New Roman" w:hAnsi="Times New Roman"/>
          <w:sz w:val="22"/>
          <w:szCs w:val="22"/>
        </w:rPr>
        <w:t xml:space="preserve">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r>
        <w:rPr>
          <w:rFonts w:ascii="Times New Roman" w:cs="Times New Roman" w:eastAsia="Times New Roman" w:hAnsi="Times New Roman"/>
          <w:sz w:val="22"/>
          <w:szCs w:val="22"/>
        </w:rPr>
        <w:t xml:space="preserve"> This architecture transforms healthcare data access from a simple credential-based permission check into an evidence-based authorisation process.</w:t>
      </w:r>
      <w:r>
        <w:rPr>
          <w:rFonts w:ascii="Times New Roman" w:cs="Times New Roman" w:eastAsia="Times New Roman" w:hAnsi="Times New Roman"/>
          <w:sz w:val="22"/>
          <w:szCs w:val="22"/>
        </w:rPr>
        <w:t xml:space="preserve"> Consent therefore becomes an active authorisation constraint rather than a historical indication that a participant was once granted permission.</w:t>
      </w:r>
      <w:r>
        <w:rPr>
          <w:rFonts w:ascii="Times New Roman" w:cs="Times New Roman" w:eastAsia="Times New Roman" w:hAnsi="Times New Roman"/>
          <w:sz w:val="22"/>
          <w:szCs w:val="22"/>
        </w:rPr>
        <w:t xml:space="preserve">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w:t>
      </w:r>
      <w:r>
        <w:rPr>
          <w:rFonts w:ascii="Times New Roman" w:cs="Times New Roman" w:eastAsia="Times New Roman" w:hAnsi="Times New Roman"/>
          <w:sz w:val="22"/>
          <w:szCs w:val="22"/>
        </w:rPr>
        <w:t xml:space="preserve"> This objective was originally planned for the next stage because it investigates how an authorisation remains trustworthy as time passes and as the consent state changes.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w:t>
      </w:r>
      <w:r>
        <w:rPr>
          <w:rFonts w:ascii="Times New Roman" w:cs="Times New Roman" w:eastAsia="Times New Roman" w:hAnsi="Times New Roman"/>
          <w:sz w:val="22"/>
          <w:szCs w:val="22"/>
        </w:rPr>
        <w:t xml:space="preserv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sz w:val="22"/>
          <w:szCs w:val="22"/>
        </w:rPr>
        <w:t xml:space="preserve">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color w:val="00A000"/>
          <w:sz w:val="22"/>
          <w:szCs w:val="22"/>
        </w:rPr>
        <w:t xml:space="preserve">Equation (21) defines the jurisdictional predicate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which compares the jurisdiction of request R with the consent jurisdiction L, 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w:t>
      </w:r>
      <w:r>
        <w:rPr>
          <w:rFonts w:ascii="Times New Roman" w:cs="Times New Roman" w:eastAsia="Times New Roman" w:hAnsi="Times New Roman"/>
          <w:color w:val="00A000"/>
          <w:sz w:val="22"/>
          <w:szCs w:val="22"/>
        </w:rPr>
        <w:t xml:space="preserve"> The disjunct Jur(C) = ∅ is therefore not reached for any consent created through the current interface, and the predicate reduces to strict equality.</w:t>
      </w:r>
      <w:r>
        <w:rPr>
          <w:rFonts w:ascii="Times New Roman" w:cs="Times New Roman" w:eastAsia="Times New Roman" w:hAnsi="Times New Roman"/>
          <w:color w:val="00A000"/>
          <w:sz w:val="22"/>
          <w:szCs w:val="22"/>
        </w:rPr>
        <w:t xml:space="preserve"> As in Section 5.2, revocation and the token state remain part of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while the time-based states are evaluated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w:t>
      </w:r>
      <w:r>
        <w:rPr>
          <w:rFonts w:ascii="Times New Roman" w:cs="Times New Roman" w:eastAsia="Times New Roman" w:hAnsi="Times New Roman"/>
          <w:sz w:val="22"/>
          <w:szCs w:val="22"/>
        </w:rPr>
        <w:t xml:space="preserve"> The extended authorisation decision is therefore given by Equation (22).</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w:t>
      </w:r>
      <w:r>
        <w:rPr>
          <w:rFonts w:ascii="Times New Roman" w:cs="Times New Roman" w:eastAsia="Times New Roman" w:hAnsi="Times New Roman"/>
          <w:sz w:val="22"/>
          <w:szCs w:val="22"/>
        </w:rPr>
        <w:t xml:space="preserve"> A consent that was valid when initially approved may subsequently become invalid due to expiration or revocation.</w:t>
      </w:r>
      <w:r>
        <w:rPr>
          <w:rFonts w:ascii="Times New Roman" w:cs="Times New Roman" w:eastAsia="Times New Roman" w:hAnsi="Times New Roman"/>
          <w:sz w:val="22"/>
          <w:szCs w:val="22"/>
        </w:rPr>
        <w:t xml:space="preserve"> This establishes that consent validity is not a static property.</w:t>
      </w:r>
      <w:r>
        <w:rPr>
          <w:rFonts w:ascii="Times New Roman" w:cs="Times New Roman" w:eastAsia="Times New Roman" w:hAnsi="Times New Roman"/>
          <w:sz w:val="22"/>
          <w:szCs w:val="22"/>
        </w:rPr>
        <w:t xml:space="preserve"> The purpose of RO5 is not simply to add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sz w:val="22"/>
          <w:szCs w:val="22"/>
        </w:rPr>
        <w:t xml:space="preserve">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w:t>
      </w:r>
      <w:r>
        <w:rPr>
          <w:rFonts w:ascii="Times New Roman" w:cs="Times New Roman" w:eastAsia="Times New Roman" w:hAnsi="Times New Roman"/>
          <w:sz w:val="22"/>
          <w:szCs w:val="22"/>
        </w:rPr>
        <w:t xml:space="preserve"> This design ensures that a consent is not treated as permanently valid after it has expired or entered a state that no longer permits access.</w:t>
      </w:r>
      <w:r>
        <w:rPr>
          <w:rFonts w:ascii="Times New Roman" w:cs="Times New Roman" w:eastAsia="Times New Roman" w:hAnsi="Times New Roman"/>
          <w:sz w:val="22"/>
          <w:szCs w:val="22"/>
        </w:rPr>
        <w:t xml:space="preserve"> Temporal conditions and lifecycle state are represented in the Model, while their validity is evaluated by the Controller before an access decision is produced.</w:t>
      </w:r>
      <w:r>
        <w:rPr>
          <w:rFonts w:ascii="Times New Roman" w:cs="Times New Roman" w:eastAsia="Times New Roman" w:hAnsi="Times New Roman"/>
          <w:color w:val="00A000"/>
          <w:sz w:val="22"/>
          <w:szCs w:val="22"/>
        </w:rPr>
        <w:t xml:space="preserve"> The Consent Engine evaluates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w:t>
      </w:r>
      <w:r>
        <w:rPr>
          <w:rFonts w:ascii="Times New Roman" w:cs="Times New Roman" w:eastAsia="Times New Roman" w:hAnsi="Times New Roman"/>
          <w:sz w:val="22"/>
          <w:szCs w:val="22"/>
        </w:rPr>
        <w:t xml:space="preserve"> This step prevents a consent from being used before its effective start time or after its expiration time.</w:t>
      </w:r>
      <w:r>
        <w:rPr>
          <w:rFonts w:ascii="Times New Roman" w:cs="Times New Roman" w:eastAsia="Times New Roman" w:hAnsi="Times New Roman"/>
          <w:sz w:val="22"/>
          <w:szCs w:val="22"/>
        </w:rPr>
        <w:t xml:space="preserve"> At consent creation, the expiry time must be later than the start time.</w:t>
      </w:r>
      <w:r>
        <w:rPr>
          <w:rFonts w:ascii="Times New Roman" w:cs="Times New Roman" w:eastAsia="Times New Roman" w:hAnsi="Times New Roman"/>
          <w:sz w:val="22"/>
          <w:szCs w:val="22"/>
        </w:rPr>
        <w:t xml:space="preserv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color w:val="00A000"/>
          <w:sz w:val="22"/>
          <w:szCs w:val="22"/>
        </w:rPr>
        <w:t xml:space="preserve"> The patient's withdrawal is confirmed as a revoke transaction on Sepolia in block 11,771,307, after which the contract reports the token as no longer valid.</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For subsequent requests, the system explicitly checks whether consent object C has been revoked in the local store.</w:t>
      </w:r>
      <w:r>
        <w:rPr>
          <w:rFonts w:ascii="Times New Roman" w:cs="Times New Roman" w:eastAsia="Times New Roman" w:hAnsi="Times New Roman"/>
          <w:color w:val="00A000"/>
          <w:sz w:val="22"/>
          <w:szCs w:val="22"/>
        </w:rPr>
        <w:t xml:space="preserv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Lifecycle states.</w:t>
      </w:r>
      <w:r>
        <w:rPr>
          <w:rFonts w:ascii="Times New Roman" w:cs="Times New Roman" w:eastAsia="Times New Roman" w:hAnsi="Times New Roman"/>
          <w:color w:val="00A000"/>
          <w:sz w:val="22"/>
          <w:szCs w:val="22"/>
        </w:rPr>
        <w:t xml:space="preserve"> The lifecycle is an explicit state machine with six states PENDING_SIGNATURE, PENDING_TOKEN, NOT_STARTED, ACTIVE, EXPIRED, and REVOKED.</w:t>
      </w:r>
      <w:r>
        <w:rPr>
          <w:rFonts w:ascii="Times New Roman" w:cs="Times New Roman" w:eastAsia="Times New Roman" w:hAnsi="Times New Roman"/>
          <w:color w:val="00A000"/>
          <w:sz w:val="22"/>
          <w:szCs w:val="22"/>
        </w:rPr>
        <w:t xml:space="preserve"> Each evaluation derives the state from the distinct approvals of members of G, the token identifier, the revocation flag, and the current time. PENDING_TOKEN is the brief state between the last verified approval and the recording of the local token identifier</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At each evaluation, the system verifies that the consent has not expired, been revoked, or otherwise transitioned into an inactive state.</w:t>
      </w:r>
      <w:r>
        <w:rPr>
          <w:rFonts w:ascii="Times New Roman" w:cs="Times New Roman" w:eastAsia="Times New Roman" w:hAnsi="Times New Roman"/>
          <w:sz w:val="22"/>
          <w:szCs w:val="22"/>
        </w:rPr>
        <w:t xml:space="preserve"> The current state is used to determine whether the requested operation can legally and logically be performed.</w:t>
      </w:r>
    </w:p>
    <w:p>
      <w:pPr>
        <w:spacing w:after="110" w:line="264"/>
        <w:jc w:val="both"/>
      </w:pPr>
      <w:r>
        <w:rPr>
          <w:rFonts w:ascii="Times New Roman" w:cs="Times New Roman" w:eastAsia="Times New Roman" w:hAnsi="Times New Roman"/>
          <w:color w:val="00A000"/>
          <w:sz w:val="22"/>
          <w:szCs w:val="22"/>
        </w:rPr>
        <w:t xml:space="preserve">Figure 13 summarises the implemented lifecycle.</w:t>
      </w:r>
      <w:r>
        <w:rPr>
          <w:rFonts w:ascii="Times New Roman" w:cs="Times New Roman" w:eastAsia="Times New Roman" w:hAnsi="Times New Roman"/>
          <w:color w:val="00A000"/>
          <w:sz w:val="22"/>
          <w:szCs w:val="22"/>
        </w:rPr>
        <w:t xml:space="preserve"> Each STATE_CHECK event in the audit ledger, recorded at every access request evaluated against an ACTIVE consent, establishes an auditable relationship between the consent’s lifecycle state and the operation performed at a particular point in time.</w:t>
      </w:r>
      <w:r>
        <w:rPr>
          <w:rFonts w:ascii="Times New Roman" w:cs="Times New Roman" w:eastAsia="Times New Roman" w:hAnsi="Times New Roman"/>
          <w:sz w:val="22"/>
          <w:szCs w:val="22"/>
        </w:rPr>
        <w:t xml:space="preserve"> The system therefore checks whether authorisation is still valid at the time an operation is requested, instead of treating authorisation as a one-time event.</w:t>
      </w:r>
      <w:r>
        <w:rPr>
          <w:rFonts w:ascii="Times New Roman" w:cs="Times New Roman" w:eastAsia="Times New Roman" w:hAnsi="Times New Roman"/>
          <w:color w:val="00A000"/>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w:t>
      </w:r>
      <w:r>
        <w:rPr>
          <w:rFonts w:ascii="Times New Roman" w:cs="Times New Roman" w:eastAsia="Times New Roman" w:hAnsi="Times New Roman"/>
          <w:color w:val="00A000"/>
          <w:sz w:val="22"/>
          <w:szCs w:val="22"/>
        </w:rPr>
        <w:t xml:space="preserve"> Five elements remain for the next stage.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Consent modification.</w:t>
      </w:r>
      <w:r>
        <w:rPr>
          <w:rFonts w:ascii="Times New Roman" w:cs="Times New Roman" w:eastAsia="Times New Roman" w:hAnsi="Times New Roman"/>
          <w:color w:val="00A000"/>
          <w:sz w:val="22"/>
          <w:szCs w:val="22"/>
        </w:rPr>
        <w:t xml:space="preserve"> The current prototype assumes that the consent terms do not change after approval.</w:t>
      </w:r>
      <w:r>
        <w:rPr>
          <w:rFonts w:ascii="Times New Roman" w:cs="Times New Roman" w:eastAsia="Times New Roman" w:hAnsi="Times New Roman"/>
          <w:sz w:val="22"/>
          <w:szCs w:val="22"/>
        </w:rPr>
        <w:t xml:space="preserve"> The next stage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Guardian-set changes.</w:t>
      </w:r>
      <w:r>
        <w:rPr>
          <w:rFonts w:ascii="Times New Roman" w:cs="Times New Roman" w:eastAsia="Times New Roman" w:hAnsi="Times New Roman"/>
          <w:color w:val="00A000"/>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w:t>
      </w:r>
      <w:r>
        <w:rPr>
          <w:rFonts w:ascii="Times New Roman" w:cs="Times New Roman" w:eastAsia="Times New Roman" w:hAnsi="Times New Roman"/>
          <w:sz w:val="22"/>
          <w:szCs w:val="22"/>
        </w:rPr>
        <w:t xml:space="preserve"> If the transition is not permitted, the system will record an unauthorised state-transition event and return INVALID, but this check is not yet implemented.</w:t>
      </w:r>
      <w:r>
        <w:rPr>
          <w:rFonts w:ascii="Times New Roman" w:cs="Times New Roman" w:eastAsia="Times New Roman" w:hAnsi="Times New Roman"/>
          <w:sz w:val="22"/>
          <w:szCs w:val="22"/>
        </w:rPr>
        <w:t xml:space="preserve"> The implemented temporal and revocation checks already ensure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w:t>
      </w:r>
      <w:r>
        <w:rPr>
          <w:rFonts w:ascii="Times New Roman" w:cs="Times New Roman" w:eastAsia="Times New Roman" w:hAnsi="Times New Roman"/>
          <w:color w:val="00A000"/>
          <w:sz w:val="22"/>
          <w:szCs w:val="22"/>
        </w:rPr>
        <w:t xml:space="preserve">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w:t>
      </w:r>
      <w:r>
        <w:rPr>
          <w:rFonts w:ascii="Times New Roman" w:cs="Times New Roman" w:eastAsia="Times New Roman" w:hAnsi="Times New Roman"/>
          <w:color w:val="00A000"/>
          <w:sz w:val="22"/>
          <w:szCs w:val="22"/>
        </w:rPr>
        <w:t xml:space="preserve"> The lifecycle invariant will be verified by model checking of the state machine or by proof over the predicate definitions, with the formal component of RO6 in Section 11.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The main activities of the next stage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w:t>
      </w:r>
      <w:r>
        <w:rPr>
          <w:rFonts w:ascii="Times New Roman" w:cs="Times New Roman" w:eastAsia="Times New Roman" w:hAnsi="Times New Roman"/>
          <w:sz w:val="22"/>
          <w:szCs w:val="22"/>
        </w:rPr>
        <w:t xml:space="preserve"> The objective combines two complementary forms of assurance.</w:t>
      </w:r>
      <w:r>
        <w:rPr>
          <w:rFonts w:ascii="Times New Roman" w:cs="Times New Roman" w:eastAsia="Times New Roman" w:hAnsi="Times New Roman"/>
          <w:sz w:val="22"/>
          <w:szCs w:val="22"/>
        </w:rPr>
        <w:t xml:space="preserve"> Formal security assurance specifies the conditions under which the authorisation mechanism should be considered secure and consistent.</w:t>
      </w:r>
      <w:r>
        <w:rPr>
          <w:rFonts w:ascii="Times New Roman" w:cs="Times New Roman" w:eastAsia="Times New Roman" w:hAnsi="Times New Roman"/>
          <w:sz w:val="22"/>
          <w:szCs w:val="22"/>
        </w:rPr>
        <w:t xml:space="preserve"> Empirical validation evaluates whether the implemented system behaves according to those conditions.</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sz w:val="22"/>
          <w:szCs w:val="22"/>
        </w:rPr>
        <w:t xml:space="preserve"> RO6 is partially completed through the implementation and scenario-based validation of the HALAH prototype for RQ1 to RQ4.</w:t>
      </w:r>
      <w:r>
        <w:rPr>
          <w:rFonts w:ascii="Times New Roman" w:cs="Times New Roman" w:eastAsia="Times New Roman" w:hAnsi="Times New Roman"/>
          <w:sz w:val="22"/>
          <w:szCs w:val="22"/>
        </w:rPr>
        <w:t xml:space="preserve"> The complete formal analysis and comprehensive empirical validation 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w:t>
      </w:r>
      <w:r>
        <w:rPr>
          <w:rFonts w:ascii="Times New Roman" w:cs="Times New Roman" w:eastAsia="Times New Roman" w:hAnsi="Times New Roman"/>
          <w:sz w:val="22"/>
          <w:szCs w:val="22"/>
        </w:rPr>
        <w:t xml:space="preserve">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w:t>
      </w:r>
      <w:r>
        <w:rPr>
          <w:rFonts w:ascii="Times New Roman" w:cs="Times New Roman" w:eastAsia="Times New Roman" w:hAnsi="Times New Roman"/>
          <w:sz w:val="22"/>
          <w:szCs w:val="22"/>
        </w:rPr>
        <w:t xml:space="preserve">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w:t>
      </w:r>
      <w:r>
        <w:rPr>
          <w:rFonts w:ascii="Times New Roman" w:cs="Times New Roman" w:eastAsia="Times New Roman" w:hAnsi="Times New Roman"/>
          <w:sz w:val="22"/>
          <w:szCs w:val="22"/>
        </w:rPr>
        <w:t xml:space="preserve"> Otherwise, the scenario is classified as a validation failure.</w:t>
      </w:r>
      <w:r>
        <w:rPr>
          <w:rFonts w:ascii="Times New Roman" w:cs="Times New Roman" w:eastAsia="Times New Roman" w:hAnsi="Times New Roman"/>
          <w:sz w:val="22"/>
          <w:szCs w:val="22"/>
        </w:rPr>
        <w:t xml:space="preserve"> The framework is considered empirically consistent with the specified authorisation model when the observed decisions satisfy the expected outcomes across the defined validation scenarios and no critical security property is violated.</w:t>
      </w:r>
      <w:r>
        <w:rPr>
          <w:rFonts w:ascii="Times New Roman" w:cs="Times New Roman" w:eastAsia="Times New Roman" w:hAnsi="Times New Roman"/>
          <w:sz w:val="22"/>
          <w:szCs w:val="22"/>
        </w:rPr>
        <w:t xml:space="preserve"> 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color w:val="00A000"/>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Each of the five predicates of Equation (22) has a dedicated failure test, because successful operation under valid conditions alone cannot demonstrate that unauthorised access is reliably prevented.</w:t>
      </w:r>
      <w:r>
        <w:rPr>
          <w:rFonts w:ascii="Times New Roman" w:cs="Times New Roman" w:eastAsia="Times New Roman" w:hAnsi="Times New Roman"/>
          <w:sz w:val="22"/>
          <w:szCs w:val="22"/>
        </w:rPr>
        <w:t xml:space="preserve">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w:t>
      </w:r>
      <w:r>
        <w:rPr>
          <w:rFonts w:ascii="Times New Roman" w:cs="Times New Roman" w:eastAsia="Times New Roman" w:hAnsi="Times New Roman"/>
          <w:sz w:val="22"/>
          <w:szCs w:val="22"/>
        </w:rPr>
        <w:t xml:space="preserve"> Its 23 functional and regression tests examine whether access is denied when identity verification fails, when the required authorisation threshold is not satisfied, or when the requested purpose or data scope violates the consent policy.</w:t>
      </w:r>
      <w:r>
        <w:rPr>
          <w:rFonts w:ascii="Times New Roman" w:cs="Times New Roman" w:eastAsia="Times New Roman" w:hAnsi="Times New Roman"/>
          <w:color w:val="00A000"/>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w:t>
      </w:r>
      <w:r>
        <w:rPr>
          <w:rFonts w:ascii="Times New Roman" w:cs="Times New Roman" w:eastAsia="Times New Roman" w:hAnsi="Times New Roman"/>
          <w:color w:val="00A000"/>
          <w:sz w:val="22"/>
          <w:szCs w:val="22"/>
        </w:rPr>
        <w:t xml:space="preserve"> HALAH (History Access Link for Authorised Healthcare) is a role-based consent management platform.</w:t>
      </w:r>
      <w:r>
        <w:rPr>
          <w:rFonts w:ascii="Times New Roman" w:cs="Times New Roman" w:eastAsia="Times New Roman" w:hAnsi="Times New Roman"/>
          <w:sz w:val="22"/>
          <w:szCs w:val="22"/>
        </w:rPr>
        <w:t xml:space="preserve"> The current system includes separate patient, guardian, doctor, and auditor interfaces.</w:t>
      </w:r>
      <w:r>
        <w:rPr>
          <w:rFonts w:ascii="Times New Roman" w:cs="Times New Roman" w:eastAsia="Times New Roman" w:hAnsi="Times New Roman"/>
          <w:sz w:val="22"/>
          <w:szCs w:val="22"/>
        </w:rPr>
        <w:t xml:space="preserve"> It also records consent creation, guardian approval, token minting, state checks, and data-access events.</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 through ConsentSBTv3, compiled in Remix and deployed via MetaMask.</w:t>
      </w:r>
      <w:r>
        <w:rPr>
          <w:rFonts w:ascii="Times New Roman" w:cs="Times New Roman" w:eastAsia="Times New Roman" w:hAnsi="Times New Roman"/>
          <w:color w:val="00A000"/>
          <w:sz w:val="22"/>
          <w:szCs w:val="22"/>
        </w:rPr>
        <w:t xml:space="preserve"> Each token stores the pseudonymous patient and requester addresses, a hash of the purpose, the validity window, a two-letter jurisdiction code, and a revocation flag.</w:t>
      </w:r>
      <w:r>
        <w:rPr>
          <w:rFonts w:ascii="Times New Roman" w:cs="Times New Roman" w:eastAsia="Times New Roman" w:hAnsi="Times New Roman"/>
          <w:sz w:val="22"/>
          <w:szCs w:val="22"/>
        </w:rPr>
        <w:t xml:space="preserve"> The SBT, a soulbound ERC-721 token </w:t>
      </w:r>
      <w:r>
        <w:rPr>
          <w:rFonts w:ascii="Times New Roman" w:cs="Times New Roman" w:eastAsia="Times New Roman" w:hAnsi="Times New Roman"/>
          <w:sz w:val="22"/>
          <w:szCs w:val="22"/>
        </w:rPr>
        <w:t xml:space="preserve">(Entriken et al. 2018)</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rPr>
        <w:t xml:space="preserve">(Cai 2022)</w:t>
      </w:r>
      <w:r>
        <w:rPr>
          <w:rFonts w:ascii="Times New Roman" w:cs="Times New Roman" w:eastAsia="Times New Roman" w:hAnsi="Times New Roman"/>
          <w:sz w:val="22"/>
          <w:szCs w:val="22"/>
        </w:rPr>
        <w:t xml:space="preserve"> and whose transfer between accounts is blocked, should be interpreted as an activation or representation mechanism for the consent state rather than as the fundamental source of trust.</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Blockchain or other tamper-resistant storage mechanisms may be integrated as infrastructure for preserving selected authorisation evidence, and no medical content is written to the chain.</w:t>
      </w:r>
      <w:r>
        <w:rPr>
          <w:rFonts w:ascii="Times New Roman" w:cs="Times New Roman" w:eastAsia="Times New Roman" w:hAnsi="Times New Roman"/>
          <w:color w:val="00A000"/>
          <w:sz w:val="22"/>
          <w:szCs w:val="22"/>
        </w:rPr>
        <w:t xml:space="preserve"> However, the plaintext purpose is passed as a parameter of the mint transaction and is therefore visible in the public transaction input.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Synthetic healthcare records derived from the Synthea dataset are used to construct representative consent workflows. The records are taken from the Synthea 1K sample of synthetic patient records (synthea.mitre.org) in its CSV export. The prototype loads a subset of patients with their observations, conditions, medications and procedures, and no real patient data is involved.</w:t>
      </w:r>
    </w:p>
    <w:p>
      <w:pPr>
        <w:spacing w:after="110" w:line="264"/>
        <w:jc w:val="both"/>
      </w:pPr>
      <w:r>
        <w:rPr>
          <w:rFonts w:ascii="Times New Roman" w:cs="Times New Roman" w:eastAsia="Times New Roman" w:hAnsi="Times New Roman"/>
          <w:color w:val="00A000"/>
          <w:sz w:val="22"/>
          <w:szCs w:val="22"/>
        </w:rPr>
        <w:t xml:space="preserve">The evaluated consent, f050c29a, was carried through the complete lifecycle as token #1, being granted access, refused access, and finally revoked.</w:t>
      </w:r>
      <w:r>
        <w:rPr>
          <w:rFonts w:ascii="Times New Roman" w:cs="Times New Roman" w:eastAsia="Times New Roman" w:hAnsi="Times New Roman"/>
          <w:color w:val="00A000"/>
          <w:sz w:val="22"/>
          <w:szCs w:val="22"/>
        </w:rPr>
        <w:t xml:space="preserve"> Figure 17 shows the evaluated consent f050c29a. The creation, approval, and record-display screens (Figure 15, Figure 16 and Figure 18)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 and the jurisdiction.</w:t>
      </w:r>
      <w:r>
        <w:rPr>
          <w:rFonts w:ascii="Times New Roman" w:cs="Times New Roman" w:eastAsia="Times New Roman" w:hAnsi="Times New Roman"/>
          <w:color w:val="00A000"/>
          <w:sz w:val="22"/>
          <w:szCs w:val="22"/>
        </w:rPr>
        <w:t xml:space="preserve"> As shown in Figure 15, all four EMR modules were selected, two guardians were designated, and the jurisdiction was AU.</w:t>
      </w:r>
      <w:r>
        <w:rPr>
          <w:rFonts w:ascii="Times New Roman" w:cs="Times New Roman" w:eastAsia="Times New Roman" w:hAnsi="Times New Roman"/>
          <w:sz w:val="22"/>
          <w:szCs w:val="22"/>
        </w:rPr>
        <w:t xml:space="preserve"> 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color w:val="00A000"/>
          <w:sz w:val="22"/>
          <w:szCs w:val="22"/>
        </w:rPr>
        <w:t xml:space="preserve"> A consent with an empty data scope is rejected, and every guardian entry must be a well-formed DID.</w:t>
      </w:r>
      <w:r>
        <w:rPr>
          <w:rFonts w:ascii="Times New Roman" w:cs="Times New Roman" w:eastAsia="Times New Roman" w:hAnsi="Times New Roman"/>
          <w:sz w:val="22"/>
          <w:szCs w:val="22"/>
        </w:rPr>
        <w:t xml:space="preserve"> The validated information is combined to construct the consent object C = (I, A, P, T, L, E) of Section 6.</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The system therefore maintains the consent in a PENDING state rather than activating access, as PENDING_SIGNATURE, held only in the application ledger.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sz w:val="22"/>
          <w:szCs w:val="22"/>
        </w:rPr>
        <w:t xml:space="preserve">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color w:val="00A000"/>
          <w:sz w:val="22"/>
          <w:szCs w:val="22"/>
        </w:rPr>
        <w:t xml:space="preserve"> Each guardian approves the consent with an EIP-712 typed-data signature that binds the approval to this consent, to this guardian, and to the Sepolia network (chainId 11155111).</w:t>
      </w:r>
      <w:r>
        <w:rPr>
          <w:rFonts w:ascii="Times New Roman" w:cs="Times New Roman" w:eastAsia="Times New Roman" w:hAnsi="Times New Roman"/>
          <w:color w:val="00A000"/>
          <w:sz w:val="22"/>
          <w:szCs w:val="22"/>
        </w:rPr>
        <w:t xml:space="preserve"> The system recovers the signer address and compares it with the address associated with the guardian DID, so a signature produced for another consent, another guardian, or another chain is rejected.</w:t>
      </w:r>
      <w:r>
        <w:rPr>
          <w:rFonts w:ascii="Times New Roman" w:cs="Times New Roman" w:eastAsia="Times New Roman" w:hAnsi="Times New Roman"/>
          <w:sz w:val="22"/>
          <w:szCs w:val="22"/>
        </w:rPr>
        <w:t xml:space="preserve"> If the participant has already submitted a valid approval, the system rejects the additional approval.</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Valid approvals are recorded and the current approval count is updated.</w:t>
      </w:r>
      <w:r>
        <w:rPr>
          <w:rFonts w:ascii="Times New Roman" w:cs="Times New Roman" w:eastAsia="Times New Roman" w:hAnsi="Times New Roman"/>
          <w:sz w:val="22"/>
          <w:szCs w:val="22"/>
        </w:rPr>
        <w:t xml:space="preserve"> In the implemented configuration, N = |G|, so all eligible participants must independently approve the consent before the authorisation becomes active.</w:t>
      </w:r>
      <w:r>
        <w:rPr>
          <w:rFonts w:ascii="Times New Roman" w:cs="Times New Roman" w:eastAsia="Times New Roman" w:hAnsi="Times New Roman"/>
          <w:sz w:val="22"/>
          <w:szCs w:val="22"/>
        </w:rPr>
        <w:t xml:space="preserve"> In this case, one valid approval is insufficient, whereas two valid approvals satisfy the threshold condition of Section 8.</w:t>
      </w:r>
      <w:r>
        <w:rPr>
          <w:rFonts w:ascii="Times New Roman" w:cs="Times New Roman" w:eastAsia="Times New Roman" w:hAnsi="Times New Roman"/>
          <w:sz w:val="22"/>
          <w:szCs w:val="22"/>
        </w:rPr>
        <w:t xml:space="preserve"> This mechanism allows the framework to distinguish between insufficient and sufficient collective authorisation.</w:t>
      </w:r>
      <w:r>
        <w:rPr>
          <w:rFonts w:ascii="Times New Roman" w:cs="Times New Roman" w:eastAsia="Times New Roman" w:hAnsi="Times New Roman"/>
          <w:sz w:val="22"/>
          <w:szCs w:val="22"/>
        </w:rPr>
        <w:t xml:space="preserve"> 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sz w:val="22"/>
          <w:szCs w:val="22"/>
        </w:rPr>
        <w:t xml:space="preserve"> When the threshold is reached, the implementation assigns an SBT identifier and records the corresponding minting event, and the anchoring starts in the background, as shown in Figure 16.</w:t>
      </w:r>
      <w:r>
        <w:rPr>
          <w:rFonts w:ascii="Times New Roman" w:cs="Times New Roman" w:eastAsia="Times New Roman" w:hAnsi="Times New Roman"/>
          <w:sz w:val="22"/>
          <w:szCs w:val="22"/>
        </w:rPr>
        <w:t xml:space="preserve"> The public anchoring of the evaluated consent f050c29a in block 11,771,243 (block 11,771,581 for consent 04da25f5 in Figure 16) provides an immutable or otherwise tamper-evident record of the transition from a pending consent state to an active authorisation state.</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As shown in Figure 17, the decision matrix enables validation results to be traced from the final decision back to the individual authorisation conditions that produced that decision.</w:t>
      </w:r>
      <w:r>
        <w:rPr>
          <w:rFonts w:ascii="Times New Roman" w:cs="Times New Roman" w:eastAsia="Times New Roman" w:hAnsi="Times New Roman"/>
          <w:color w:val="00A000"/>
          <w:sz w:val="22"/>
          <w:szCs w:val="22"/>
        </w:rPr>
        <w:t xml:space="preserve"> A request is permitted only when the consent purpose is a supported healthcare use and the requested data scope is non-empty and contained within the authorised scope.</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Here, the system generates or verifies the evidence supporting the access decision as a Groth16 zero-knowledge proof.</w:t>
      </w:r>
      <w:r>
        <w:rPr>
          <w:rFonts w:ascii="Times New Roman" w:cs="Times New Roman" w:eastAsia="Times New Roman" w:hAnsi="Times New Roman"/>
          <w:color w:val="00A000"/>
          <w:sz w:val="22"/>
          <w:szCs w:val="22"/>
        </w:rPr>
        <w:t xml:space="preserve"> Because the prover and the verifier run on the same server, the proof demonstrates the integration of the zero-knowledge toolchain rather than an additional privacy guarantee.</w:t>
      </w:r>
      <w:r>
        <w:rPr>
          <w:rFonts w:ascii="Times New Roman" w:cs="Times New Roman" w:eastAsia="Times New Roman" w:hAnsi="Times New Roman"/>
          <w:sz w:val="22"/>
          <w:szCs w:val="22"/>
        </w:rPr>
        <w:t xml:space="preserve"> As shown in Figure 18, once the request has been successfully authorised, the system retrieves only the healthcare data satisfying the authorised scope and displays them per EMR module.</w:t>
      </w:r>
      <w:r>
        <w:rPr>
          <w:rFonts w:ascii="Times New Roman" w:cs="Times New Roman" w:eastAsia="Times New Roman" w:hAnsi="Times New Roman"/>
          <w:sz w:val="22"/>
          <w:szCs w:val="22"/>
        </w:rPr>
        <w:t xml:space="preserv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w:t>
      </w:r>
      <w:r>
        <w:rPr>
          <w:rFonts w:ascii="Times New Roman" w:cs="Times New Roman" w:eastAsia="Times New Roman" w:hAnsi="Times New Roman"/>
          <w:color w:val="00A000"/>
          <w:sz w:val="22"/>
          <w:szCs w:val="22"/>
        </w:rPr>
        <w:t xml:space="preserve">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passed.</w:t>
      </w:r>
      <w:r>
        <w:rPr>
          <w:rFonts w:ascii="Times New Roman" w:cs="Times New Roman" w:eastAsia="Times New Roman" w:hAnsi="Times New Roman"/>
          <w:sz w:val="22"/>
          <w:szCs w:val="22"/>
        </w:rPr>
        <w:t xml:space="preserve">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w:t>
      </w:r>
      <w:r>
        <w:rPr>
          <w:rFonts w:ascii="Times New Roman" w:cs="Times New Roman" w:eastAsia="Times New Roman" w:hAnsi="Times New Roman"/>
          <w:sz w:val="22"/>
          <w:szCs w:val="22"/>
        </w:rPr>
        <w:t xml:space="preserve"> If any required condition is violated, the framework should produce a denial decision and preserve sufficient evidence to explain the reason for that decision, as the refusal in Figure 19 shows.</w:t>
      </w:r>
      <w:r>
        <w:rPr>
          <w:rFonts w:ascii="Times New Roman" w:cs="Times New Roman" w:eastAsia="Times New Roman" w:hAnsi="Times New Roman"/>
          <w:sz w:val="22"/>
          <w:szCs w:val="22"/>
        </w:rPr>
        <w:t xml:space="preserve"> Therefore,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w:t>
      </w:r>
      <w:r>
        <w:rPr>
          <w:rFonts w:ascii="Times New Roman" w:cs="Times New Roman" w:eastAsia="Times New Roman" w:hAnsi="Times New Roman"/>
          <w:color w:val="00A000"/>
          <w:sz w:val="22"/>
          <w:szCs w:val="22"/>
        </w:rPr>
        <w:t xml:space="preserve"> The patient revokes the evaluated consent, the system submits a revoke transaction to the contract, and the consent is displayed as REVOKED with its token number.</w:t>
      </w:r>
      <w:r>
        <w:rPr>
          <w:rFonts w:ascii="Times New Roman" w:cs="Times New Roman" w:eastAsia="Times New Roman" w:hAnsi="Times New Roman"/>
          <w:sz w:val="22"/>
          <w:szCs w:val="22"/>
        </w:rPr>
        <w:t xml:space="preserve"> A subsequent request by the doctor is refused by the doctor subsystem at the consent-state check, because the consent is no longer ACTIVE</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sz w:val="22"/>
          <w:szCs w:val="22"/>
        </w:rPr>
        <w:t xml:space="preserve"> The revocation control allows the framework to distinguish between a consent that was previously valid and a consent that remains valid at the time of a particular access request, and Figure 20 shows the publicly verifiable revocation transaction in block 11,771,307.</w:t>
      </w:r>
      <w:r>
        <w:rPr>
          <w:rFonts w:ascii="Times New Roman" w:cs="Times New Roman" w:eastAsia="Times New Roman" w:hAnsi="Times New Roman"/>
          <w:color w:val="00A000"/>
          <w:sz w:val="22"/>
          <w:szCs w:val="22"/>
        </w:rPr>
        <w:t xml:space="preserve">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whether access occurred, whether the requester possessed a valid identity, whether the required authorisation threshold was satisfied, whether the requested data complied with the authorised scope, and which conditions produced the final decision.</w:t>
      </w:r>
      <w:r>
        <w:rPr>
          <w:rFonts w:ascii="Times New Roman" w:cs="Times New Roman" w:eastAsia="Times New Roman" w:hAnsi="Times New Roman"/>
          <w:sz w:val="22"/>
          <w:szCs w:val="22"/>
        </w:rPr>
        <w:t xml:space="preserve"> As shown in Figure 21, the auditor subsystem provides an auditable record that can be used to reconstruct and verify the consent lifecycle.</w:t>
      </w:r>
      <w:r>
        <w:rPr>
          <w:rFonts w:ascii="Times New Roman" w:cs="Times New Roman" w:eastAsia="Times New Roman" w:hAnsi="Times New Roman"/>
          <w:sz w:val="22"/>
          <w:szCs w:val="22"/>
        </w:rPr>
        <w:t xml:space="preserv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w:t>
      </w:r>
      <w:r>
        <w:rPr>
          <w:rFonts w:ascii="Times New Roman" w:cs="Times New Roman" w:eastAsia="Times New Roman" w:hAnsi="Times New Roman"/>
          <w:sz w:val="22"/>
          <w:szCs w:val="22"/>
        </w:rPr>
        <w:t xml:space="preserve"> The mapping shows that the subsystems cooperate through a controlled authorisation sequence rather than through unrestricted direct communication.</w:t>
      </w:r>
      <w:r>
        <w:rPr>
          <w:rFonts w:ascii="Times New Roman" w:cs="Times New Roman" w:eastAsia="Times New Roman" w:hAnsi="Times New Roman"/>
          <w:sz w:val="22"/>
          <w:szCs w:val="22"/>
        </w:rPr>
        <w:t xml:space="preserve"> 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w:t>
      </w:r>
      <w:r>
        <w:rPr>
          <w:rFonts w:ascii="Times New Roman" w:cs="Times New Roman" w:eastAsia="Times New Roman" w:hAnsi="Times New Roman"/>
          <w:color w:val="00A000"/>
          <w:sz w:val="22"/>
          <w:szCs w:val="22"/>
        </w:rPr>
        <w:t xml:space="preserve">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w:t>
      </w:r>
      <w:r>
        <w:rPr>
          <w:rFonts w:ascii="Times New Roman" w:cs="Times New Roman" w:eastAsia="Times New Roman" w:hAnsi="Times New Roman"/>
          <w:color w:val="00A000"/>
          <w:sz w:val="22"/>
          <w:szCs w:val="22"/>
        </w:rPr>
        <w:t xml:space="preserve">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23, on the current contract the revocation of token #1 used about one sixth of the gas of its mint, because a mint creates a token and writes a complete consent record, while a revocation changes only a single flag.</w:t>
      </w:r>
      <w:r>
        <w:rPr>
          <w:rFonts w:ascii="Times New Roman" w:cs="Times New Roman" w:eastAsia="Times New Roman" w:hAnsi="Times New Roman"/>
          <w:color w:val="00A000"/>
          <w:sz w:val="22"/>
          <w:szCs w:val="22"/>
        </w:rPr>
        <w:t xml:space="preserve">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w:t>
      </w:r>
      <w:r>
        <w:rPr>
          <w:rFonts w:ascii="Times New Roman" w:cs="Times New Roman" w:eastAsia="Times New Roman" w:hAnsi="Times New Roman"/>
          <w:color w:val="00A000"/>
          <w:sz w:val="22"/>
          <w:szCs w:val="22"/>
        </w:rPr>
        <w:t xml:space="preserv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w:t>
      </w:r>
      <w:r>
        <w:rPr>
          <w:rFonts w:ascii="Times New Roman" w:cs="Times New Roman" w:eastAsia="Times New Roman" w:hAnsi="Times New Roman"/>
          <w:sz w:val="22"/>
          <w:szCs w:val="22"/>
        </w:rPr>
        <w:t xml:space="preserve"> 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w:t>
      </w:r>
      <w:r>
        <w:rPr>
          <w:rFonts w:ascii="Times New Roman" w:cs="Times New Roman" w:eastAsia="Times New Roman" w:hAnsi="Times New Roman"/>
          <w:color w:val="00A000"/>
          <w:sz w:val="22"/>
          <w:szCs w:val="22"/>
        </w:rPr>
        <w:t xml:space="preserve"> The three earlier grants of 22 September 2026 predate the logging of the matrix and of the proof mode.</w:t>
      </w:r>
      <w:r>
        <w:rPr>
          <w:rFonts w:ascii="Times New Roman" w:cs="Times New Roman" w:eastAsia="Times New Roman" w:hAnsi="Times New Roman"/>
          <w:color w:val="00A000"/>
          <w:sz w:val="22"/>
          <w:szCs w:val="22"/>
        </w:rPr>
        <w:t xml:space="preserv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24, the time taken to evaluate the decision rule is negligible, and signature recovery takes about 11 ms per guardian, whereas the Groth16 proof dominates the interactive path of an access request.</w:t>
      </w:r>
      <w:r>
        <w:rPr>
          <w:rFonts w:ascii="Times New Roman" w:cs="Times New Roman" w:eastAsia="Times New Roman" w:hAnsi="Times New Roman"/>
          <w:color w:val="00A000"/>
          <w:sz w:val="22"/>
          <w:szCs w:val="22"/>
        </w:rPr>
        <w:t xml:space="preserve"> The proof times include process start-up as well as cryptographic work, and at the median the proof takes more than 98 per cent of the roughly 1.9 s of one access request.</w:t>
      </w:r>
      <w:r>
        <w:rPr>
          <w:rFonts w:ascii="Times New Roman" w:cs="Times New Roman" w:eastAsia="Times New Roman" w:hAnsi="Times New Roman"/>
          <w:color w:val="00A000"/>
          <w:sz w:val="22"/>
          <w:szCs w:val="22"/>
        </w:rPr>
        <w:t xml:space="preserve">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color w:val="00A000"/>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w:t>
      </w:r>
      <w:r>
        <w:rPr>
          <w:rFonts w:ascii="Times New Roman" w:cs="Times New Roman" w:eastAsia="Times New Roman" w:hAnsi="Times New Roman"/>
          <w:color w:val="00A000"/>
          <w:sz w:val="22"/>
          <w:szCs w:val="22"/>
        </w:rPr>
        <w:t xml:space="preserve"> The adversary, whether an outside requester or a participant of the consent, tries to obtain or keep access without satisfying a condition of C, or to alter the anchored consent or the recorded evidence of a decision.</w:t>
      </w:r>
      <w:r>
        <w:rPr>
          <w:rFonts w:ascii="Times New Roman" w:cs="Times New Roman" w:eastAsia="Times New Roman" w:hAnsi="Times New Roman"/>
          <w:color w:val="00A000"/>
          <w:sz w:val="22"/>
          <w:szCs w:val="22"/>
        </w:rPr>
        <w:t xml:space="preserve"> It can supply crafted inputs to the decision functions, alter the bits of a Groth16 proof or its public signals, and send transactions to the contract from an account that is not its owner.</w:t>
      </w:r>
      <w:r>
        <w:rPr>
          <w:rFonts w:ascii="Times New Roman" w:cs="Times New Roman" w:eastAsia="Times New Roman" w:hAnsi="Times New Roman"/>
          <w:color w:val="00A000"/>
          <w:sz w:val="22"/>
          <w:szCs w:val="22"/>
        </w:rPr>
        <w:t xml:space="preserve"> Several capabilities are outside the scope of this evaluation because the prototype does not defend against them, for example, the interface authenticates no role and guardian signing keys derive from the public guardian DIDs.</w:t>
      </w:r>
      <w:r>
        <w:rPr>
          <w:rFonts w:ascii="Times New Roman" w:cs="Times New Roman" w:eastAsia="Times New Roman" w:hAnsi="Times New Roman"/>
          <w:color w:val="00A000"/>
          <w:sz w:val="22"/>
          <w:szCs w:val="22"/>
        </w:rPr>
        <w:t xml:space="preserve">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w:t>
      </w:r>
      <w:r>
        <w:rPr>
          <w:rFonts w:ascii="Times New Roman" w:cs="Times New Roman" w:eastAsia="Times New Roman" w:hAnsi="Times New Roman"/>
          <w:sz w:val="22"/>
          <w:szCs w:val="22"/>
        </w:rPr>
        <w:t xml:space="preserve"> Each scenario is associated with an expected authorisation outcome and the component of C that it targets, as listed in Table 11.</w:t>
      </w:r>
      <w:r>
        <w:rPr>
          <w:rFonts w:ascii="Times New Roman" w:cs="Times New Roman" w:eastAsia="Times New Roman" w:hAnsi="Times New Roman"/>
          <w:color w:val="00A000"/>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w:t>
      </w:r>
      <w:r>
        <w:rPr>
          <w:rFonts w:ascii="Times New Roman" w:cs="Times New Roman" w:eastAsia="Times New Roman" w:hAnsi="Times New Roman"/>
          <w:color w:val="00A000"/>
          <w:sz w:val="22"/>
          <w:szCs w:val="22"/>
        </w:rPr>
        <w:t xml:space="preserve"> Before the hardening, three attacks, A1, A3, and A5, were accepted when the service functions were called directly.</w:t>
      </w:r>
      <w:r>
        <w:rPr>
          <w:rFonts w:ascii="Times New Roman" w:cs="Times New Roman" w:eastAsia="Times New Roman" w:hAnsi="Times New Roman"/>
          <w:sz w:val="22"/>
          <w:szCs w:val="22"/>
        </w:rPr>
        <w:t xml:space="preserve"> 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w:t>
      </w:r>
      <w:r>
        <w:rPr>
          <w:rFonts w:ascii="Times New Roman" w:cs="Times New Roman" w:eastAsia="Times New Roman" w:hAnsi="Times New Roman"/>
          <w:sz w:val="22"/>
          <w:szCs w:val="22"/>
        </w:rPr>
        <w:t xml:space="preserve"> The analysis records the unsuccessful cases and classifies each one as a violation of an intended security property or as a limitation to be addressed in the next stage.</w:t>
      </w:r>
      <w:r>
        <w:rPr>
          <w:rFonts w:ascii="Times New Roman" w:cs="Times New Roman" w:eastAsia="Times New Roman" w:hAnsi="Times New Roman"/>
          <w:color w:val="00A000"/>
          <w:sz w:val="22"/>
          <w:szCs w:val="22"/>
        </w:rPr>
        <w:t xml:space="preserve"> None of the three was reachable through the interface as used in the demonstration of 24 September 2026, so they represent a gap in defence in depth rather than a demonstrated breach of the deployed system.</w:t>
      </w:r>
      <w:r>
        <w:rPr>
          <w:rFonts w:ascii="Times New Roman" w:cs="Times New Roman" w:eastAsia="Times New Roman" w:hAnsi="Times New Roman"/>
          <w:sz w:val="22"/>
          <w:szCs w:val="22"/>
        </w:rPr>
        <w:t xml:space="preserve"> Accordingly, in the service layer, invalid, unauthorised, or duplicate approval attempts are rejected and do not contribute to the valid approval count, and an empty request is refused.</w:t>
      </w:r>
      <w:r>
        <w:rPr>
          <w:rFonts w:ascii="Times New Roman" w:cs="Times New Roman" w:eastAsia="Times New Roman" w:hAnsi="Times New Roman"/>
          <w:sz w:val="22"/>
          <w:szCs w:val="22"/>
        </w:rPr>
        <w:t xml:space="preserve"> This ensures that the threshold cannot be artificially satisfied by repeated or illegitimate approval submissions.</w:t>
      </w:r>
      <w:r>
        <w:rPr>
          <w:rFonts w:ascii="Times New Roman" w:cs="Times New Roman" w:eastAsia="Times New Roman" w:hAnsi="Times New Roman"/>
          <w:color w:val="00A000"/>
          <w:sz w:val="22"/>
          <w:szCs w:val="22"/>
        </w:rPr>
        <w:t xml:space="preserve">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color w:val="00A000"/>
          <w:sz w:val="22"/>
          <w:szCs w:val="22"/>
        </w:rPr>
        <w:t xml:space="preserve"> The evaluation has six limitations.</w:t>
      </w:r>
      <w:r>
        <w:rPr>
          <w:rFonts w:ascii="Times New Roman" w:cs="Times New Roman" w:eastAsia="Times New Roman" w:hAnsi="Times New Roman"/>
          <w:color w:val="00A000"/>
          <w:sz w:val="22"/>
          <w:szCs w:val="22"/>
        </w:rPr>
        <w:t xml:space="preserve"> First, A12 runs the contract source on an in-memory Ethereum virtual machine, so it does not show the behaviour of the deployed bytecode.</w:t>
      </w:r>
      <w:r>
        <w:rPr>
          <w:rFonts w:ascii="Times New Roman" w:cs="Times New Roman" w:eastAsia="Times New Roman" w:hAnsi="Times New Roman"/>
          <w:color w:val="00A000"/>
          <w:sz w:val="22"/>
          <w:szCs w:val="22"/>
        </w:rPr>
        <w:t xml:space="preserve"> Second, the SHA-256 digest of the audit ledger is neither keyed nor chained, so the ledger is not tamper-evident against a party with write access to the store.</w:t>
      </w:r>
      <w:r>
        <w:rPr>
          <w:rFonts w:ascii="Times New Roman" w:cs="Times New Roman" w:eastAsia="Times New Roman" w:hAnsi="Times New Roman"/>
          <w:color w:val="00A000"/>
          <w:sz w:val="22"/>
          <w:szCs w:val="22"/>
        </w:rPr>
        <w:t xml:space="preserve"> Third, the signed guardian message covers only the consent identifier, the guardian, and the network, so a change of scope, purpose, requester, expiry, or jurisdiction after approval is not detected.</w:t>
      </w:r>
      <w:r>
        <w:rPr>
          <w:rFonts w:ascii="Times New Roman" w:cs="Times New Roman" w:eastAsia="Times New Roman" w:hAnsi="Times New Roman"/>
          <w:color w:val="00A000"/>
          <w:sz w:val="22"/>
          <w:szCs w:val="22"/>
        </w:rPr>
        <w:t xml:space="preserve"> Fourth, A6 relies on the server clock, A7 on the jurisdiction declared by the requester, and A8 on the revocation flag of the local store.</w:t>
      </w:r>
      <w:r>
        <w:rPr>
          <w:rFonts w:ascii="Times New Roman" w:cs="Times New Roman" w:eastAsia="Times New Roman" w:hAnsi="Times New Roman"/>
          <w:color w:val="00A000"/>
          <w:sz w:val="22"/>
          <w:szCs w:val="22"/>
        </w:rPr>
        <w:t xml:space="preserve"> Fifth, the Groth16 result holds under a single-party development trusted setup, with the prover and the verifier on the same server.</w:t>
      </w:r>
      <w:r>
        <w:rPr>
          <w:rFonts w:ascii="Times New Roman" w:cs="Times New Roman" w:eastAsia="Times New Roman" w:hAnsi="Times New Roman"/>
          <w:color w:val="00A000"/>
          <w:sz w:val="22"/>
          <w:szCs w:val="22"/>
        </w:rPr>
        <w:t xml:space="preserve">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the next stage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color w:val="00A000"/>
          <w:sz w:val="22"/>
          <w:szCs w:val="22"/>
        </w:rPr>
        <w:t xml:space="preserve"> The soundness property Decision(C, R, t) = ALLOW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and the lifecycle invariant of Section 10 will be verified by model checking of the state machine or by proof over the predicate definitions.</w:t>
      </w:r>
      <w:r>
        <w:rPr>
          <w:rFonts w:ascii="Times New Roman" w:cs="Times New Roman" w:eastAsia="Times New Roman" w:hAnsi="Times New Roman"/>
          <w:sz w:val="22"/>
          <w:szCs w:val="22"/>
        </w:rPr>
        <w:t xml:space="preserve">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Full performance and scalability study.</w:t>
      </w:r>
      <w:r>
        <w:rPr>
          <w:rFonts w:ascii="Times New Roman" w:cs="Times New Roman" w:eastAsia="Times New Roman" w:hAnsi="Times New Roman"/>
          <w:color w:val="00A000"/>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The next stage will extend the current prototype-based evaluation to include both successful and adversarial access requests.</w:t>
      </w:r>
      <w:r>
        <w:rPr>
          <w:rFonts w:ascii="Times New Roman" w:cs="Times New Roman" w:eastAsia="Times New Roman" w:hAnsi="Times New Roman"/>
          <w:color w:val="00A000"/>
          <w:sz w:val="22"/>
          <w:szCs w:val="22"/>
        </w:rPr>
        <w:t xml:space="preserve"> The twelve attack scenarios will be extended to larger sets of positive, negative, and adversarial scenarios, and enforcement accuracy will be reported over this extended set.</w:t>
      </w:r>
      <w:r>
        <w:rPr>
          <w:rFonts w:ascii="Times New Roman" w:cs="Times New Roman" w:eastAsia="Times New Roman" w:hAnsi="Times New Roman"/>
          <w:sz w:val="22"/>
          <w:szCs w:val="22"/>
        </w:rPr>
        <w:t xml:space="preserve"> The formal security model will be compared with the observed behaviour of the implemented system.</w:t>
      </w:r>
    </w:p>
    <w:p>
      <w:pPr>
        <w:spacing w:after="110" w:line="264"/>
        <w:jc w:val="both"/>
      </w:pPr>
      <w:r>
        <w:rPr>
          <w:rFonts w:ascii="Times New Roman" w:cs="Times New Roman" w:eastAsia="Times New Roman" w:hAnsi="Times New Roman"/>
          <w:color w:val="00A000"/>
          <w:sz w:val="22"/>
          <w:szCs w:val="22"/>
        </w:rPr>
        <w:t xml:space="preserve">The next stage will address the prototype limitations that the evaluation has exposed, which include the N-of-N approval rule, the server-derived guardian keys, the unauthenticated requester role, the absence of cryptographic DID resolution and VC validation, the purpose check that does not yet compare a separately declared request purpose, the missing lifecycle transition check, and the unkeyed and unchained audit digest.</w:t>
      </w:r>
      <w:r>
        <w:rPr>
          <w:rFonts w:ascii="Times New Roman" w:cs="Times New Roman" w:eastAsia="Times New Roman" w:hAnsi="Times New Roman"/>
          <w:sz w:val="22"/>
          <w:szCs w:val="22"/>
        </w:rPr>
        <w:t xml:space="preserve"> This work establishes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w:t>
      </w:r>
      <w:r>
        <w:rPr>
          <w:rFonts w:ascii="Times New Roman" w:cs="Times New Roman" w:eastAsia="Times New Roman" w:hAnsi="Times New Roman"/>
          <w:color w:val="00A000"/>
          <w:sz w:val="22"/>
          <w:szCs w:val="22"/>
        </w:rPr>
        <w:t xml:space="preserve"> The second publication extends Section 2 into a stand-alone review, and the third publication completes the work that Sections 10 and 11 identify as remaining for the next stage.</w:t>
      </w:r>
      <w:r>
        <w:rPr>
          <w:rFonts w:ascii="Times New Roman" w:cs="Times New Roman" w:eastAsia="Times New Roman" w:hAnsi="Times New Roman"/>
          <w:sz w:val="22"/>
          <w:szCs w:val="22"/>
        </w:rPr>
        <w:t xml:space="preserve"> RO5 and RO6 constitute 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w:t>
      </w:r>
      <w:r>
        <w:rPr>
          <w:rFonts w:ascii="Times New Roman" w:cs="Times New Roman" w:eastAsia="Times New Roman" w:hAnsi="Times New Roman"/>
          <w:sz w:val="22"/>
          <w:szCs w:val="22"/>
        </w:rPr>
        <w:t xml:space="preserve"> The main activities are the development of the trust-centric consent model, decentralised identity and authority verification, multi-party authorisation, and policy-aware access control.</w:t>
      </w:r>
      <w:r>
        <w:rPr>
          <w:rFonts w:ascii="Times New Roman" w:cs="Times New Roman" w:eastAsia="Times New Roman" w:hAnsi="Times New Roman"/>
          <w:sz w:val="22"/>
          <w:szCs w:val="22"/>
        </w:rPr>
        <w:t xml:space="preserve"> The progression is RO1, RO2, RO3 and then RO4, which have been implemented and initially validated through the HALAH prototype.</w:t>
      </w:r>
      <w:r>
        <w:rPr>
          <w:rFonts w:ascii="Times New Roman" w:cs="Times New Roman" w:eastAsia="Times New Roman" w:hAnsi="Times New Roman"/>
          <w:sz w:val="22"/>
          <w:szCs w:val="22"/>
        </w:rPr>
        <w:t xml:space="preserve"> The next stage, which concentrates on RO5 and RO6, will extend the framework of the current stage to dynamic consent governance, formal security assurance, and a fuller empirical validation.</w:t>
      </w:r>
      <w:r>
        <w:rPr>
          <w:rFonts w:ascii="Times New Roman" w:cs="Times New Roman" w:eastAsia="Times New Roman" w:hAnsi="Times New Roman"/>
          <w:color w:val="00A000"/>
          <w:sz w:val="22"/>
          <w:szCs w:val="22"/>
        </w:rPr>
        <w:t xml:space="preserve"> The lifecycle transition check, the formal lifecycle model, and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sz w:val="18"/>
          <w:szCs w:val="18"/>
        </w:rPr>
        <w:t xml:space="preserve">Bloemen, R., Logvinov, L. &amp; Evans, J. 2017, </w:t>
      </w:r>
      <w:r>
        <w:rPr>
          <w:rFonts w:ascii="Times New Roman" w:cs="Times New Roman" w:eastAsia="Times New Roman" w:hAnsi="Times New Roman"/>
          <w:i/>
          <w:iCs/>
          <w:sz w:val="18"/>
          <w:szCs w:val="18"/>
        </w:rPr>
        <w:t xml:space="preserve">EIP-712: Typed structured data hashing and signing</w:t>
      </w:r>
      <w:r>
        <w:rPr>
          <w:rFonts w:ascii="Times New Roman" w:cs="Times New Roman" w:eastAsia="Times New Roman" w:hAnsi="Times New Roman"/>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sz w:val="18"/>
          <w:szCs w:val="18"/>
        </w:rPr>
        <w:t xml:space="preserve">Cai, B. 2022, </w:t>
      </w:r>
      <w:r>
        <w:rPr>
          <w:rFonts w:ascii="Times New Roman" w:cs="Times New Roman" w:eastAsia="Times New Roman" w:hAnsi="Times New Roman"/>
          <w:i/>
          <w:iCs/>
          <w:sz w:val="18"/>
          <w:szCs w:val="18"/>
        </w:rPr>
        <w:t xml:space="preserve">ERC-5484: Consensual soulbound tokens</w:t>
      </w:r>
      <w:r>
        <w:rPr>
          <w:rFonts w:ascii="Times New Roman" w:cs="Times New Roman" w:eastAsia="Times New Roman" w:hAnsi="Times New Roman"/>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sz w:val="18"/>
          <w:szCs w:val="18"/>
        </w:rPr>
        <w:t xml:space="preserve">Scientific Reports</w:t>
      </w:r>
      <w:r>
        <w:rPr>
          <w:rFonts w:ascii="Times New Roman" w:cs="Times New Roman" w:eastAsia="Times New Roman" w:hAnsi="Times New Roman"/>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sz w:val="18"/>
          <w:szCs w:val="18"/>
        </w:rPr>
        <w:t xml:space="preserve">Entriken, W., Shirley, D., Evans, J. &amp; Sachs, N. 2018, </w:t>
      </w:r>
      <w:r>
        <w:rPr>
          <w:rFonts w:ascii="Times New Roman" w:cs="Times New Roman" w:eastAsia="Times New Roman" w:hAnsi="Times New Roman"/>
          <w:i/>
          <w:iCs/>
          <w:sz w:val="18"/>
          <w:szCs w:val="18"/>
        </w:rPr>
        <w:t xml:space="preserve">ERC-721: Non-fungible token standard</w:t>
      </w:r>
      <w:r>
        <w:rPr>
          <w:rFonts w:ascii="Times New Roman" w:cs="Times New Roman" w:eastAsia="Times New Roman" w:hAnsi="Times New Roman"/>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sz w:val="18"/>
          <w:szCs w:val="18"/>
        </w:rPr>
        <w:t xml:space="preserve">Proceedings of the 30th USENIX Security Symposium</w:t>
      </w:r>
      <w:r>
        <w:rPr>
          <w:rFonts w:ascii="Times New Roman" w:cs="Times New Roman" w:eastAsia="Times New Roman" w:hAnsi="Times New Roman"/>
          <w:sz w:val="18"/>
          <w:szCs w:val="18"/>
        </w:rPr>
        <w:t xml:space="preserve">, pp. 519–535.</w:t>
      </w:r>
    </w:p>
    <w:p>
      <w:pPr>
        <w:spacing w:after="80" w:line="240"/>
        <w:ind w:left="560" w:hanging="560"/>
        <w:jc w:val="left"/>
      </w:pPr>
      <w:r>
        <w:rPr>
          <w:rFonts w:ascii="Times New Roman" w:cs="Times New Roman" w:eastAsia="Times New Roman" w:hAnsi="Times New Roman"/>
          <w:sz w:val="18"/>
          <w:szCs w:val="18"/>
        </w:rPr>
        <w:t xml:space="preserve">Groth, J. 2016, 'On the size of pairing-based non-interactive arguments', </w:t>
      </w:r>
      <w:r>
        <w:rPr>
          <w:rFonts w:ascii="Times New Roman" w:cs="Times New Roman" w:eastAsia="Times New Roman" w:hAnsi="Times New Roman"/>
          <w:i/>
          <w:iCs/>
          <w:sz w:val="18"/>
          <w:szCs w:val="18"/>
        </w:rPr>
        <w:t xml:space="preserve">Advances in Cryptology – EUROCRYPT 2016, LNCS</w:t>
      </w:r>
      <w:r>
        <w:rPr>
          <w:rFonts w:ascii="Times New Roman" w:cs="Times New Roman" w:eastAsia="Times New Roman" w:hAnsi="Times New Roman"/>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highlight w:val="yellow"/>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highlight w:val="yellow"/>
        </w:rPr>
        <w:t xml:space="preserve">Digital Society</w:t>
      </w:r>
      <w:r>
        <w:rPr>
          <w:rFonts w:ascii="Times New Roman" w:cs="Times New Roman" w:eastAsia="Times New Roman" w:hAnsi="Times New Roman"/>
          <w:sz w:val="18"/>
          <w:szCs w:val="18"/>
          <w:highlight w:val="yellow"/>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sz w:val="18"/>
          <w:szCs w:val="18"/>
        </w:rPr>
        <w:t xml:space="preserve">BMC Nursing</w:t>
      </w:r>
      <w:r>
        <w:rPr>
          <w:rFonts w:ascii="Times New Roman" w:cs="Times New Roman" w:eastAsia="Times New Roman" w:hAnsi="Times New Roman"/>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highlight w:val="yellow"/>
        </w:rPr>
        <w:t xml:space="preserve">Jesus, V. &amp; Pandit, H.J. 2022, 'Consent receipts for a usable and auditable web of personal data', </w:t>
      </w:r>
      <w:r>
        <w:rPr>
          <w:rFonts w:ascii="Times New Roman" w:cs="Times New Roman" w:eastAsia="Times New Roman" w:hAnsi="Times New Roman"/>
          <w:i/>
          <w:iCs/>
          <w:sz w:val="18"/>
          <w:szCs w:val="18"/>
          <w:highlight w:val="yellow"/>
        </w:rPr>
        <w:t xml:space="preserve">IEEE Access</w:t>
      </w:r>
      <w:r>
        <w:rPr>
          <w:rFonts w:ascii="Times New Roman" w:cs="Times New Roman" w:eastAsia="Times New Roman" w:hAnsi="Times New Roman"/>
          <w:sz w:val="18"/>
          <w:szCs w:val="18"/>
          <w:highlight w:val="yellow"/>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sz w:val="18"/>
          <w:szCs w:val="18"/>
        </w:rPr>
        <w:t xml:space="preserve">Kharlamov, A., Hohmann, R. &amp; Parry, G. 2023, 'Data sharing decisions: Perceptions and intentions in healthcare', </w:t>
      </w:r>
      <w:r>
        <w:rPr>
          <w:rFonts w:ascii="Times New Roman" w:cs="Times New Roman" w:eastAsia="Times New Roman" w:hAnsi="Times New Roman"/>
          <w:i/>
          <w:iCs/>
          <w:sz w:val="18"/>
          <w:szCs w:val="18"/>
        </w:rPr>
        <w:t xml:space="preserve">Strategic Change</w:t>
      </w:r>
      <w:r>
        <w:rPr>
          <w:rFonts w:ascii="Times New Roman" w:cs="Times New Roman" w:eastAsia="Times New Roman" w:hAnsi="Times New Roman"/>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highlight w:val="yellow"/>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highlight w:val="yellow"/>
        </w:rPr>
        <w:t xml:space="preserve">Entropy</w:t>
      </w:r>
      <w:r>
        <w:rPr>
          <w:rFonts w:ascii="Times New Roman" w:cs="Times New Roman" w:eastAsia="Times New Roman" w:hAnsi="Times New Roman"/>
          <w:sz w:val="18"/>
          <w:szCs w:val="18"/>
          <w:highlight w:val="yellow"/>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sz w:val="18"/>
          <w:szCs w:val="18"/>
        </w:rPr>
        <w:t xml:space="preserve">IFIP International Conference on Distributed Applications and Interoperable Systems (DAIS 2022), LNCS</w:t>
      </w:r>
      <w:r>
        <w:rPr>
          <w:rFonts w:ascii="Times New Roman" w:cs="Times New Roman" w:eastAsia="Times New Roman" w:hAnsi="Times New Roman"/>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sz w:val="18"/>
          <w:szCs w:val="18"/>
        </w:rPr>
        <w:t xml:space="preserve">ACM Computing Surveys</w:t>
      </w:r>
      <w:r>
        <w:rPr>
          <w:rFonts w:ascii="Times New Roman" w:cs="Times New Roman" w:eastAsia="Times New Roman" w:hAnsi="Times New Roman"/>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sz w:val="18"/>
          <w:szCs w:val="18"/>
        </w:rPr>
        <w:t xml:space="preserve">BMJ</w:t>
      </w:r>
      <w:r>
        <w:rPr>
          <w:rFonts w:ascii="Times New Roman" w:cs="Times New Roman" w:eastAsia="Times New Roman" w:hAnsi="Times New Roman"/>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sz w:val="18"/>
          <w:szCs w:val="18"/>
        </w:rPr>
        <w:t xml:space="preserve">Blockchain in Healthcare Today</w:t>
      </w:r>
      <w:r>
        <w:rPr>
          <w:rFonts w:ascii="Times New Roman" w:cs="Times New Roman" w:eastAsia="Times New Roman" w:hAnsi="Times New Roman"/>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sz w:val="18"/>
          <w:szCs w:val="18"/>
        </w:rPr>
        <w:t xml:space="preserve">Journal of Cloud Computing</w:t>
      </w:r>
      <w:r>
        <w:rPr>
          <w:rFonts w:ascii="Times New Roman" w:cs="Times New Roman" w:eastAsia="Times New Roman" w:hAnsi="Times New Roman"/>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sz w:val="18"/>
          <w:szCs w:val="18"/>
        </w:rPr>
        <w:t xml:space="preserve">Iranian Journal of Science and Technology, Transactions of Electrical Engineering</w:t>
      </w:r>
      <w:r>
        <w:rPr>
          <w:rFonts w:ascii="Times New Roman" w:cs="Times New Roman" w:eastAsia="Times New Roman" w:hAnsi="Times New Roman"/>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sz w:val="18"/>
          <w:szCs w:val="18"/>
        </w:rPr>
        <w:t xml:space="preserve">2026 3rd International Conference on Emerging Trends in Engineering and Medical Sciences (ICETEMS)</w:t>
      </w:r>
      <w:r>
        <w:rPr>
          <w:rFonts w:ascii="Times New Roman" w:cs="Times New Roman" w:eastAsia="Times New Roman" w:hAnsi="Times New Roman"/>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sz w:val="18"/>
          <w:szCs w:val="18"/>
        </w:rPr>
        <w:t xml:space="preserve">JAMIA Open</w:t>
      </w:r>
      <w:r>
        <w:rPr>
          <w:rFonts w:ascii="Times New Roman" w:cs="Times New Roman" w:eastAsia="Times New Roman" w:hAnsi="Times New Roman"/>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sz w:val="18"/>
          <w:szCs w:val="18"/>
        </w:rPr>
        <w:t xml:space="preserve">Cluster Computing</w:t>
      </w:r>
      <w:r>
        <w:rPr>
          <w:rFonts w:ascii="Times New Roman" w:cs="Times New Roman" w:eastAsia="Times New Roman" w:hAnsi="Times New Roman"/>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highlight w:val="yellow"/>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highlight w:val="yellow"/>
        </w:rPr>
        <w:t xml:space="preserve">Applied Sciences</w:t>
      </w:r>
      <w:r>
        <w:rPr>
          <w:rFonts w:ascii="Times New Roman" w:cs="Times New Roman" w:eastAsia="Times New Roman" w:hAnsi="Times New Roman"/>
          <w:sz w:val="18"/>
          <w:szCs w:val="18"/>
          <w:highlight w:val="yellow"/>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highlight w:val="yellow"/>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highlight w:val="yellow"/>
        </w:rPr>
        <w:t xml:space="preserve">Journal of the American Medical Informatics Association</w:t>
      </w:r>
      <w:r>
        <w:rPr>
          <w:rFonts w:ascii="Times New Roman" w:cs="Times New Roman" w:eastAsia="Times New Roman" w:hAnsi="Times New Roman"/>
          <w:sz w:val="18"/>
          <w:szCs w:val="18"/>
          <w:highlight w:val="yellow"/>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sz w:val="18"/>
          <w:szCs w:val="18"/>
        </w:rPr>
        <w:t xml:space="preserve">Proceedings of the International Conference on Deep Learning, Big Data and Blockchain (DBB 2022), LNNS</w:t>
      </w:r>
      <w:r>
        <w:rPr>
          <w:rFonts w:ascii="Times New Roman" w:cs="Times New Roman" w:eastAsia="Times New Roman" w:hAnsi="Times New Roman"/>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2026-10-06T16:42:15.247Z</dcterms:created>
  <dcterms:modified xsi:type="dcterms:W3CDTF">2026-10-06T16:42:15.248Z</dcterms:modified>
</cp:coreProperties>
</file>

<file path=docProps/custom.xml><?xml version="1.0" encoding="utf-8"?>
<Properties xmlns="http://schemas.openxmlformats.org/officeDocument/2006/custom-properties" xmlns:vt="http://schemas.openxmlformats.org/officeDocument/2006/docPropsVTypes"/>
</file>