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19</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20</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26</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28</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29</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33</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37</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38</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39</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44</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45</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48</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48</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53</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54</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55</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64</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64</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67</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67</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67</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69</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72</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72</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72</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73</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76</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77</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78</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81</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82</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84</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85</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92</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93</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99</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106</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108</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112</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116</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118</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121</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125</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126</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127</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130</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130</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132</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133</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138</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val="false"/>
          <w:bCs w:val="false"/>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0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w:t>
      </w:r>
      <w:r>
        <w:rPr>
          <w:rFonts w:ascii="Cambria" w:cs="Cambria" w:eastAsia="Cambria" w:hAnsi="Cambria"/>
          <w:b w:val="false"/>
          <w:bCs w:val="false"/>
          <w:color w:val="0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val="false"/>
          <w:bCs w:val="false"/>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w:t>
      </w:r>
      <w:r>
        <w:rPr>
          <w:rFonts w:ascii="Cambria" w:cs="Cambria" w:eastAsia="Cambria" w:hAnsi="Cambria"/>
          <w:b w:val="false"/>
          <w:bCs w:val="false"/>
          <w:color w:val="000000"/>
          <w:sz w:val="24"/>
          <w:szCs w:val="24"/>
        </w:rPr>
        <w:t xml:space="preserve">[1, 2, 3, 7, 9, 10, 11, 12, 13, 14, 21, 22, 24, 25, 28, 31, 32]</w:t>
      </w:r>
      <w:r>
        <w:rPr>
          <w:rFonts w:ascii="Cambria" w:cs="Cambria" w:eastAsia="Cambria" w:hAnsi="Cambria"/>
          <w:b w:val="false"/>
          <w:bCs w:val="false"/>
          <w:sz w:val="24"/>
          <w:szCs w:val="24"/>
        </w:rPr>
        <w:t xml:space="preserve"> address the healthcare data sharing, consent, and access-control dimensions of the review, while references </w:t>
      </w:r>
      <w:r>
        <w:rPr>
          <w:rFonts w:ascii="Cambria" w:cs="Cambria" w:eastAsia="Cambria" w:hAnsi="Cambria"/>
          <w:b w:val="false"/>
          <w:bCs w:val="false"/>
          <w:color w:val="000000"/>
          <w:sz w:val="24"/>
          <w:szCs w:val="24"/>
        </w:rPr>
        <w:t xml:space="preserve">[4, 5, 15, 16, 20, 27, 33]</w:t>
      </w:r>
      <w:r>
        <w:rPr>
          <w:rFonts w:ascii="Cambria" w:cs="Cambria" w:eastAsia="Cambria" w:hAnsi="Cambria"/>
          <w:b w:val="false"/>
          <w:bCs w:val="false"/>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0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0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0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0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0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0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4010025"/>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(updated: blockchain and distributed-ledger terminology added to the Multi-Party Trust block, and trusted computing, trusted execution environment, and attestation added to the Supporting Requirements block, in line with Section 2.2.3)]</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0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0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jc w:val="center"/>
      </w:pPr>
      <w:r>
        <w:rPr>
          <w:rFonts w:ascii="Cambria" w:cs="Cambria" w:eastAsia="Cambria" w:hAnsi="Cambria"/>
          <w:i/>
          <w:iCs/>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0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0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0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0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keepNext/>
        <w:spacing w:after="60" w:before="140"/>
        <w:jc w:val="center"/>
      </w:pPr>
      <w:r>
        <w:drawing>
          <wp:inline distT="0" distB="0" distL="0" distR="0">
            <wp:extent cx="5715000" cy="2114550"/>
            <wp:effectExtent t="0" r="0" b="0" l="0"/>
            <wp:docPr id="1" name="gfig2a.png" descr="Figure 3: Profile of the 33 included studies: distribution by publication year and by review stream. The single 2019 study is the foundational source [31] retained outside the systematic search window; a study may contribute to more than one stream." title="Figure 3: Profile of the 33 included studies: distribution by publication year and by review stream. The single 2019 study is the foundational source [31] retained outside the systematic search window; a study may contribute to more than on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33 included studies: distribution by publication year and by review stream. The single 2019 study is the foundational source [31] retained outside the systematic search window; a study may contribute to more than one stream.</w:t>
      </w:r>
    </w:p>
    <w:p>
      <w:pPr>
        <w:pStyle w:val="Heading2"/>
        <w:spacing w:after="160" w:before="280"/>
      </w:pPr>
      <w:r>
        <w:t xml:space="preserve">2.3  Review</w:t>
      </w:r>
    </w:p>
    <w:p>
      <w:pPr>
        <w:spacing w:after="140" w:line="300"/>
        <w:jc w:val="both"/>
      </w:pPr>
      <w:r>
        <w:rPr>
          <w:rFonts w:ascii="Cambria" w:cs="Cambria" w:eastAsia="Cambria" w:hAnsi="Cambria"/>
          <w:color w:val="000000"/>
          <w:sz w:val="24"/>
          <w:szCs w:val="24"/>
        </w:rPr>
        <w:t xml:space="preserve">The thematic sections that follow (Sections 2.3.1–2.3.6), together with the comparative analysis in Section 2.3.7, address the review questions as follows. Review question 1 is addressed principally in Sections 2.3.2 and 2.3.4; review question 2 in Sections 2.3.1 and 2.3.5; review question 3 in Section 2.3.3; review question 4 in Sections 2.3.2 and 2.3.5, with its selective-disclosure dimension addressed in Section 2.3.3; and review question 5 is synthesised in Sections 2.3.7 and 2.4, where it motivates the research gap. The lifecycle and evaluation questions 6 and 7 are addressed in Sections 2.3.1 and 2.3.6 respectively.</w:t>
      </w:r>
    </w:p>
    <w:p>
      <w:pPr>
        <w:spacing w:after="140" w:line="300"/>
        <w:jc w:val="both"/>
      </w:pPr>
      <w:r>
        <w:rPr>
          <w:rFonts w:ascii="Cambria" w:cs="Cambria" w:eastAsia="Cambria" w:hAnsi="Cambria"/>
          <w:color w:val="0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keepNext/>
        <w:spacing w:after="60" w:before="140"/>
        <w:jc w:val="center"/>
      </w:pPr>
      <w:r>
        <w:drawing>
          <wp:inline distT="0" distB="0" distL="0" distR="0">
            <wp:extent cx="5334000" cy="4276725"/>
            <wp:effectExtent t="0" r="0" b="0" l="0"/>
            <wp:docPr id="1" name="gfig2b.png" descr="Figure 4: Correspondence between the seven review questions of Section 2.2.2 and the sections of the review in which they are addressed, ending in the research gap carried into Chapter 3." title="Figure 4: Correspondence between the seven review questions of Section 2.2.2 and the sections of the review in which they are addressed, ending in the research gap carried into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2.2.2 and the sections of the review in which they are addressed, ending in the research gap carried into Chapter 3.</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0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000000"/>
          <w:sz w:val="24"/>
          <w:szCs w:val="24"/>
        </w:rPr>
        <w:t xml:space="preserve"> [13, 10]</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000000"/>
          <w:sz w:val="24"/>
          <w:szCs w:val="24"/>
        </w:rPr>
        <w:t xml:space="preserve">Within this stream, dynamic-consent research [13] and consent-receipt mechanisms [10] already recognise that a patient's permission changes over time;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color w:val="0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r>
        <w:rPr>
          <w:rFonts w:ascii="Cambria" w:cs="Cambria" w:eastAsia="Cambria" w:hAnsi="Cambria"/>
          <w:color w:val="000000"/>
          <w:sz w:val="24"/>
          <w:szCs w:val="24"/>
        </w:rPr>
        <w:t xml:space="preserve">,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spacing w:after="140" w:line="300"/>
        <w:jc w:val="both"/>
      </w:pPr>
      <w:r>
        <w:rPr>
          <w:rFonts w:ascii="Cambria" w:cs="Cambria" w:eastAsia="Cambria" w:hAnsi="Cambria"/>
          <w:color w:val="000000"/>
          <w:sz w:val="24"/>
          <w:szCs w:val="24"/>
        </w:rPr>
        <w:t xml:space="preserve">Where the reviewed systems support multiple approvers, approval is typically implemented as a workflow or signature-collection step [19, 29] rather than represented as a verifiable threshold condition bound to the consent object itself. It is this representational absence, rather than the absence of multi-party mechanisms as such, that the proposed framework addresses.</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000000"/>
          <w:sz w:val="24"/>
          <w:szCs w:val="24"/>
        </w:rPr>
        <w:t xml:space="preserve">Across the reviewed access-control approaches [32, 11, 28, 25], policy evaluation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0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000000"/>
          <w:sz w:val="24"/>
          <w:szCs w:val="24"/>
        </w:rPr>
        <w:t xml:space="preserve">Formal security analysis nevertheless remains rare across the reviewed corpus: security arguments are predominantly architectural or empirical, and only a minority of studies accompany their designs with formal reasoning about the stated security properties [17, 18].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0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0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0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Lifecycle trust and empirical validation realised in the implemented prototype; formal security assurance requires further extension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0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0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0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0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000000"/>
          <w:sz w:val="24"/>
          <w:szCs w:val="24"/>
        </w:rPr>
        <w:t xml:space="preserve">In the same way, the consent-lifecycle limitation identified in Section 2.3.1 and the scarcity of formal security analysis identified in Section 2.3.6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keepNext/>
        <w:spacing w:after="60" w:before="140"/>
        <w:jc w:val="center"/>
      </w:pPr>
      <w:r>
        <w:drawing>
          <wp:inline distT="0" distB="0" distL="0" distR="0">
            <wp:extent cx="5715000" cy="2676525"/>
            <wp:effectExtent t="0" r="0" b="0" l="0"/>
            <wp:docPr id="1" name="gfig2c.png" descr="Figure 5: Synthesis of the review: the five research streams provide strong but fragmented mechanisms; their lack of integration constitutes the research gap, which the proposed framework addresses by treating consent as an evaluable authorisation object." title="Figure 5: Synthesis of the review: the five research streams provide strong but fragmented mechanisms; their lack of integration constitutes the research gap, which the proposed framework addresses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the five research streams provide strong but fragmented mechanisms; their lack of integration constitutes the research gap, which the proposed framework addresses by treating consent as an evaluable authorisation object.</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E represents the enforcement state recording whether the consent remains active or has been revoked.</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000000"/>
          <w:sz w:val="24"/>
          <w:szCs w:val="24"/>
        </w:rPr>
        <w:t xml:space="preserve">Consequently, in the implemented framework N is instantiated as |G|, the number of designated guardians,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w:t>
      </w:r>
      <w:r>
        <w:rPr>
          <w:rFonts w:ascii="Cambria" w:cs="Cambria" w:eastAsia="Cambria" w:hAnsi="Cambria"/>
          <w:color w:val="000000"/>
          <w:sz w:val="24"/>
          <w:szCs w:val="24"/>
        </w:rPr>
        <w:t xml:space="preserv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0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relationship between the six research questions and the six research objectives is summarised in Table 3 and Table 4.</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p>
    <w:p>
      <w:pPr>
        <w:spacing w:after="140" w:line="300"/>
        <w:jc w:val="both"/>
      </w:pPr>
      <w:r>
        <w:rPr>
          <w:rFonts w:ascii="Cambria" w:cs="Cambria" w:eastAsia="Cambria" w:hAnsi="Cambria"/>
          <w:color w:val="0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The integrated decision can therefore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Consequently, the corresponding component in Figure 8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using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Identifiers (DIDs) and Verifiable Credentials (VCs).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authorized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is satisfied when</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C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C00000"/>
          <w:sz w:val="24"/>
          <w:szCs w:val="24"/>
          <w:vertAlign w:val="subscript"/>
        </w:rPr>
        <w:t xml:space="preserve">C</w:t>
      </w:r>
      <w:r>
        <w:rPr>
          <w:rFonts w:ascii="Cambria" w:cs="Cambria" w:eastAsia="Cambria" w:hAnsi="Cambria"/>
          <w:color w:val="C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019425"/>
            <wp:effectExtent t="0" r="0" b="0" l="0"/>
            <wp:docPr id="1" name="gfig_cmodel.png" descr="Figure 11: Structural model of the trust-centric consent object C = (I, A, P, T, L, E), showing the content and the supplier of each component, the system-generated consent identifier and initial state, and the later link to the on-chain token upon activation." title="Figure 11: Structural model of the trust-centric consent object C = (I, A, P, T, L, E), showing the content and the supplier of each component, the system-generated consent identifier and initial state, and the later link to the on-chain token upon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11: Structural model of the trust-centric consent object C = (I, A, P, T, L, E), showing the content and the supplier of each component, the system-generated consent identifier and initial state, and the later link to the on-chain token upon activation.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C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decision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which means the requested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000000"/>
          <w:sz w:val="24"/>
          <w:szCs w:val="24"/>
        </w:rPr>
        <w:t xml:space="preserve">Here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denotes the composite temporal–state predicate evaluated by this procedure;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000000"/>
          <w:sz w:val="24"/>
          <w:szCs w:val="24"/>
        </w:rPr>
        <w:t xml:space="preserve">Decision(C, R)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000000"/>
          <w:sz w:val="24"/>
          <w:szCs w:val="24"/>
        </w:rPr>
        <w:t xml:space="preserve">4)</w:t>
      </w:r>
      <w:r>
        <w:rPr>
          <w:rFonts w:ascii="Cambria" w:cs="Cambria" w:eastAsia="Cambria" w:hAnsi="Cambria"/>
          <w:sz w:val="24"/>
          <w:szCs w:val="24"/>
        </w:rPr>
        <w:t xml:space="preserve"> Policy Compliance, </w:t>
      </w:r>
      <w:r>
        <w:rPr>
          <w:rFonts w:ascii="Cambria" w:cs="Cambria" w:eastAsia="Cambria" w:hAnsi="Cambria"/>
          <w:color w:val="000000"/>
          <w:sz w:val="24"/>
          <w:szCs w:val="24"/>
        </w:rPr>
        <w:t xml:space="preserve">5) </w:t>
      </w:r>
      <w:r>
        <w:rPr>
          <w:rFonts w:ascii="Cambria" w:cs="Cambria" w:eastAsia="Cambria" w:hAnsi="Cambria"/>
          <w:sz w:val="24"/>
          <w:szCs w:val="24"/>
        </w:rPr>
        <w:t xml:space="preserve">Temporal and Lifecycle Trust. For the current stage implementation, the operational decision is based on</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are each exercised in this workflow by a real transaction on the Ethereum Sepolia test network, so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C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complete lifecycle — activation as </w:t>
      </w:r>
      <w:r>
        <w:rPr>
          <w:rFonts w:ascii="Cambria" w:cs="Cambria" w:eastAsia="Cambria" w:hAnsi="Cambria"/>
          <w:b/>
          <w:bCs/>
          <w:color w:val="000000"/>
          <w:sz w:val="24"/>
          <w:szCs w:val="24"/>
        </w:rPr>
        <w:t xml:space="preserve">token #1</w:t>
      </w:r>
      <w:r>
        <w:rPr>
          <w:rFonts w:ascii="Cambria" w:cs="Cambria" w:eastAsia="Cambria" w:hAnsi="Cambria"/>
          <w:color w:val="000000"/>
          <w:sz w:val="24"/>
          <w:szCs w:val="24"/>
        </w:rP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which extends the three-predicate rule of Eq. (59) with the temporal and jurisdictional verdicts.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as enforced by the implemented Consent Engine." title="Figure 28: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Trust Predicate Evaluation and Authorisation Decision Flow,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9: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0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w:t>
      </w:r>
      <w:r>
        <w:rPr>
          <w:rFonts w:ascii="Cambria" w:cs="Cambria" w:eastAsia="Cambria" w:hAnsi="Cambria"/>
          <w:color w:val="000000"/>
          <w:sz w:val="24"/>
          <w:szCs w:val="24"/>
        </w:rPr>
        <w:t xml:space="preserve">(empirical validation complete; formal assurance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0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w:t>
      </w:r>
    </w:p>
    <w:p>
      <w:pPr>
        <w:spacing w:after="140" w:line="300"/>
        <w:jc w:val="both"/>
      </w:pPr>
      <w:r>
        <w:rPr>
          <w:rFonts w:ascii="Cambria" w:cs="Cambria" w:eastAsia="Cambria" w:hAnsi="Cambria"/>
          <w:color w:val="000000"/>
          <w:sz w:val="24"/>
          <w:szCs w:val="24"/>
        </w:rPr>
        <w:t xml:space="preserve">Table 10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10: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c4283ac7c9dffcd42565f9f279d568fa67012.png"/><Relationship Id="rId9" Type="http://schemas.openxmlformats.org/officeDocument/2006/relationships/image" Target="media/d4fcae5448728df700f7fcb56b8fc5a1fc56fa7f.png"/><Relationship Id="rId10" Type="http://schemas.openxmlformats.org/officeDocument/2006/relationships/image" Target="media/5725741516b6d7350742358c69ef15dffd19ce8b.png"/><Relationship Id="rId11" Type="http://schemas.openxmlformats.org/officeDocument/2006/relationships/image" Target="media/8dbf8f8114ee1a36bb173391ae40c477f5a9f4e7.png"/><Relationship Id="rId12" Type="http://schemas.openxmlformats.org/officeDocument/2006/relationships/image" Target="media/0ed002e09311e352eea87b4c3d6bc1c202f9bce1.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fe31f8f29a692dd173065f592f44a94045201e99.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2026-09-28T10:00:00.650Z</dcterms:created>
  <dcterms:modified xsi:type="dcterms:W3CDTF">2026-09-28T10:00:00.651Z</dcterms:modified>
</cp:coreProperties>
</file>

<file path=docProps/custom.xml><?xml version="1.0" encoding="utf-8"?>
<Properties xmlns="http://schemas.openxmlformats.org/officeDocument/2006/custom-properties" xmlns:vt="http://schemas.openxmlformats.org/officeDocument/2006/docPropsVTypes"/>
</file>