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9</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2.2 Systematic Literature Review Methodology</w:t>
      </w:r>
      <w:r>
        <w:rPr>
          <w:rFonts w:ascii="Cambria" w:cs="Cambria" w:eastAsia="Cambria" w:hAnsi="Cambria"/>
          <w:sz w:val="22"/>
          <w:szCs w:val="22"/>
        </w:rPr>
        <w:t xml:space="preserve">	13</w:t>
      </w:r>
    </w:p>
    <w:p>
      <w:pPr>
        <w:tabs>
          <w:tab w:val="right" w:pos="9360" w:leader="dot"/>
        </w:tabs>
        <w:spacing w:after="60"/>
        <w:ind w:left="720"/>
      </w:pPr>
      <w:r>
        <w:rPr>
          <w:rFonts w:ascii="Cambria" w:cs="Cambria" w:eastAsia="Cambria" w:hAnsi="Cambria"/>
          <w:b w:val="false"/>
          <w:bCs w:val="false"/>
          <w:sz w:val="20"/>
          <w:szCs w:val="20"/>
        </w:rPr>
        <w:t xml:space="preserve">2.2.1 Review Design and Reporting Framework</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2.2.2 Questions for Review</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2.2.3 Search Databases and Search Strategy</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2.2.4 Search Period and Search Execution</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2.2.5 Eligibility Criteria</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2.2.6 Screening and Study Selection</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2.2.7 Data Extraction and Synthesis</w:t>
      </w:r>
      <w:r>
        <w:rPr>
          <w:rFonts w:ascii="Cambria" w:cs="Cambria" w:eastAsia="Cambria" w:hAnsi="Cambria"/>
          <w:sz w:val="20"/>
          <w:szCs w:val="20"/>
        </w:rPr>
        <w:t xml:space="preserve">	19</w:t>
      </w:r>
    </w:p>
    <w:p>
      <w:pPr>
        <w:tabs>
          <w:tab w:val="right" w:pos="9360" w:leader="dot"/>
        </w:tabs>
        <w:spacing w:after="60"/>
        <w:ind w:left="360"/>
      </w:pPr>
      <w:r>
        <w:rPr>
          <w:rFonts w:ascii="Cambria" w:cs="Cambria" w:eastAsia="Cambria" w:hAnsi="Cambria"/>
          <w:b w:val="false"/>
          <w:bCs w:val="false"/>
          <w:sz w:val="22"/>
          <w:szCs w:val="22"/>
        </w:rPr>
        <w:t xml:space="preserve">2.3 Review</w:t>
      </w:r>
      <w:r>
        <w:rPr>
          <w:rFonts w:ascii="Cambria" w:cs="Cambria" w:eastAsia="Cambria" w:hAnsi="Cambria"/>
          <w:sz w:val="22"/>
          <w:szCs w:val="22"/>
        </w:rPr>
        <w:t xml:space="preserve">	20</w:t>
      </w:r>
    </w:p>
    <w:p>
      <w:pPr>
        <w:tabs>
          <w:tab w:val="right" w:pos="9360" w:leader="dot"/>
        </w:tabs>
        <w:spacing w:after="60"/>
        <w:ind w:left="720"/>
      </w:pPr>
      <w:r>
        <w:rPr>
          <w:rFonts w:ascii="Cambria" w:cs="Cambria" w:eastAsia="Cambria" w:hAnsi="Cambria"/>
          <w:b w:val="false"/>
          <w:bCs w:val="false"/>
          <w:sz w:val="20"/>
          <w:szCs w:val="20"/>
        </w:rPr>
        <w:t xml:space="preserve">2.3.1 Healthcare Consent and Decentralised Data Governance</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2.3.2 Blockchain-Based Consent and Data Governance</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2.3.3 Decentralised Identity and Verifiable Credentials</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2.3.4 Multi-Party Authorisation and Collaborative Consent</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2.3.5 Policy-Based and Context-Aware Access Control</w:t>
      </w:r>
      <w:r>
        <w:rPr>
          <w:rFonts w:ascii="Cambria" w:cs="Cambria" w:eastAsia="Cambria" w:hAnsi="Cambria"/>
          <w:sz w:val="20"/>
          <w:szCs w:val="20"/>
        </w:rPr>
        <w:t xml:space="preserve">	25</w:t>
      </w:r>
    </w:p>
    <w:p>
      <w:pPr>
        <w:tabs>
          <w:tab w:val="right" w:pos="9360" w:leader="dot"/>
        </w:tabs>
        <w:spacing w:after="60"/>
        <w:ind w:left="720"/>
      </w:pPr>
      <w:r>
        <w:rPr>
          <w:rFonts w:ascii="Cambria" w:cs="Cambria" w:eastAsia="Cambria" w:hAnsi="Cambria"/>
          <w:b w:val="false"/>
          <w:bCs w:val="false"/>
          <w:sz w:val="20"/>
          <w:szCs w:val="20"/>
        </w:rPr>
        <w:t xml:space="preserve">2.3.6 Trusted Computing, Secure Execution, and Security Assurance</w:t>
      </w:r>
      <w:r>
        <w:rPr>
          <w:rFonts w:ascii="Cambria" w:cs="Cambria" w:eastAsia="Cambria" w:hAnsi="Cambria"/>
          <w:sz w:val="20"/>
          <w:szCs w:val="20"/>
        </w:rPr>
        <w:t xml:space="preserve">	26</w:t>
      </w:r>
    </w:p>
    <w:p>
      <w:pPr>
        <w:tabs>
          <w:tab w:val="right" w:pos="9360" w:leader="dot"/>
        </w:tabs>
        <w:spacing w:after="60"/>
        <w:ind w:left="720"/>
      </w:pPr>
      <w:r>
        <w:rPr>
          <w:rFonts w:ascii="Cambria" w:cs="Cambria" w:eastAsia="Cambria" w:hAnsi="Cambria"/>
          <w:b w:val="false"/>
          <w:bCs w:val="false"/>
          <w:sz w:val="20"/>
          <w:szCs w:val="20"/>
        </w:rPr>
        <w:t xml:space="preserve">2.3.7 Comparative Analysis of Existing Approaches</w:t>
      </w:r>
      <w:r>
        <w:rPr>
          <w:rFonts w:ascii="Cambria" w:cs="Cambria" w:eastAsia="Cambria" w:hAnsi="Cambria"/>
          <w:sz w:val="20"/>
          <w:szCs w:val="20"/>
        </w:rPr>
        <w:t xml:space="preserve">	28</w:t>
      </w:r>
    </w:p>
    <w:p>
      <w:pPr>
        <w:tabs>
          <w:tab w:val="right" w:pos="9360" w:leader="dot"/>
        </w:tabs>
        <w:spacing w:after="60"/>
        <w:ind w:left="360"/>
      </w:pPr>
      <w:r>
        <w:rPr>
          <w:rFonts w:ascii="Cambria" w:cs="Cambria" w:eastAsia="Cambria" w:hAnsi="Cambria"/>
          <w:b w:val="false"/>
          <w:bCs w:val="false"/>
          <w:sz w:val="22"/>
          <w:szCs w:val="22"/>
        </w:rPr>
        <w:t xml:space="preserve">2.4 Synthesis and Research Gap</w:t>
      </w:r>
      <w:r>
        <w:rPr>
          <w:rFonts w:ascii="Cambria" w:cs="Cambria" w:eastAsia="Cambria" w:hAnsi="Cambria"/>
          <w:sz w:val="22"/>
          <w:szCs w:val="22"/>
        </w:rPr>
        <w:t xml:space="preserve">	29</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32</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32</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33</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34</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37</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38</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39</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43</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43</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44</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45</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48</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48</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50</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53</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54</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55</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61</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62</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62</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63</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64</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64</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67</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67</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67</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69</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72</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72</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73</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76</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77</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77</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78</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81</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82</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83</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84</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85</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88</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92</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93</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99</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102</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102</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106</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108</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112</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116</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118</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121</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124</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124</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125</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126</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127</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128</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128</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w:t>
      </w:r>
      <w:r>
        <w:rPr>
          <w:rFonts w:ascii="Cambria" w:cs="Cambria" w:eastAsia="Cambria" w:hAnsi="Cambria"/>
          <w:sz w:val="22"/>
          <w:szCs w:val="22"/>
        </w:rPr>
        <w:t xml:space="preserve">	128</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129</w:t>
      </w:r>
    </w:p>
    <w:p>
      <w:pPr>
        <w:tabs>
          <w:tab w:val="right" w:pos="9360" w:leader="dot"/>
        </w:tabs>
        <w:spacing w:after="60"/>
        <w:ind w:left="360"/>
      </w:pPr>
      <w:r>
        <w:rPr>
          <w:rFonts w:ascii="Cambria" w:cs="Cambria" w:eastAsia="Cambria" w:hAnsi="Cambria"/>
          <w:b w:val="false"/>
          <w:bCs w:val="false"/>
          <w:sz w:val="22"/>
          <w:szCs w:val="22"/>
        </w:rPr>
        <w:t xml:space="preserve">7.4 Progress of RO4: Policy-Aware Access Control</w:t>
      </w:r>
      <w:r>
        <w:rPr>
          <w:rFonts w:ascii="Cambria" w:cs="Cambria" w:eastAsia="Cambria" w:hAnsi="Cambria"/>
          <w:sz w:val="22"/>
          <w:szCs w:val="22"/>
        </w:rPr>
        <w:t xml:space="preserve">	129</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130</w:t>
      </w:r>
    </w:p>
    <w:p>
      <w:pPr>
        <w:tabs>
          <w:tab w:val="right" w:pos="9360" w:leader="dot"/>
        </w:tabs>
        <w:spacing w:after="60"/>
        <w:ind w:left="360"/>
      </w:pPr>
      <w:r>
        <w:rPr>
          <w:rFonts w:ascii="Cambria" w:cs="Cambria" w:eastAsia="Cambria" w:hAnsi="Cambria"/>
          <w:b w:val="false"/>
          <w:bCs w:val="false"/>
          <w:sz w:val="22"/>
          <w:szCs w:val="22"/>
        </w:rPr>
        <w:t xml:space="preserve">7.6 Progress of RO6: Security Assurance and Validation</w:t>
      </w:r>
      <w:r>
        <w:rPr>
          <w:rFonts w:ascii="Cambria" w:cs="Cambria" w:eastAsia="Cambria" w:hAnsi="Cambria"/>
          <w:sz w:val="22"/>
          <w:szCs w:val="22"/>
        </w:rPr>
        <w:t xml:space="preserve">	130</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132</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133</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133</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133</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138</w:t>
      </w:r>
    </w:p>
    <w:p>
      <w:pPr>
        <w:pStyle w:val="Heading1"/>
        <w:pageBreakBefore/>
        <w:spacing w:after="160" w:before="400"/>
      </w:pPr>
      <w:r>
        <w:t xml:space="preserve">1  Introduction</w:t>
      </w:r>
    </w:p>
    <w:p>
      <w:pPr>
        <w:pStyle w:val="Heading2"/>
        <w:spacing w:after="160" w:before="280"/>
      </w:pPr>
      <w: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w:t>
      </w:r>
      <w:r>
        <w:rPr>
          <w:rFonts w:ascii="Cambria" w:cs="Cambria" w:eastAsia="Cambria" w:hAnsi="Cambria"/>
          <w:b w:val="false"/>
          <w:bCs w:val="false"/>
          <w:sz w:val="24"/>
          <w:szCs w:val="24"/>
        </w:rPr>
        <w:t xml:space="preserve">[31, 14]</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Heading2"/>
        <w:spacing w:after="160" w:before="280"/>
      </w:pPr>
      <w: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sz w:val="24"/>
          <w:szCs w:val="24"/>
        </w:rP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pStyle w:val="Heading2"/>
        <w:spacing w:after="160" w:before="280"/>
      </w:pPr>
      <w:r>
        <w:t xml:space="preserve">1.3  Research Motivation</w:t>
      </w:r>
    </w:p>
    <w:p>
      <w:pPr>
        <w:spacing w:after="140" w:line="300"/>
        <w:jc w:val="both"/>
      </w:pPr>
      <w:r>
        <w:rPr>
          <w:rFonts w:ascii="Cambria" w:cs="Cambria" w:eastAsia="Cambria" w:hAnsi="Cambria"/>
          <w:color w:val="000000"/>
          <w:sz w:val="24"/>
          <w:szCs w:val="24"/>
        </w:rPr>
        <w:t xml:space="preserve">The framework has been extended to incorporate temporal validity and lifecycle trust.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encompassing per-dimension denial scenarios, signature-rejection tests, and zero-knowledge tamper and expiry tests, together with a live negative evaluation on the Sepolia network. Consequently, formal security analysis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sz w:val="24"/>
          <w:szCs w:val="24"/>
        </w:rP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sz w:val="24"/>
          <w:szCs w:val="24"/>
        </w:rPr>
        <w:t xml:space="preserve">A consent that was valid when initially approved may subsequently become invalid due to expiration, revocation, or a change in its authorised lifecycle state.</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The distinction between the current contribution and the subsequent research is summarised in Table 1.</w:t>
      </w: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The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keepNext/>
        <w:spacing w:after="80" w:before="160"/>
        <w:jc w:val="center"/>
      </w:pPr>
      <w:r>
        <w:rPr>
          <w:rFonts w:ascii="Cambria" w:cs="Cambria" w:eastAsia="Cambria" w:hAnsi="Cambria"/>
          <w:b/>
          <w:bCs/>
          <w:sz w:val="21"/>
          <w:szCs w:val="21"/>
        </w:rPr>
        <w:t xml:space="preserve">Table 1: </w:t>
      </w:r>
      <w:r>
        <w:rPr>
          <w:rFonts w:ascii="Cambria" w:cs="Cambria" w:eastAsia="Cambria" w:hAnsi="Cambria"/>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Modelling</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pStyle w:val="Heading1"/>
        <w:pageBreakBefore/>
        <w:spacing w:after="160" w:before="400"/>
      </w:pPr>
      <w:r>
        <w:t xml:space="preserve">2  Systematic Literature Review</w:t>
      </w:r>
    </w:p>
    <w:p>
      <w:pPr>
        <w:pStyle w:val="Heading2"/>
        <w:spacing w:after="160" w:before="280"/>
      </w:pPr>
      <w: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Heading2"/>
        <w:spacing w:after="160" w:before="280"/>
      </w:pPr>
      <w:r>
        <w:t xml:space="preserve">2.2  Systematic Literature Review Methodology</w:t>
      </w:r>
    </w:p>
    <w:p>
      <w:pPr>
        <w:spacing w:after="140" w:line="300"/>
        <w:jc w:val="both"/>
      </w:pPr>
      <w:r>
        <w:rPr>
          <w:rFonts w:ascii="Cambria" w:cs="Cambria" w:eastAsia="Cambria" w:hAnsi="Cambria"/>
          <w:b w:val="false"/>
          <w:bCs w:val="false"/>
          <w:sz w:val="24"/>
          <w:szCs w:val="24"/>
        </w:rPr>
        <w:t xml:space="preserve">The review corpus comprises the 33 studies identified through the search and screening process described in the remainder of this section. </w:t>
      </w:r>
      <w:r>
        <w:rPr>
          <w:rFonts w:ascii="Cambria" w:cs="Cambria" w:eastAsia="Cambria" w:hAnsi="Cambria"/>
          <w:b w:val="false"/>
          <w:bCs w:val="false"/>
          <w:color w:val="000000"/>
          <w:sz w:val="24"/>
          <w:szCs w:val="24"/>
        </w:rPr>
        <w:t xml:space="preserve">Thirty-two of the 33 included studies were published between 2022 and 2026; one earlier foundational study [31] was retained under the eligibility provision for necessary foundational contributions. The corpus concentrates</w:t>
      </w:r>
      <w:r>
        <w:rPr>
          <w:rFonts w:ascii="Cambria" w:cs="Cambria" w:eastAsia="Cambria" w:hAnsi="Cambria"/>
          <w:b w:val="false"/>
          <w:bCs w:val="false"/>
          <w:sz w:val="24"/>
          <w:szCs w:val="24"/>
        </w:rPr>
        <w:t xml:space="preserve"> on blockchain-based data governance, decentralised identity, verifiable credentials, healthcare access control, and consent management.</w:t>
      </w:r>
    </w:p>
    <w:p>
      <w:pPr>
        <w:spacing w:after="140" w:line="300"/>
        <w:jc w:val="both"/>
      </w:pPr>
      <w:r>
        <w:rPr>
          <w:rFonts w:ascii="Cambria" w:cs="Cambria" w:eastAsia="Cambria" w:hAnsi="Cambria"/>
          <w:b w:val="false"/>
          <w:bCs w:val="false"/>
          <w:sz w:val="24"/>
          <w:szCs w:val="24"/>
        </w:rPr>
        <w:t xml:space="preserve">Within this corpus, references </w:t>
      </w:r>
      <w:r>
        <w:rPr>
          <w:rFonts w:ascii="Cambria" w:cs="Cambria" w:eastAsia="Cambria" w:hAnsi="Cambria"/>
          <w:b w:val="false"/>
          <w:bCs w:val="false"/>
          <w:color w:val="000000"/>
          <w:sz w:val="24"/>
          <w:szCs w:val="24"/>
        </w:rPr>
        <w:t xml:space="preserve">[1, 2, 3, 7, 9, 10, 11, 12, 13, 14, 21, 22, 24, 25, 28, 31, 32]</w:t>
      </w:r>
      <w:r>
        <w:rPr>
          <w:rFonts w:ascii="Cambria" w:cs="Cambria" w:eastAsia="Cambria" w:hAnsi="Cambria"/>
          <w:b w:val="false"/>
          <w:bCs w:val="false"/>
          <w:sz w:val="24"/>
          <w:szCs w:val="24"/>
        </w:rPr>
        <w:t xml:space="preserve"> address the healthcare data sharing, consent, and access-control dimensions of the review, while references </w:t>
      </w:r>
      <w:r>
        <w:rPr>
          <w:rFonts w:ascii="Cambria" w:cs="Cambria" w:eastAsia="Cambria" w:hAnsi="Cambria"/>
          <w:b w:val="false"/>
          <w:bCs w:val="false"/>
          <w:color w:val="000000"/>
          <w:sz w:val="24"/>
          <w:szCs w:val="24"/>
        </w:rPr>
        <w:t xml:space="preserve">[4, 5, 15, 16, 20, 27, 33]</w:t>
      </w:r>
      <w:r>
        <w:rPr>
          <w:rFonts w:ascii="Cambria" w:cs="Cambria" w:eastAsia="Cambria" w:hAnsi="Cambria"/>
          <w:b w:val="false"/>
          <w:bCs w:val="false"/>
          <w:sz w:val="24"/>
          <w:szCs w:val="24"/>
        </w:rPr>
        <w:t xml:space="preserve"> address the decentralised identifier, verifiable credential, and trust-architecture dimensions; the remaining studies contribute to multi-party governance and security assurance.</w:t>
      </w:r>
    </w:p>
    <w:p>
      <w:pPr>
        <w:pStyle w:val="Heading3"/>
        <w:spacing w:after="160" w:before="280"/>
      </w:pPr>
      <w:r>
        <w:t xml:space="preserve">2.2.1  Review Design and Reporting Framework</w:t>
      </w:r>
    </w:p>
    <w:p>
      <w:pPr>
        <w:spacing w:after="140" w:line="300"/>
        <w:jc w:val="both"/>
      </w:pPr>
      <w:r>
        <w:rPr>
          <w:rFonts w:ascii="Cambria" w:cs="Cambria" w:eastAsia="Cambria" w:hAnsi="Cambria"/>
          <w:sz w:val="24"/>
          <w:szCs w:val="24"/>
        </w:rPr>
        <w:t xml:space="preserve">A systematic literature review (SLR) was conducted to identify, classify, and critically evaluate existing research on multi-party healthcare data sharing, patient consent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privacy-preserving access control, and auditability. The review was designed to establish the conceptual and technical foundations of the research and thus </w:t>
      </w:r>
      <w:r>
        <w:rPr>
          <w:rFonts w:ascii="Cambria" w:cs="Cambria" w:eastAsia="Cambria" w:hAnsi="Cambria"/>
          <w:color w:val="000000"/>
          <w:sz w:val="24"/>
          <w:szCs w:val="24"/>
        </w:rPr>
        <w:t xml:space="preserve">of the</w:t>
      </w:r>
      <w:r>
        <w:rPr>
          <w:rFonts w:ascii="Cambria" w:cs="Cambria" w:eastAsia="Cambria" w:hAnsi="Cambria"/>
          <w:sz w:val="24"/>
          <w:szCs w:val="24"/>
        </w:rPr>
        <w:t xml:space="preserv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enforcement, privacy preservation, and auditable data access.</w:t>
      </w:r>
    </w:p>
    <w:p>
      <w:pPr>
        <w:spacing w:after="140" w:line="300"/>
        <w:jc w:val="both"/>
      </w:pPr>
      <w:r>
        <w:rPr>
          <w:rFonts w:ascii="Cambria" w:cs="Cambria" w:eastAsia="Cambria" w:hAnsi="Cambria"/>
          <w:sz w:val="24"/>
          <w:szCs w:val="24"/>
        </w:rPr>
        <w:t xml:space="preserve">The review process was structured according to the Preferred Reporting Items for Systematic Reviews and Meta-Analyses (PRISMA) framework </w:t>
      </w:r>
      <w:r>
        <w:rPr>
          <w:rFonts w:ascii="Cambria" w:cs="Cambria" w:eastAsia="Cambria" w:hAnsi="Cambria"/>
          <w:color w:val="000000"/>
          <w:sz w:val="24"/>
          <w:szCs w:val="24"/>
        </w:rPr>
        <w:t xml:space="preserve">[34]</w:t>
      </w:r>
      <w:r>
        <w:rPr>
          <w:rFonts w:ascii="Cambria" w:cs="Cambria" w:eastAsia="Cambria" w:hAnsi="Cambria"/>
          <w:sz w:val="24"/>
          <w:szCs w:val="24"/>
        </w:rPr>
        <w:t xml:space="preserve">.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p>
      <w:pPr>
        <w:pStyle w:val="Heading3"/>
        <w:spacing w:after="160" w:before="280"/>
      </w:pPr>
      <w:r>
        <w:t xml:space="preserve">2.2.2  Questions for Review</w:t>
      </w:r>
    </w:p>
    <w:p>
      <w:pPr>
        <w:spacing w:after="140" w:line="300"/>
        <w:jc w:val="both"/>
      </w:pPr>
      <w:r>
        <w:rPr>
          <w:rFonts w:ascii="Cambria" w:cs="Cambria" w:eastAsia="Cambria" w:hAnsi="Cambria"/>
          <w:sz w:val="24"/>
          <w:szCs w:val="24"/>
        </w:rPr>
        <w:t xml:space="preserve">This systematic literature review is guided by the following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What multi-party trust approaches have been proposed for healthcare data sharing and patient consent management?</w:t>
      </w:r>
    </w:p>
    <w:p>
      <w:pPr>
        <w:spacing w:after="140" w:line="300"/>
        <w:jc w:val="both"/>
      </w:pPr>
      <w:r>
        <w:rPr>
          <w:rFonts w:ascii="Cambria" w:cs="Cambria" w:eastAsia="Cambria" w:hAnsi="Cambria"/>
          <w:sz w:val="24"/>
          <w:szCs w:val="24"/>
        </w:rPr>
        <w:t xml:space="preserve">2. How do existing approaches represent, verify, and enforce patient consent and data access permissions?</w:t>
      </w:r>
    </w:p>
    <w:p>
      <w:pPr>
        <w:spacing w:after="140" w:line="300"/>
        <w:jc w:val="both"/>
      </w:pPr>
      <w:r>
        <w:rPr>
          <w:rFonts w:ascii="Cambria" w:cs="Cambria" w:eastAsia="Cambria" w:hAnsi="Cambria"/>
          <w:sz w:val="24"/>
          <w:szCs w:val="24"/>
        </w:rPr>
        <w:t xml:space="preserve">3. What mechanisms are used to support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verifiable credentials, and authentication in healthcare data ecosystems?</w:t>
      </w:r>
    </w:p>
    <w:p>
      <w:pPr>
        <w:spacing w:after="140" w:line="300"/>
        <w:jc w:val="both"/>
      </w:pPr>
      <w:r>
        <w:rPr>
          <w:rFonts w:ascii="Cambria" w:cs="Cambria" w:eastAsia="Cambria" w:hAnsi="Cambria"/>
          <w:sz w:val="24"/>
          <w:szCs w:val="24"/>
        </w:rPr>
        <w:t xml:space="preserve">4. How do existing systems address privacy preservation, selective disclosure, interoperability, and auditability?</w:t>
      </w:r>
    </w:p>
    <w:p>
      <w:pPr>
        <w:spacing w:after="140" w:line="300"/>
        <w:jc w:val="both"/>
      </w:pPr>
      <w:r>
        <w:rPr>
          <w:rFonts w:ascii="Cambria" w:cs="Cambria" w:eastAsia="Cambria" w:hAnsi="Cambria"/>
          <w:sz w:val="24"/>
          <w:szCs w:val="24"/>
        </w:rPr>
        <w:t xml:space="preserve">5. What limitations remain regarding the integration of consent management, identity verification, access control, and auditable healthcare data sharing?</w:t>
      </w:r>
    </w:p>
    <w:p>
      <w:pPr>
        <w:spacing w:after="140" w:line="300"/>
        <w:jc w:val="both"/>
      </w:pPr>
      <w:r>
        <w:rPr>
          <w:rFonts w:ascii="Cambria" w:cs="Cambria" w:eastAsia="Cambria" w:hAnsi="Cambria"/>
          <w:color w:val="000000"/>
          <w:sz w:val="24"/>
          <w:szCs w:val="24"/>
        </w:rPr>
        <w:t xml:space="preserve">6. How do existing systems manage the temporal validity and lifecycle of consent, including expiration, revocation, and state transitions, after consent has been granted?</w:t>
      </w:r>
    </w:p>
    <w:p>
      <w:pPr>
        <w:spacing w:after="140" w:line="300"/>
        <w:jc w:val="both"/>
      </w:pPr>
      <w:r>
        <w:rPr>
          <w:rFonts w:ascii="Cambria" w:cs="Cambria" w:eastAsia="Cambria" w:hAnsi="Cambria"/>
          <w:color w:val="000000"/>
          <w:sz w:val="24"/>
          <w:szCs w:val="24"/>
        </w:rPr>
        <w:t xml:space="preserve">7. How are the security properties of existing consent and access-control systems evaluated, and to what extent is formal security analysis employed alongside empirical prototyping?</w:t>
      </w:r>
    </w:p>
    <w:p>
      <w:pPr>
        <w:spacing w:after="140" w:line="300"/>
        <w:jc w:val="both"/>
      </w:pPr>
      <w:r>
        <w:rPr>
          <w:rFonts w:ascii="Cambria" w:cs="Cambria" w:eastAsia="Cambria" w:hAnsi="Cambria"/>
          <w:sz w:val="24"/>
          <w:szCs w:val="24"/>
        </w:rP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p>
      <w:pPr>
        <w:pStyle w:val="Heading3"/>
        <w:spacing w:after="160" w:before="280"/>
      </w:pPr>
      <w:r>
        <w:t xml:space="preserve">2.2.3  Search Databases and Search Strategy</w:t>
      </w:r>
    </w:p>
    <w:p>
      <w:pPr>
        <w:spacing w:after="140" w:line="300"/>
        <w:jc w:val="both"/>
      </w:pPr>
      <w:r>
        <w:rPr>
          <w:rFonts w:ascii="Cambria" w:cs="Cambria" w:eastAsia="Cambria" w:hAnsi="Cambria"/>
          <w:sz w:val="24"/>
          <w:szCs w:val="24"/>
        </w:rPr>
        <w:t xml:space="preserve">The literature search was conducted using the following academic databases</w:t>
      </w:r>
      <w:r>
        <w:rPr>
          <w:rFonts w:ascii="Cambria" w:cs="Cambria" w:eastAsia="Cambria" w:hAnsi="Cambria"/>
          <w:color w:val="000000"/>
          <w:sz w:val="24"/>
          <w:szCs w:val="24"/>
        </w:rPr>
        <w:t xml:space="preserve">: 1) IEEE Xplore, 2) ACM Digital Library, 3) ScienceDirect, 4) SpringerLink, 5) PubMed, 6) Scopus, and 7) Web of Science</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spacing w:after="140" w:line="300"/>
        <w:jc w:val="both"/>
      </w:pPr>
      <w:r>
        <w:rPr>
          <w:rFonts w:ascii="Cambria" w:cs="Cambria" w:eastAsia="Cambria" w:hAnsi="Cambria"/>
          <w:sz w:val="24"/>
          <w:szCs w:val="24"/>
        </w:rP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w:t>
      </w:r>
      <w:r>
        <w:rPr>
          <w:rFonts w:ascii="Cambria" w:cs="Cambria" w:eastAsia="Cambria" w:hAnsi="Cambria"/>
          <w:color w:val="000000"/>
          <w:sz w:val="24"/>
          <w:szCs w:val="24"/>
        </w:rPr>
        <w:t xml:space="preserve">blockchain and distributed-ledger technology,</w:t>
      </w:r>
      <w:r>
        <w:rPr>
          <w:rFonts w:ascii="Cambria" w:cs="Cambria" w:eastAsia="Cambria" w:hAnsi="Cambria"/>
          <w:sz w:val="24"/>
          <w:szCs w:val="24"/>
        </w:rPr>
        <w:t xml:space="preserve"> healthcare data, patient consent,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access control, privacy, and auditability. The general search string was defined as shown in Figure 1.</w:t>
      </w:r>
    </w:p>
    <w:p>
      <w:pPr>
        <w:spacing w:after="140" w:line="300"/>
        <w:jc w:val="both"/>
      </w:pPr>
      <w:r>
        <w:rPr>
          <w:rFonts w:ascii="Cambria" w:cs="Cambria" w:eastAsia="Cambria" w:hAnsi="Cambria"/>
          <w:b w:val="false"/>
          <w:bCs w:val="false"/>
          <w:sz w:val="24"/>
          <w:szCs w:val="24"/>
        </w:rPr>
        <w:t xml:space="preserve">The supporting-requirements block of the search string additionally captured trusted-execution terminology (trusted computing, trusted execution environment, attestation), which yielded the secure-execution studies reviewed in Section 2.3.6.</w:t>
      </w:r>
    </w:p>
    <w:p>
      <w:pPr>
        <w:keepNext/>
        <w:spacing w:after="60" w:before="140"/>
        <w:jc w:val="center"/>
      </w:pPr>
      <w:r>
        <w:drawing>
          <wp:inline distT="0" distB="0" distL="0" distR="0">
            <wp:extent cx="5715000" cy="4010025"/>
            <wp:effectExtent t="0" r="0" b="0" l="0"/>
            <wp:docPr id="1" name="gfig1f.png" descr="Figure 1: SLR Search String Definition" title="Figure 1: SLR Search String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10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w:t>
      </w:r>
    </w:p>
    <w:p>
      <w:pPr>
        <w:jc w:val="center"/>
      </w:pPr>
      <w:r>
        <w:rPr>
          <w:rFonts w:ascii="Cambria" w:cs="Cambria" w:eastAsia="Cambria" w:hAnsi="Cambria"/>
          <w:i/>
          <w:iCs/>
          <w:sz w:val="20"/>
          <w:szCs w:val="20"/>
        </w:rPr>
        <w:t xml:space="preserve">[Figure 1: SLR Search String Definition (updated: blockchain and distributed-ledger terminology added to the Multi-Party Trust block, and trusted computing, trusted execution environment, and attestation added to the Supporting Requirements block, in line with Section 2.2.3)]</w:t>
      </w:r>
    </w:p>
    <w:p>
      <w:pPr>
        <w:pStyle w:val="Heading3"/>
        <w:spacing w:after="160" w:before="280"/>
      </w:pPr>
      <w:r>
        <w:t xml:space="preserve">2.2.4  Search Period and Search Execution</w:t>
      </w:r>
    </w:p>
    <w:p>
      <w:pPr>
        <w:spacing w:after="140" w:line="300"/>
        <w:jc w:val="both"/>
      </w:pPr>
      <w:r>
        <w:rPr>
          <w:rFonts w:ascii="Cambria" w:cs="Cambria" w:eastAsia="Cambria" w:hAnsi="Cambria"/>
          <w:sz w:val="24"/>
          <w:szCs w:val="24"/>
        </w:rPr>
        <w:t xml:space="preserve">The search was restricted to studies published between </w:t>
      </w:r>
      <w:r>
        <w:rPr>
          <w:rFonts w:ascii="Cambria" w:cs="Cambria" w:eastAsia="Cambria" w:hAnsi="Cambria"/>
          <w:color w:val="000000"/>
          <w:sz w:val="24"/>
          <w:szCs w:val="24"/>
        </w:rPr>
        <w:t xml:space="preserve">January 2022 and the search date, and was performed in August 2026</w:t>
      </w:r>
      <w:r>
        <w:rPr>
          <w:rFonts w:ascii="Cambria" w:cs="Cambria" w:eastAsia="Cambria" w:hAnsi="Cambria"/>
          <w:sz w:val="24"/>
          <w:szCs w:val="24"/>
        </w:rPr>
        <w:t xml:space="preserve">. The search period was selected to capture the rapid development of multi-party trust healthcare data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consent-aware access control while maintaining a sufficiently contemporary evidence base. Earlier foundational studies were retained when they provided critical contributions to the technical or conceptual development of the reviewed approaches.</w:t>
      </w:r>
    </w:p>
    <w:p>
      <w:pPr>
        <w:spacing w:after="140" w:line="300"/>
        <w:jc w:val="both"/>
      </w:pPr>
      <w:r>
        <w:rPr>
          <w:rFonts w:ascii="Cambria" w:cs="Cambria" w:eastAsia="Cambria" w:hAnsi="Cambria"/>
          <w:sz w:val="24"/>
          <w:szCs w:val="24"/>
        </w:rP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Heading3"/>
        <w:spacing w:after="160" w:before="280"/>
      </w:pPr>
      <w:r>
        <w:t xml:space="preserve">2.2.5  Eligibility Criteria</w:t>
      </w:r>
    </w:p>
    <w:p>
      <w:pPr>
        <w:spacing w:after="140" w:line="300"/>
        <w:jc w:val="both"/>
      </w:pPr>
      <w:r>
        <w:rPr>
          <w:rFonts w:ascii="Cambria" w:cs="Cambria" w:eastAsia="Cambria" w:hAnsi="Cambria"/>
          <w:sz w:val="24"/>
          <w:szCs w:val="24"/>
        </w:rPr>
        <w:t xml:space="preserve">The eligibility criteria were defined before the screening process to ensure consistency in the selection of studies. The criteria were designed to identify research that was directly relevant to the objectives of the SLR.</w:t>
      </w:r>
    </w:p>
    <w:p>
      <w:pPr>
        <w:spacing w:after="140" w:line="300"/>
        <w:jc w:val="both"/>
      </w:pPr>
      <w:r>
        <w:rPr>
          <w:rFonts w:ascii="Cambria" w:cs="Cambria" w:eastAsia="Cambria" w:hAnsi="Cambria"/>
          <w:sz w:val="24"/>
          <w:szCs w:val="24"/>
        </w:rPr>
        <w:t xml:space="preserve">A study was included if it satisfied the following criteria</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published as a peer-reviewed journal article, conference paper, or systematic review relevant to the research questions.</w:t>
      </w:r>
    </w:p>
    <w:p>
      <w:pPr>
        <w:spacing w:after="140" w:line="300"/>
        <w:jc w:val="both"/>
      </w:pPr>
      <w:r>
        <w:rPr>
          <w:rFonts w:ascii="Cambria" w:cs="Cambria" w:eastAsia="Cambria" w:hAnsi="Cambria"/>
          <w:sz w:val="24"/>
          <w:szCs w:val="24"/>
        </w:rPr>
        <w:t xml:space="preserve">2. The study addressed healthcare data sharing, electronic health records, patient consent, healthcare access control,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 preservation, or a closely related topic.</w:t>
      </w:r>
    </w:p>
    <w:p>
      <w:pPr>
        <w:spacing w:after="140" w:line="300"/>
        <w:jc w:val="both"/>
      </w:pPr>
      <w:r>
        <w:rPr>
          <w:rFonts w:ascii="Cambria" w:cs="Cambria" w:eastAsia="Cambria" w:hAnsi="Cambria"/>
          <w:sz w:val="24"/>
          <w:szCs w:val="24"/>
        </w:rPr>
        <w:t xml:space="preserve">3. The study proposed, implemented, evaluated, or critically reviewed a technical, architectural, conceptual, or governance-oriented approach relevant to the research questions.</w:t>
      </w:r>
    </w:p>
    <w:p>
      <w:pPr>
        <w:spacing w:after="140" w:line="300"/>
        <w:jc w:val="both"/>
      </w:pPr>
      <w:r>
        <w:rPr>
          <w:rFonts w:ascii="Cambria" w:cs="Cambria" w:eastAsia="Cambria" w:hAnsi="Cambria"/>
          <w:sz w:val="24"/>
          <w:szCs w:val="24"/>
        </w:rPr>
        <w:t xml:space="preserve">4. The study provided sufficient methodological or conceptual information to support the extraction of relevant findings.</w:t>
      </w:r>
    </w:p>
    <w:p>
      <w:pPr>
        <w:spacing w:after="140" w:line="300"/>
        <w:jc w:val="both"/>
      </w:pPr>
      <w:r>
        <w:rPr>
          <w:rFonts w:ascii="Cambria" w:cs="Cambria" w:eastAsia="Cambria" w:hAnsi="Cambria"/>
          <w:sz w:val="24"/>
          <w:szCs w:val="24"/>
        </w:rPr>
        <w:t xml:space="preserve">5. The full text was available for inspection.</w:t>
      </w:r>
    </w:p>
    <w:p>
      <w:pPr>
        <w:spacing w:after="140" w:line="300"/>
        <w:jc w:val="both"/>
      </w:pPr>
      <w:r>
        <w:rPr>
          <w:rFonts w:ascii="Cambria" w:cs="Cambria" w:eastAsia="Cambria" w:hAnsi="Cambria"/>
          <w:sz w:val="24"/>
          <w:szCs w:val="24"/>
        </w:rPr>
        <w:t xml:space="preserve">6. The publication language was English.</w:t>
      </w:r>
    </w:p>
    <w:p>
      <w:pPr>
        <w:spacing w:after="140" w:line="300"/>
        <w:jc w:val="both"/>
      </w:pPr>
      <w:r>
        <w:rPr>
          <w:rFonts w:ascii="Cambria" w:cs="Cambria" w:eastAsia="Cambria" w:hAnsi="Cambria"/>
          <w:sz w:val="24"/>
          <w:szCs w:val="24"/>
        </w:rPr>
        <w:t xml:space="preserve">Studies were excluded if they satisfied one or more of the following conditions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unrelated to healthcare data sharing, patient consent, identity management, access control, privacy, or auditability.</w:t>
      </w:r>
    </w:p>
    <w:p>
      <w:pPr>
        <w:spacing w:after="140" w:line="300"/>
        <w:jc w:val="both"/>
      </w:pPr>
      <w:r>
        <w:rPr>
          <w:rFonts w:ascii="Cambria" w:cs="Cambria" w:eastAsia="Cambria" w:hAnsi="Cambria"/>
          <w:sz w:val="24"/>
          <w:szCs w:val="24"/>
        </w:rPr>
        <w:t xml:space="preserve">2. The study was a duplicate of another retrieved record.</w:t>
      </w:r>
    </w:p>
    <w:p>
      <w:pPr>
        <w:spacing w:after="140" w:line="300"/>
        <w:jc w:val="both"/>
      </w:pPr>
      <w:r>
        <w:rPr>
          <w:rFonts w:ascii="Cambria" w:cs="Cambria" w:eastAsia="Cambria" w:hAnsi="Cambria"/>
          <w:sz w:val="24"/>
          <w:szCs w:val="24"/>
        </w:rPr>
        <w:t xml:space="preserve">3. The study was a short abstract, editorial, opinion article, thesis, book chapter, or non-peer-reviewed publication without sufficient methodological detail, unless it provided a necessary foundational contribution.</w:t>
      </w:r>
    </w:p>
    <w:p>
      <w:pPr>
        <w:spacing w:after="140" w:line="300"/>
        <w:jc w:val="both"/>
      </w:pPr>
      <w:r>
        <w:rPr>
          <w:rFonts w:ascii="Cambria" w:cs="Cambria" w:eastAsia="Cambria" w:hAnsi="Cambria"/>
          <w:sz w:val="24"/>
          <w:szCs w:val="24"/>
        </w:rPr>
        <w:t xml:space="preserve">4. The study did not provide sufficient information to evaluate its contribution to the research questions.</w:t>
      </w:r>
    </w:p>
    <w:p>
      <w:pPr>
        <w:spacing w:after="140" w:line="300"/>
        <w:jc w:val="both"/>
      </w:pPr>
      <w:r>
        <w:rPr>
          <w:rFonts w:ascii="Cambria" w:cs="Cambria" w:eastAsia="Cambria" w:hAnsi="Cambria"/>
          <w:sz w:val="24"/>
          <w:szCs w:val="24"/>
        </w:rPr>
        <w:t xml:space="preserve">5. The full text was unavailable.</w:t>
      </w:r>
    </w:p>
    <w:p>
      <w:pPr>
        <w:spacing w:after="140" w:line="300"/>
        <w:jc w:val="both"/>
      </w:pPr>
      <w:r>
        <w:rPr>
          <w:rFonts w:ascii="Cambria" w:cs="Cambria" w:eastAsia="Cambria" w:hAnsi="Cambria"/>
          <w:sz w:val="24"/>
          <w:szCs w:val="24"/>
        </w:rPr>
        <w:t xml:space="preserve">6. The study focused exclusively on a technical problem that was outside the scope of healthcare data management and did not provide transferable insights relevant to the review.</w:t>
      </w:r>
    </w:p>
    <w:p>
      <w:pPr>
        <w:spacing w:after="140" w:line="300"/>
        <w:jc w:val="both"/>
      </w:pPr>
      <w:r>
        <w:rPr>
          <w:rFonts w:ascii="Cambria" w:cs="Cambria" w:eastAsia="Cambria" w:hAnsi="Cambria"/>
          <w:sz w:val="24"/>
          <w:szCs w:val="24"/>
        </w:rP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spacing w:after="140" w:line="300"/>
        <w:jc w:val="both"/>
      </w:pPr>
      <w:r>
        <w:rPr>
          <w:rFonts w:ascii="Cambria" w:cs="Cambria" w:eastAsia="Cambria" w:hAnsi="Cambria"/>
          <w:color w:val="000000"/>
          <w:sz w:val="24"/>
          <w:szCs w:val="24"/>
        </w:rPr>
        <w:t xml:space="preserve">A small number of included studies address domains other than healthcare, such as cross-organisational livestock data sharing, archival record-keeping, smart agriculture, electric-vehicle charging, and smart-city data governance [6, 8, 17, 27, 30]. These studies were retained under criterion 6 because they provide transferable insights on decentralised trust, verifiable credentials, and auditable data governance that bear directly on the review questions.</w:t>
      </w:r>
    </w:p>
    <w:p>
      <w:pPr>
        <w:pStyle w:val="Heading3"/>
        <w:spacing w:after="160" w:before="280"/>
      </w:pPr>
      <w:r>
        <w:t xml:space="preserve">2.2.6  Screening and Study Selection</w:t>
      </w:r>
    </w:p>
    <w:p>
      <w:pPr>
        <w:spacing w:after="140" w:line="300"/>
        <w:jc w:val="both"/>
      </w:pPr>
      <w:r>
        <w:rPr>
          <w:rFonts w:ascii="Cambria" w:cs="Cambria" w:eastAsia="Cambria" w:hAnsi="Cambria"/>
          <w:sz w:val="24"/>
          <w:szCs w:val="24"/>
        </w:rPr>
        <w:t xml:space="preserve">The screening process consisted of three sequential stages: title and abstract screening, full-text eligibility assessment, and final inclusion.</w:t>
      </w:r>
    </w:p>
    <w:p>
      <w:pPr>
        <w:spacing w:after="140" w:line="300"/>
        <w:jc w:val="both"/>
      </w:pPr>
      <w:r>
        <w:rPr>
          <w:rFonts w:ascii="Cambria" w:cs="Cambria" w:eastAsia="Cambria" w:hAnsi="Cambria"/>
          <w:sz w:val="24"/>
          <w:szCs w:val="24"/>
        </w:rP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privacy, and healthcare data sharing.</w:t>
      </w:r>
    </w:p>
    <w:p>
      <w:pPr>
        <w:spacing w:after="140" w:line="300"/>
        <w:jc w:val="both"/>
      </w:pPr>
      <w:r>
        <w:rPr>
          <w:rFonts w:ascii="Cambria" w:cs="Cambria" w:eastAsia="Cambria" w:hAnsi="Cambria"/>
          <w:sz w:val="24"/>
          <w:szCs w:val="24"/>
        </w:rP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keepNext/>
        <w:spacing w:after="60" w:before="140"/>
        <w:jc w:val="center"/>
      </w:pPr>
      <w:r>
        <w:drawing>
          <wp:inline distT="0" distB="0" distL="0" distR="0">
            <wp:extent cx="5715000" cy="3981450"/>
            <wp:effectExtent t="0" r="0" b="0" l="0"/>
            <wp:docPr id="1" name="gfig2.png" descr="Figure 2: PRISMA Study Selection Summary" title="Figure 2: PRISMA Study Selec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81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Study Selection Summary</w:t>
      </w:r>
    </w:p>
    <w:p>
      <w:pPr>
        <w:jc w:val="center"/>
      </w:pPr>
      <w:r>
        <w:rPr>
          <w:rFonts w:ascii="Cambria" w:cs="Cambria" w:eastAsia="Cambria" w:hAnsi="Cambria"/>
          <w:i/>
          <w:iCs/>
          <w:sz w:val="20"/>
          <w:szCs w:val="20"/>
        </w:rPr>
        <w:t xml:space="preserve">[Figure 2: PRISMA Study Selection Summary]</w:t>
      </w:r>
    </w:p>
    <w:p>
      <w:pPr>
        <w:spacing w:after="140" w:line="300"/>
        <w:jc w:val="both"/>
      </w:pPr>
      <w:r>
        <w:rPr>
          <w:rFonts w:ascii="Cambria" w:cs="Cambria" w:eastAsia="Cambria" w:hAnsi="Cambria"/>
          <w:sz w:val="24"/>
          <w:szCs w:val="24"/>
        </w:rPr>
        <w:t xml:space="preserve">Figure 2 presents the PRISMA flow diagram for this review</w:t>
      </w:r>
      <w:r>
        <w:rPr>
          <w:rFonts w:ascii="Cambria" w:cs="Cambria" w:eastAsia="Cambria" w:hAnsi="Cambria"/>
          <w:color w:val="000000"/>
          <w:sz w:val="24"/>
          <w:szCs w:val="24"/>
        </w:rPr>
        <w:t xml:space="preserve">, which summarises</w:t>
      </w:r>
      <w:r>
        <w:rPr>
          <w:rFonts w:ascii="Cambria" w:cs="Cambria" w:eastAsia="Cambria" w:hAnsi="Cambria"/>
          <w:sz w:val="24"/>
          <w:szCs w:val="24"/>
        </w:rPr>
        <w:t xml:space="preserve"> the identification, screening, eligibility, and inclusion stages of the SLR. The final number of included studies was derived after completing the screening and eligibility assessment across the identified literature base.</w:t>
      </w:r>
    </w:p>
    <w:p>
      <w:pPr>
        <w:spacing w:after="140" w:line="300"/>
        <w:jc w:val="both"/>
      </w:pPr>
      <w:r>
        <w:rPr>
          <w:rFonts w:ascii="Cambria" w:cs="Cambria" w:eastAsia="Cambria" w:hAnsi="Cambria"/>
          <w:b w:val="false"/>
          <w:bCs w:val="false"/>
          <w:sz w:val="24"/>
          <w:szCs w:val="24"/>
        </w:rPr>
        <w:t xml:space="preserve">Seven of the removed records were flagged as ineligible during automated pre-screening (non-English sources and non-peer-reviewed material) and were excluded before the manual title and abstract screening.</w:t>
      </w:r>
    </w:p>
    <w:p>
      <w:pPr>
        <w:spacing w:after="140" w:line="300"/>
        <w:jc w:val="both"/>
      </w:pPr>
      <w:r>
        <w:rPr>
          <w:rFonts w:ascii="Cambria" w:cs="Cambria" w:eastAsia="Cambria" w:hAnsi="Cambria"/>
          <w:color w:val="000000"/>
          <w:sz w:val="24"/>
          <w:szCs w:val="24"/>
        </w:rPr>
        <w:t xml:space="preserve">In numerical terms, the database searches returned 125 records. Before screening, 35 duplicate records and the seven records flagged during automated pre-screening were removed, leaving 83 records for title and abstract screening. Of these, 40 records were excluded as unrelated to the review scope and 43 reports were sought for retrieval; three full texts were inaccessible, so 40 reports were assessed for eligibility. Seven reports were excluded at this stage, three for insufficient technical or architectural detail and four for scope mismatch with the consent and decentralised-identity focus of the review, and 33 studies were included in the final qualitative synthesis, exactly as reported in Figure 2.</w:t>
      </w:r>
    </w:p>
    <w:p>
      <w:pPr>
        <w:pStyle w:val="Heading3"/>
        <w:spacing w:after="160" w:before="280"/>
      </w:pPr>
      <w:r>
        <w:t xml:space="preserve">2.2.7  Data Extraction and Synthesis</w:t>
      </w:r>
    </w:p>
    <w:p>
      <w:pPr>
        <w:spacing w:after="140" w:line="300"/>
        <w:jc w:val="both"/>
      </w:pPr>
      <w:r>
        <w:rPr>
          <w:rFonts w:ascii="Cambria" w:cs="Cambria" w:eastAsia="Cambria" w:hAnsi="Cambria"/>
          <w:sz w:val="24"/>
          <w:szCs w:val="24"/>
        </w:rP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spacing w:after="140" w:line="300"/>
        <w:jc w:val="both"/>
      </w:pPr>
      <w:r>
        <w:rPr>
          <w:rFonts w:ascii="Cambria" w:cs="Cambria" w:eastAsia="Cambria" w:hAnsi="Cambria"/>
          <w:sz w:val="24"/>
          <w:szCs w:val="24"/>
        </w:rPr>
        <w:t xml:space="preserve">The extracted data were </w:t>
      </w:r>
      <w:r>
        <w:rPr>
          <w:rFonts w:ascii="Cambria" w:cs="Cambria" w:eastAsia="Cambria" w:hAnsi="Cambria"/>
          <w:color w:val="000000"/>
          <w:sz w:val="24"/>
          <w:szCs w:val="24"/>
        </w:rPr>
        <w:t xml:space="preserve">organised</w:t>
      </w:r>
      <w:r>
        <w:rPr>
          <w:rFonts w:ascii="Cambria" w:cs="Cambria" w:eastAsia="Cambria" w:hAnsi="Cambria"/>
          <w:sz w:val="24"/>
          <w:szCs w:val="24"/>
        </w:rPr>
        <w:t xml:space="preserve"> into thematic categories corresponding to the research questions. These categories included consent specification and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credential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access control, privacy preservation, interoperability, auditability, and system evaluation.</w:t>
      </w:r>
    </w:p>
    <w:p>
      <w:pPr>
        <w:spacing w:after="140" w:line="300"/>
        <w:jc w:val="both"/>
      </w:pPr>
      <w:r>
        <w:rPr>
          <w:rFonts w:ascii="Cambria" w:cs="Cambria" w:eastAsia="Cambria" w:hAnsi="Cambria"/>
          <w:sz w:val="24"/>
          <w:szCs w:val="24"/>
        </w:rP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auditable access records, and mechanisms for preserving patient autonomy.</w:t>
      </w:r>
    </w:p>
    <w:p>
      <w:pPr>
        <w:spacing w:after="140" w:line="300"/>
        <w:jc w:val="both"/>
      </w:pPr>
      <w:r>
        <w:rPr>
          <w:rFonts w:ascii="Cambria" w:cs="Cambria" w:eastAsia="Cambria" w:hAnsi="Cambria"/>
          <w:color w:val="000000"/>
          <w:sz w:val="24"/>
          <w:szCs w:val="24"/>
        </w:rPr>
        <w:t xml:space="preserve">Each study assessed at the full-text stage was additionally evaluated against four predefined quality criteria: clarity of the research objective, adequacy of the methodological description, rigour of the reported evaluation or validation, and relevance of the evidence to the review questions. Studies that failed more than one criterion were excluded during the full-text assessment, so the quality assessment operated as part of the eligibility decision rather than as a separate scoring exercise.</w:t>
      </w:r>
    </w:p>
    <w:p>
      <w:pPr>
        <w:spacing w:after="140" w:line="300"/>
        <w:jc w:val="both"/>
      </w:pPr>
      <w:r>
        <w:rPr>
          <w:rFonts w:ascii="Cambria" w:cs="Cambria" w:eastAsia="Cambria" w:hAnsi="Cambria"/>
          <w:sz w:val="24"/>
          <w:szCs w:val="24"/>
        </w:rP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keepNext/>
        <w:spacing w:after="60" w:before="140"/>
        <w:jc w:val="center"/>
      </w:pPr>
      <w:r>
        <w:drawing>
          <wp:inline distT="0" distB="0" distL="0" distR="0">
            <wp:extent cx="5715000" cy="2114550"/>
            <wp:effectExtent t="0" r="0" b="0" l="0"/>
            <wp:docPr id="1" name="gfig2a.png" descr="Figure 3: Profile of the 33 included studies: distribution by publication year and by review stream. The single 2019 study is the foundational source [31] retained outside the systematic search window; a study may contribute to more than one stream." title="Figure 3: Profile of the 33 included studies: distribution by publication year and by review stream. The single 2019 study is the foundational source [31] retained outside the systematic search window; a study may contribute to more than one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14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33 included studies: distribution by publication year and by review stream. The single 2019 study is the foundational source [31] retained outside the systematic search window; a study may contribute to more than one stream.</w:t>
      </w:r>
    </w:p>
    <w:p>
      <w:pPr>
        <w:pStyle w:val="Heading2"/>
        <w:spacing w:after="160" w:before="280"/>
      </w:pPr>
      <w:r>
        <w:t xml:space="preserve">2.3  Review</w:t>
      </w:r>
    </w:p>
    <w:p>
      <w:pPr>
        <w:spacing w:after="140" w:line="300"/>
        <w:jc w:val="both"/>
      </w:pPr>
      <w:r>
        <w:rPr>
          <w:rFonts w:ascii="Cambria" w:cs="Cambria" w:eastAsia="Cambria" w:hAnsi="Cambria"/>
          <w:color w:val="000000"/>
          <w:sz w:val="24"/>
          <w:szCs w:val="24"/>
        </w:rPr>
        <w:t xml:space="preserve">The thematic sections that follow (Sections 2.3.1–2.3.6), together with the comparative analysis in Section 2.3.7, address the review questions as follows. Review question 1 is addressed principally in Sections 2.3.2 and 2.3.4; review question 2 in Sections 2.3.1 and 2.3.5; review question 3 in Section 2.3.3; review question 4 in Sections 2.3.2 and 2.3.5, with its selective-disclosure dimension addressed in Section 2.3.3; and review question 5 is synthesised in Sections 2.3.7 and 2.4, where it motivates the research gap. The lifecycle and evaluation questions 6 and 7 are addressed in Sections 2.3.1 and 2.3.6 respectively.</w:t>
      </w:r>
    </w:p>
    <w:p>
      <w:pPr>
        <w:spacing w:after="140" w:line="300"/>
        <w:jc w:val="both"/>
      </w:pPr>
      <w:r>
        <w:rPr>
          <w:rFonts w:ascii="Cambria" w:cs="Cambria" w:eastAsia="Cambria" w:hAnsi="Cambria"/>
          <w:color w:val="000000"/>
          <w:sz w:val="24"/>
          <w:szCs w:val="24"/>
        </w:rPr>
        <w:t xml:space="preserve">Consistent with the scope established in Section 2.1, the following subsections examine each research stream in turn: healthcare consent governance, blockchain-based data governance, decentralised identity and verifiable credentials, multi-party authorisation, policy-based and context-aware access control, and Trusted Computing. Each subsection evaluates how the reviewed approaches contribute to the conditions required for a trustworthy authorisation decision and identifies the limitations that motivate the proposed framework.</w:t>
      </w:r>
    </w:p>
    <w:p>
      <w:pPr>
        <w:keepNext/>
        <w:spacing w:after="60" w:before="140"/>
        <w:jc w:val="center"/>
      </w:pPr>
      <w:r>
        <w:drawing>
          <wp:inline distT="0" distB="0" distL="0" distR="0">
            <wp:extent cx="5334000" cy="4276725"/>
            <wp:effectExtent t="0" r="0" b="0" l="0"/>
            <wp:docPr id="1" name="gfig2b.png" descr="Figure 4: Correspondence between the seven review questions of Section 2.2.2 and the sections of the review in which they are addressed, ending in the research gap carried into Chapter 3." title="Figure 4: Correspondence between the seven review questions of Section 2.2.2 and the sections of the review in which they are addressed, ending in the research gap carried into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276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2.2.2 and the sections of the review in which they are addressed, ending in the research gap carried into Chapter 3.</w:t>
      </w:r>
    </w:p>
    <w:p>
      <w:pPr>
        <w:pStyle w:val="Heading3"/>
        <w:spacing w:after="160" w:before="280"/>
      </w:pPr>
      <w:r>
        <w:t xml:space="preserve">2.3.1  Healthcare Consent and Decentralised Data Governance</w:t>
      </w:r>
    </w:p>
    <w:p>
      <w:pPr>
        <w:spacing w:after="140" w:line="300"/>
        <w:jc w:val="both"/>
      </w:pPr>
      <w:r>
        <w:rPr>
          <w:rFonts w:ascii="Cambria" w:cs="Cambria" w:eastAsia="Cambria" w:hAnsi="Cambria"/>
          <w:sz w:val="24"/>
          <w:szCs w:val="24"/>
        </w:rPr>
        <w:t xml:space="preserve">Healthcare data sharing is fundamentally different from conventional information exchange because the data involved </w:t>
      </w:r>
      <w:r>
        <w:rPr>
          <w:rFonts w:ascii="Cambria" w:cs="Cambria" w:eastAsia="Cambria" w:hAnsi="Cambria"/>
          <w:color w:val="000000"/>
          <w:sz w:val="24"/>
          <w:szCs w:val="24"/>
        </w:rPr>
        <w:t xml:space="preserve">are</w:t>
      </w:r>
      <w:r>
        <w:rPr>
          <w:rFonts w:ascii="Cambria" w:cs="Cambria" w:eastAsia="Cambria" w:hAnsi="Cambria"/>
          <w:sz w:val="24"/>
          <w:szCs w:val="24"/>
        </w:rPr>
        <w:t xml:space="preserve">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spacing w:after="140" w:line="300"/>
        <w:jc w:val="both"/>
      </w:pPr>
      <w:r>
        <w:rPr>
          <w:rFonts w:ascii="Cambria" w:cs="Cambria" w:eastAsia="Cambria" w:hAnsi="Cambria"/>
          <w:sz w:val="24"/>
          <w:szCs w:val="24"/>
        </w:rP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spacing w:after="140" w:line="300"/>
        <w:jc w:val="both"/>
      </w:pPr>
      <w:r>
        <w:rPr>
          <w:rFonts w:ascii="Cambria" w:cs="Cambria" w:eastAsia="Cambria" w:hAnsi="Cambria"/>
          <w:sz w:val="24"/>
          <w:szCs w:val="24"/>
        </w:rPr>
        <w:t xml:space="preserve">Traditional consent-management approaches frequently represent consent as a permission indicating whether a particular party is allowed to perform a specified operation</w:t>
      </w:r>
      <w:r>
        <w:rPr>
          <w:rFonts w:ascii="Cambria" w:cs="Cambria" w:eastAsia="Cambria" w:hAnsi="Cambria"/>
          <w:color w:val="000000"/>
          <w:sz w:val="24"/>
          <w:szCs w:val="24"/>
        </w:rPr>
        <w:t xml:space="preserve"> [13, 10]</w:t>
      </w:r>
      <w:r>
        <w:rPr>
          <w:rFonts w:ascii="Cambria" w:cs="Cambria" w:eastAsia="Cambria" w:hAnsi="Cambria"/>
          <w:sz w:val="24"/>
          <w:szCs w:val="24"/>
        </w:rPr>
        <w:t xml:space="preserve">.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spacing w:after="140" w:line="300"/>
        <w:jc w:val="both"/>
      </w:pPr>
      <w:r>
        <w:rPr>
          <w:rFonts w:ascii="Cambria" w:cs="Cambria" w:eastAsia="Cambria" w:hAnsi="Cambria"/>
          <w:sz w:val="24"/>
          <w:szCs w:val="24"/>
        </w:rP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spacing w:after="140" w:line="300"/>
        <w:jc w:val="both"/>
      </w:pPr>
      <w:r>
        <w:rPr>
          <w:rFonts w:ascii="Cambria" w:cs="Cambria" w:eastAsia="Cambria" w:hAnsi="Cambria"/>
          <w:sz w:val="24"/>
          <w:szCs w:val="24"/>
        </w:rP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spacing w:after="140" w:line="300"/>
        <w:jc w:val="both"/>
      </w:pPr>
      <w:r>
        <w:rPr>
          <w:rFonts w:ascii="Cambria" w:cs="Cambria" w:eastAsia="Cambria" w:hAnsi="Cambria"/>
          <w:color w:val="000000"/>
          <w:sz w:val="24"/>
          <w:szCs w:val="24"/>
        </w:rPr>
        <w:t xml:space="preserve">Within this stream, dynamic-consent research [13] and consent-receipt mechanisms [10] already recognise that a patient's permission changes over time; however, the reviewed systems provide limited support for treating expiration, revocation, and consent state transitions as first-class and independently verifiable authorisation conditions after consent has been granted. This limitation motivates the lifecycle dimension examined by review question 6.</w:t>
      </w:r>
    </w:p>
    <w:p>
      <w:pPr>
        <w:pStyle w:val="Heading3"/>
        <w:spacing w:after="160" w:before="280"/>
      </w:pPr>
      <w:r>
        <w:t xml:space="preserve">2.3.2  Blockchain-Based Consent and Data Governance</w:t>
      </w:r>
    </w:p>
    <w:p>
      <w:pPr>
        <w:spacing w:after="140" w:line="300"/>
        <w:jc w:val="both"/>
      </w:pPr>
      <w:r>
        <w:rPr>
          <w:rFonts w:ascii="Cambria" w:cs="Cambria" w:eastAsia="Cambria" w:hAnsi="Cambria"/>
          <w:sz w:val="24"/>
          <w:szCs w:val="24"/>
        </w:rP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spacing w:after="140" w:line="300"/>
        <w:jc w:val="both"/>
      </w:pPr>
      <w:r>
        <w:rPr>
          <w:rFonts w:ascii="Cambria" w:cs="Cambria" w:eastAsia="Cambria" w:hAnsi="Cambria"/>
          <w:sz w:val="24"/>
          <w:szCs w:val="24"/>
        </w:rP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spacing w:after="140" w:line="300"/>
        <w:jc w:val="both"/>
      </w:pPr>
      <w:r>
        <w:rPr>
          <w:rFonts w:ascii="Cambria" w:cs="Cambria" w:eastAsia="Cambria" w:hAnsi="Cambria"/>
          <w:sz w:val="24"/>
          <w:szCs w:val="24"/>
        </w:rP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spacing w:after="140" w:line="300"/>
        <w:jc w:val="both"/>
      </w:pPr>
      <w:r>
        <w:rPr>
          <w:rFonts w:ascii="Cambria" w:cs="Cambria" w:eastAsia="Cambria" w:hAnsi="Cambria"/>
          <w:sz w:val="24"/>
          <w:szCs w:val="24"/>
        </w:rP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spacing w:after="140" w:line="300"/>
        <w:jc w:val="both"/>
      </w:pPr>
      <w:r>
        <w:rPr>
          <w:rFonts w:ascii="Cambria" w:cs="Cambria" w:eastAsia="Cambria" w:hAnsi="Cambria"/>
          <w:sz w:val="24"/>
          <w:szCs w:val="24"/>
        </w:rP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spacing w:after="140" w:line="300"/>
        <w:jc w:val="both"/>
      </w:pPr>
      <w:r>
        <w:rPr>
          <w:rFonts w:ascii="Cambria" w:cs="Cambria" w:eastAsia="Cambria" w:hAnsi="Cambria"/>
          <w:sz w:val="24"/>
          <w:szCs w:val="24"/>
        </w:rP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Heading3"/>
        <w:spacing w:after="160" w:before="280"/>
      </w:pPr>
      <w:r>
        <w:t xml:space="preserve">2.3.3  Decentralised Identity and Verifiable Credentials</w:t>
      </w:r>
    </w:p>
    <w:p>
      <w:pPr>
        <w:spacing w:after="140" w:line="300"/>
        <w:jc w:val="both"/>
      </w:pPr>
      <w:r>
        <w:rPr>
          <w:rFonts w:ascii="Cambria" w:cs="Cambria" w:eastAsia="Cambria" w:hAnsi="Cambria"/>
          <w:color w:val="000000"/>
          <w:sz w:val="24"/>
          <w:szCs w:val="24"/>
        </w:rPr>
        <w:t xml:space="preserve">Decentralised Identifiers (DIDs)</w:t>
      </w:r>
      <w:r>
        <w:rPr>
          <w:rFonts w:ascii="Cambria" w:cs="Cambria" w:eastAsia="Cambria" w:hAnsi="Cambria"/>
          <w:sz w:val="24"/>
          <w:szCs w:val="24"/>
        </w:rPr>
        <w:t xml:space="preserve">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spacing w:after="140" w:line="300"/>
        <w:jc w:val="both"/>
      </w:pPr>
      <w:r>
        <w:rPr>
          <w:rFonts w:ascii="Cambria" w:cs="Cambria" w:eastAsia="Cambria" w:hAnsi="Cambria"/>
          <w:sz w:val="24"/>
          <w:szCs w:val="24"/>
        </w:rP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spacing w:after="140" w:line="300"/>
        <w:jc w:val="both"/>
      </w:pPr>
      <w:r>
        <w:rPr>
          <w:rFonts w:ascii="Cambria" w:cs="Cambria" w:eastAsia="Cambria" w:hAnsi="Cambria"/>
          <w:sz w:val="24"/>
          <w:szCs w:val="24"/>
        </w:rP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spacing w:after="140" w:line="300"/>
        <w:jc w:val="both"/>
      </w:pPr>
      <w:r>
        <w:rPr>
          <w:rFonts w:ascii="Cambria" w:cs="Cambria" w:eastAsia="Cambria" w:hAnsi="Cambria"/>
          <w:sz w:val="24"/>
          <w:szCs w:val="24"/>
        </w:rP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spacing w:after="140" w:line="300"/>
        <w:jc w:val="both"/>
      </w:pPr>
      <w:r>
        <w:rPr>
          <w:rFonts w:ascii="Cambria" w:cs="Cambria" w:eastAsia="Cambria" w:hAnsi="Cambria"/>
          <w:sz w:val="24"/>
          <w:szCs w:val="24"/>
        </w:rPr>
        <w:t xml:space="preserve">The proposed research therefore extends the role of DID and VC technologies from identity representation and credential verification towards their use as trusted inputs to a broader authorisation process. Under this approach,</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spacing w:after="140" w:line="300"/>
        <w:jc w:val="both"/>
      </w:pPr>
      <w:r>
        <w:rPr>
          <w:rFonts w:ascii="Cambria" w:cs="Cambria" w:eastAsia="Cambria" w:hAnsi="Cambria"/>
          <w:sz w:val="24"/>
          <w:szCs w:val="24"/>
        </w:rP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spacing w:after="140" w:line="300"/>
        <w:jc w:val="both"/>
      </w:pPr>
      <w:r>
        <w:rPr>
          <w:rFonts w:ascii="Cambria" w:cs="Cambria" w:eastAsia="Cambria" w:hAnsi="Cambria"/>
          <w:b w:val="false"/>
          <w:bCs w:val="false"/>
          <w:sz w:val="24"/>
          <w:szCs w:val="24"/>
        </w:rPr>
        <w:t xml:space="preserve">Recent reviews of blockchain-based identity management further consolidate this stream, surveying identity management, access control and trust mechanisms for connected environments and confirming the maturity of DID- and VC-based designs [15].</w:t>
      </w:r>
    </w:p>
    <w:p>
      <w:pPr>
        <w:pStyle w:val="Heading3"/>
        <w:spacing w:after="160" w:before="280"/>
      </w:pPr>
      <w:r>
        <w:t xml:space="preserve">2.3.4  Multi-Party Authorisation and Collaborative Consent</w:t>
      </w:r>
    </w:p>
    <w:p>
      <w:pPr>
        <w:spacing w:after="140" w:line="300"/>
        <w:jc w:val="both"/>
      </w:pPr>
      <w:r>
        <w:rPr>
          <w:rFonts w:ascii="Cambria" w:cs="Cambria" w:eastAsia="Cambria" w:hAnsi="Cambria"/>
          <w:sz w:val="24"/>
          <w:szCs w:val="24"/>
        </w:rP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r>
        <w:rPr>
          <w:rFonts w:ascii="Cambria" w:cs="Cambria" w:eastAsia="Cambria" w:hAnsi="Cambria"/>
          <w:color w:val="000000"/>
          <w:sz w:val="24"/>
          <w:szCs w:val="24"/>
        </w:rPr>
        <w:t xml:space="preserve">, 31</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spacing w:after="140" w:line="300"/>
        <w:jc w:val="both"/>
      </w:pPr>
      <w:r>
        <w:rPr>
          <w:rFonts w:ascii="Cambria" w:cs="Cambria" w:eastAsia="Cambria" w:hAnsi="Cambria"/>
          <w:sz w:val="24"/>
          <w:szCs w:val="24"/>
        </w:rP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40" w:line="300"/>
        <w:jc w:val="both"/>
      </w:pPr>
      <w:r>
        <w:rPr>
          <w:rFonts w:ascii="Cambria" w:cs="Cambria" w:eastAsia="Cambria" w:hAnsi="Cambria"/>
          <w:sz w:val="24"/>
          <w:szCs w:val="24"/>
        </w:rP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spacing w:after="140" w:line="300"/>
        <w:jc w:val="both"/>
      </w:pPr>
      <w:r>
        <w:rPr>
          <w:rFonts w:ascii="Cambria" w:cs="Cambria" w:eastAsia="Cambria" w:hAnsi="Cambria"/>
          <w:b w:val="false"/>
          <w:bCs w:val="false"/>
          <w:sz w:val="24"/>
          <w:szCs w:val="24"/>
        </w:rPr>
        <w:t xml:space="preserve">Beyond healthcare, decentralised trust mechanisms have also been applied to empower independent stakeholders in cross-organisational data sharing, demonstrating that multi-party governance generalises across application domains [6].</w:t>
      </w:r>
    </w:p>
    <w:p>
      <w:pPr>
        <w:spacing w:after="140" w:line="300"/>
        <w:jc w:val="both"/>
      </w:pPr>
      <w:r>
        <w:rPr>
          <w:rFonts w:ascii="Cambria" w:cs="Cambria" w:eastAsia="Cambria" w:hAnsi="Cambria"/>
          <w:color w:val="000000"/>
          <w:sz w:val="24"/>
          <w:szCs w:val="24"/>
        </w:rPr>
        <w:t xml:space="preserve">Where the reviewed systems support multiple approvers, approval is typically implemented as a workflow or signature-collection step [19, 29] rather than represented as a verifiable threshold condition bound to the consent object itself. It is this representational absence, rather than the absence of multi-party mechanisms as such, that the proposed framework addresses.</w:t>
      </w:r>
    </w:p>
    <w:p>
      <w:pPr>
        <w:pStyle w:val="Heading3"/>
        <w:spacing w:after="160" w:before="280"/>
      </w:pPr>
      <w:r>
        <w:t xml:space="preserve">2.3.5  Policy-Based and Context-Aware Access Control</w:t>
      </w:r>
    </w:p>
    <w:p>
      <w:pPr>
        <w:spacing w:after="140" w:line="300"/>
        <w:jc w:val="both"/>
      </w:pPr>
      <w:r>
        <w:rPr>
          <w:rFonts w:ascii="Cambria" w:cs="Cambria" w:eastAsia="Cambria" w:hAnsi="Cambria"/>
          <w:sz w:val="24"/>
          <w:szCs w:val="24"/>
        </w:rP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spacing w:after="140" w:line="300"/>
        <w:jc w:val="both"/>
      </w:pPr>
      <w:r>
        <w:rPr>
          <w:rFonts w:ascii="Cambria" w:cs="Cambria" w:eastAsia="Cambria" w:hAnsi="Cambria"/>
          <w:sz w:val="24"/>
          <w:szCs w:val="24"/>
        </w:rP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spacing w:after="140" w:line="300"/>
        <w:jc w:val="both"/>
      </w:pPr>
      <w:r>
        <w:rPr>
          <w:rFonts w:ascii="Cambria" w:cs="Cambria" w:eastAsia="Cambria" w:hAnsi="Cambria"/>
          <w:sz w:val="24"/>
          <w:szCs w:val="24"/>
        </w:rP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spacing w:after="140" w:line="300"/>
        <w:jc w:val="both"/>
      </w:pPr>
      <w:r>
        <w:rPr>
          <w:rFonts w:ascii="Cambria" w:cs="Cambria" w:eastAsia="Cambria" w:hAnsi="Cambria"/>
          <w:sz w:val="24"/>
          <w:szCs w:val="24"/>
        </w:rPr>
        <w:t xml:space="preserve">The proposed framework consequently treats policy compliance as an explicit authorisation condition. Let C represent the consent object and R represent a requested operation. Policy validity can be represented conceptually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For example, if a consent authorises access to observations and medications,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then a request for observations, medications, and procedures,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should be rejected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spacing w:after="140" w:line="300"/>
        <w:jc w:val="both"/>
      </w:pPr>
      <w:r>
        <w:rPr>
          <w:rFonts w:ascii="Cambria" w:cs="Cambria" w:eastAsia="Cambria" w:hAnsi="Cambria"/>
          <w:color w:val="000000"/>
          <w:sz w:val="24"/>
          <w:szCs w:val="24"/>
        </w:rPr>
        <w:t xml:space="preserve">Across the reviewed access-control approaches [32, 11, 28, 25], policy evaluation is bound primarily to the requester's roles, attributes, or risk context rather than to the purpose and data scope authorised by the patient's consent. It is this missing relationship between the evaluated policy and the consent object itself that the proposed framework formalises.</w:t>
      </w:r>
    </w:p>
    <w:p>
      <w:pPr>
        <w:pStyle w:val="Heading3"/>
        <w:spacing w:after="160" w:before="280"/>
      </w:pPr>
      <w:r>
        <w:t xml:space="preserve">2.3.6  Trusted Computing, Secure Execution, and Security Assurance</w:t>
      </w:r>
    </w:p>
    <w:p>
      <w:pPr>
        <w:spacing w:after="140" w:line="300"/>
        <w:jc w:val="both"/>
      </w:pPr>
      <w:r>
        <w:rPr>
          <w:rFonts w:ascii="Cambria" w:cs="Cambria" w:eastAsia="Cambria" w:hAnsi="Cambria"/>
          <w:sz w:val="24"/>
          <w:szCs w:val="24"/>
        </w:rP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r>
        <w:rPr>
          <w:rFonts w:ascii="Cambria" w:cs="Cambria" w:eastAsia="Cambria" w:hAnsi="Cambria"/>
          <w:color w:val="000000"/>
          <w:sz w:val="24"/>
          <w:szCs w:val="24"/>
        </w:rPr>
        <w:t xml:space="preserve"> [23]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spacing w:after="140" w:line="300"/>
        <w:jc w:val="both"/>
      </w:pPr>
      <w:r>
        <w:rPr>
          <w:rFonts w:ascii="Cambria" w:cs="Cambria" w:eastAsia="Cambria" w:hAnsi="Cambria"/>
          <w:sz w:val="24"/>
          <w:szCs w:val="24"/>
        </w:rP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spacing w:after="140" w:line="300"/>
        <w:jc w:val="both"/>
      </w:pPr>
      <w:r>
        <w:rPr>
          <w:rFonts w:ascii="Cambria" w:cs="Cambria" w:eastAsia="Cambria" w:hAnsi="Cambria"/>
          <w:sz w:val="24"/>
          <w:szCs w:val="24"/>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w:t>
      </w:r>
    </w:p>
    <w:p>
      <w:pPr>
        <w:spacing w:after="140" w:line="300"/>
        <w:jc w:val="both"/>
      </w:pPr>
      <w:r>
        <w:rPr>
          <w:rFonts w:ascii="Cambria" w:cs="Cambria" w:eastAsia="Cambria" w:hAnsi="Cambria"/>
          <w:color w:val="000000"/>
          <w:sz w:val="24"/>
          <w:szCs w:val="24"/>
        </w:rPr>
        <w:t xml:space="preserve">This research establishes the conceptual foundation for such integration and, moreover, demonstrates it through an implemented and empirically evaluated prototype. Future work can therefore investigate how trusted execution and remote attestation can strengthen the enforcement and verification of decentralised consent decisions.</w:t>
      </w:r>
    </w:p>
    <w:p>
      <w:pPr>
        <w:spacing w:after="140" w:line="300"/>
        <w:jc w:val="both"/>
      </w:pPr>
      <w:r>
        <w:rPr>
          <w:rFonts w:ascii="Cambria" w:cs="Cambria" w:eastAsia="Cambria" w:hAnsi="Cambria"/>
          <w:sz w:val="24"/>
          <w:szCs w:val="24"/>
        </w:rP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w:t>
      </w:r>
    </w:p>
    <w:p>
      <w:pPr>
        <w:spacing w:after="140" w:line="300"/>
        <w:jc w:val="both"/>
      </w:pPr>
      <w:r>
        <w:rPr>
          <w:rFonts w:ascii="Cambria" w:cs="Cambria" w:eastAsia="Cambria" w:hAnsi="Cambria"/>
          <w:color w:val="000000"/>
          <w:sz w:val="24"/>
          <w:szCs w:val="24"/>
        </w:rPr>
        <w:t xml:space="preserve">The present prototype addresses this concern empirically through adversarial and negative testing across each verification dimension. Nevertheless, formal analysis remains necessary in order to demonstrate that these properties hold under defined assumptions.</w:t>
      </w:r>
    </w:p>
    <w:p>
      <w:pPr>
        <w:spacing w:after="140" w:line="300"/>
        <w:jc w:val="both"/>
      </w:pPr>
      <w:r>
        <w:rPr>
          <w:rFonts w:ascii="Cambria" w:cs="Cambria" w:eastAsia="Cambria" w:hAnsi="Cambria"/>
          <w:b w:val="false"/>
          <w:bCs w:val="false"/>
          <w:sz w:val="24"/>
          <w:szCs w:val="24"/>
        </w:rPr>
        <w:t xml:space="preserve">Complementary work in this stream applies entropy-based measurement to quantify blockchain immutability and tamper-resilient trust, providing an analytical basis for treating the ledger itself as part of the trusted computing base [18].</w:t>
      </w:r>
    </w:p>
    <w:p>
      <w:pPr>
        <w:spacing w:after="140" w:line="300"/>
        <w:jc w:val="both"/>
      </w:pPr>
      <w:r>
        <w:rPr>
          <w:rFonts w:ascii="Cambria" w:cs="Cambria" w:eastAsia="Cambria" w:hAnsi="Cambria"/>
          <w:color w:val="000000"/>
          <w:sz w:val="24"/>
          <w:szCs w:val="24"/>
        </w:rPr>
        <w:t xml:space="preserve">Formal security analysis nevertheless remains rare across the reviewed corpus: security arguments are predominantly architectural or empirical, and only a minority of studies accompany their designs with formal reasoning about the stated security properties [17, 18]. This observation grounds review question 7 and motivates the formal-assurance direction of the research. While Trusted Computing mechanisms could further harden the execution of the proposed authorisation evaluation, hardware-supported execution is treated as an orthogonal assurance layer and lies outside the scope of the present research questions.</w:t>
      </w:r>
    </w:p>
    <w:p>
      <w:pPr>
        <w:pStyle w:val="Heading3"/>
        <w:spacing w:after="160" w:before="280"/>
      </w:pPr>
      <w:r>
        <w:t xml:space="preserve">2.3.7  Comparative Analysis of Existing Approaches</w:t>
      </w:r>
    </w:p>
    <w:p>
      <w:pPr>
        <w:spacing w:after="140" w:line="300"/>
        <w:jc w:val="both"/>
      </w:pPr>
      <w:r>
        <w:rPr>
          <w:rFonts w:ascii="Cambria" w:cs="Cambria" w:eastAsia="Cambria" w:hAnsi="Cambria"/>
          <w:sz w:val="24"/>
          <w:szCs w:val="24"/>
        </w:rPr>
        <w:t xml:space="preserve">The reviewed literature demonstrates that existing approaches provide strong solutions for individual dimensions of trustworthy data sharing. Blockchain-based systems provide tamper-resistant recording and auditability</w:t>
      </w:r>
      <w:r>
        <w:rPr>
          <w:rFonts w:ascii="Cambria" w:cs="Cambria" w:eastAsia="Cambria" w:hAnsi="Cambria"/>
          <w:color w:val="000000"/>
          <w:sz w:val="24"/>
          <w:szCs w:val="24"/>
        </w:rPr>
        <w:t xml:space="preserve"> [2, 7, 28]</w:t>
      </w:r>
      <w:r>
        <w:rPr>
          <w:rFonts w:ascii="Cambria" w:cs="Cambria" w:eastAsia="Cambria" w:hAnsi="Cambria"/>
          <w:sz w:val="24"/>
          <w:szCs w:val="24"/>
        </w:rPr>
        <w:t xml:space="preserve">; DID and VC mechanisms provide decentralised identity and verifiable attributes</w:t>
      </w:r>
      <w:r>
        <w:rPr>
          <w:rFonts w:ascii="Cambria" w:cs="Cambria" w:eastAsia="Cambria" w:hAnsi="Cambria"/>
          <w:color w:val="000000"/>
          <w:sz w:val="24"/>
          <w:szCs w:val="24"/>
        </w:rPr>
        <w:t xml:space="preserve"> [20, 4, 5]</w:t>
      </w:r>
      <w:r>
        <w:rPr>
          <w:rFonts w:ascii="Cambria" w:cs="Cambria" w:eastAsia="Cambria" w:hAnsi="Cambria"/>
          <w:sz w:val="24"/>
          <w:szCs w:val="24"/>
        </w:rPr>
        <w:t xml:space="preserve">; policy-based and cryptographic access-control mechanisms provide fine-grained data protection</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collaborative governance mechanisms support distributed participation</w:t>
      </w:r>
      <w:r>
        <w:rPr>
          <w:rFonts w:ascii="Cambria" w:cs="Cambria" w:eastAsia="Cambria" w:hAnsi="Cambria"/>
          <w:color w:val="000000"/>
          <w:sz w:val="24"/>
          <w:szCs w:val="24"/>
        </w:rPr>
        <w:t xml:space="preserve"> [19, 29, 6]</w:t>
      </w:r>
      <w:r>
        <w:rPr>
          <w:rFonts w:ascii="Cambria" w:cs="Cambria" w:eastAsia="Cambria" w:hAnsi="Cambria"/>
          <w:sz w:val="24"/>
          <w:szCs w:val="24"/>
        </w:rPr>
        <w:t xml:space="preserve">; and Trusted Computing provides secure execution and attestation capabilities</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spacing w:after="140" w:line="300"/>
        <w:jc w:val="both"/>
      </w:pPr>
      <w:r>
        <w:rPr>
          <w:rFonts w:ascii="Cambria" w:cs="Cambria" w:eastAsia="Cambria" w:hAnsi="Cambria"/>
          <w:sz w:val="24"/>
          <w:szCs w:val="24"/>
        </w:rPr>
        <w:t xml:space="preserve">Table 2 summarises the principal focus and limitations of the major research streams and positions the proposed framework relative to the existing literature.</w:t>
      </w:r>
    </w:p>
    <w:p>
      <w:pPr>
        <w:keepNext/>
        <w:spacing w:after="80" w:before="160"/>
        <w:jc w:val="center"/>
      </w:pPr>
      <w:r>
        <w:rPr>
          <w:rFonts w:ascii="Cambria" w:cs="Cambria" w:eastAsia="Cambria" w:hAnsi="Cambria"/>
          <w:b/>
          <w:bCs/>
          <w:sz w:val="21"/>
          <w:szCs w:val="21"/>
        </w:rPr>
        <w:t xml:space="preserve">Table 2: </w:t>
      </w:r>
      <w:r>
        <w:rPr>
          <w:rFonts w:ascii="Cambria" w:cs="Cambria" w:eastAsia="Cambria" w:hAnsi="Cambria"/>
          <w:sz w:val="21"/>
          <w:szCs w:val="21"/>
        </w:rPr>
        <w:t xml:space="preserve">Comparison of Existing Research Approaches and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Stream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Contribution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Main Limitation for Authorisation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Representative References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Healthcare consent and privacy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Patient autonomy, informed consent, and controlled data sharing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Consent is treated as permission rather than an evaluable authorisation object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[31, 22, 14, 24, 12, 13, 10]</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Blockchain-based data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Tamper-resistant records, distributed auditability, and transparency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Immutable records do not establish participant legitimacy, authority, or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 2, 7, 3, 30, 26, 8, 29]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Decentralised identity and verifiable credentials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Self-controlled identity, verifiable attributes, and authentication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 and credential validity do not independently determine if access is authorised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[20, 33, 4, 16, 27,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and decentralised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Collaborative participation and distributed verification or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Limited integration between collective approval thresholds, consent, and access decisions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[19, 4, 21, 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Policy-based and healthcare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Fine-grained restriction based on attributes, risk, context, and constraints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enforcement is separated from decentralised identity and multi-party consent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[32, 11, 28, 25]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Trusted Computing and secure execution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Hardware-supported isolation, execution integrity, and attestation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Secure execution does not determine whether underlying authorisation conditions are sufficient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[23, 17, 18]</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Proposed Framework</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evaluation of consent, identity, authority, multi-party approval, and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Lifecycle trust and empirical validation realised in the implemented prototype; formal security assurance requires further extension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This research</w:t>
            </w:r>
          </w:p>
        </w:tc>
      </w:tr>
    </w:tbl>
    <w:p>
      <w:pPr>
        <w:spacing w:after="180"/>
      </w:pPr>
    </w:p>
    <w:p>
      <w:pPr>
        <w:spacing w:after="140" w:line="300"/>
        <w:jc w:val="both"/>
      </w:pPr>
      <w:r>
        <w:rPr>
          <w:rFonts w:ascii="Cambria" w:cs="Cambria" w:eastAsia="Cambria" w:hAnsi="Cambria"/>
          <w:sz w:val="24"/>
          <w:szCs w:val="24"/>
        </w:rP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p>
      <w:pPr>
        <w:pStyle w:val="Heading2"/>
        <w:spacing w:after="160" w:before="280"/>
      </w:pPr>
      <w:r>
        <w:t xml:space="preserve">2.4  Synthesis and Research Gap</w:t>
      </w:r>
    </w:p>
    <w:p>
      <w:pPr>
        <w:spacing w:after="140" w:line="300"/>
        <w:jc w:val="both"/>
      </w:pPr>
      <w:r>
        <w:rPr>
          <w:rFonts w:ascii="Cambria" w:cs="Cambria" w:eastAsia="Cambria" w:hAnsi="Cambria"/>
          <w:sz w:val="24"/>
          <w:szCs w:val="24"/>
        </w:rPr>
        <w:t xml:space="preserve">The literature review identifies a consistent pattern of fragmentation across existing research. Blockchain-based approaches primarily address the integrity and traceability of recorded events</w:t>
      </w:r>
      <w:r>
        <w:rPr>
          <w:rFonts w:ascii="Cambria" w:cs="Cambria" w:eastAsia="Cambria" w:hAnsi="Cambria"/>
          <w:color w:val="000000"/>
          <w:sz w:val="24"/>
          <w:szCs w:val="24"/>
        </w:rPr>
        <w:t xml:space="preserve"> [2, 7, 28]</w:t>
      </w:r>
      <w:r>
        <w:rPr>
          <w:rFonts w:ascii="Cambria" w:cs="Cambria" w:eastAsia="Cambria" w:hAnsi="Cambria"/>
          <w:sz w:val="24"/>
          <w:szCs w:val="24"/>
        </w:rPr>
        <w:t xml:space="preserve">. Decentralised identity and verifiable credential systems address the identification and attribute verification of participating entities</w:t>
      </w:r>
      <w:r>
        <w:rPr>
          <w:rFonts w:ascii="Cambria" w:cs="Cambria" w:eastAsia="Cambria" w:hAnsi="Cambria"/>
          <w:color w:val="000000"/>
          <w:sz w:val="24"/>
          <w:szCs w:val="24"/>
        </w:rPr>
        <w:t xml:space="preserve"> [20, 33, 4]</w:t>
      </w:r>
      <w:r>
        <w:rPr>
          <w:rFonts w:ascii="Cambria" w:cs="Cambria" w:eastAsia="Cambria" w:hAnsi="Cambria"/>
          <w:sz w:val="24"/>
          <w:szCs w:val="24"/>
        </w:rPr>
        <w:t xml:space="preserve">. Multi-party governance mechanisms address distributed participation and collective decision-making</w:t>
      </w:r>
      <w:r>
        <w:rPr>
          <w:rFonts w:ascii="Cambria" w:cs="Cambria" w:eastAsia="Cambria" w:hAnsi="Cambria"/>
          <w:color w:val="000000"/>
          <w:sz w:val="24"/>
          <w:szCs w:val="24"/>
        </w:rPr>
        <w:t xml:space="preserve"> [19, 29]</w:t>
      </w:r>
      <w:r>
        <w:rPr>
          <w:rFonts w:ascii="Cambria" w:cs="Cambria" w:eastAsia="Cambria" w:hAnsi="Cambria"/>
          <w:sz w:val="24"/>
          <w:szCs w:val="24"/>
        </w:rPr>
        <w:t xml:space="preserve">. Policy-based access-control approaches determine whether requested operations comply with predefined constraints</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Trusted Computing technologies protect the execution of security-sensitive computation</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spacing w:after="140" w:line="300"/>
        <w:jc w:val="both"/>
      </w:pPr>
      <w:r>
        <w:rPr>
          <w:rFonts w:ascii="Cambria" w:cs="Cambria" w:eastAsia="Cambria" w:hAnsi="Cambria"/>
          <w:sz w:val="24"/>
          <w:szCs w:val="24"/>
        </w:rPr>
        <w:t xml:space="preserve">The central research gap therefore concerns the absence of a sufficiently integrated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spacing w:after="140" w:line="300"/>
        <w:jc w:val="both"/>
      </w:pPr>
      <w:r>
        <w:rPr>
          <w:rFonts w:ascii="Cambria" w:cs="Cambria" w:eastAsia="Cambria" w:hAnsi="Cambria"/>
          <w:color w:val="000000"/>
          <w:sz w:val="24"/>
          <w:szCs w:val="24"/>
        </w:rPr>
        <w:t xml:space="preserve">The reviewed literature also identifies persistent challenges of privacy preservation, scalability, and interoperability in blockchain-based healthcare systems [2, 7, 3, 28]; while these concerns inform the design constraints of the proposed framework, they are treated as engineering constraints rather than as the conceptual gap pursued by this research.</w:t>
      </w:r>
    </w:p>
    <w:p>
      <w:pPr>
        <w:spacing w:after="140" w:line="300"/>
        <w:jc w:val="both"/>
      </w:pPr>
      <w:r>
        <w:rPr>
          <w:rFonts w:ascii="Cambria" w:cs="Cambria" w:eastAsia="Cambria" w:hAnsi="Cambria"/>
          <w:color w:val="000000"/>
          <w:sz w:val="24"/>
          <w:szCs w:val="24"/>
        </w:rPr>
        <w:t xml:space="preserve">In the same way, the consent-lifecycle limitation identified in Section 2.3.1 and the scarcity of formal security analysis identified in Section 2.3.6 define the temporal-lifecycle and formal-assurance dimensions that the next stage of this research addresses.</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p>
    <w:p>
      <w:pPr>
        <w:spacing w:after="140" w:line="300"/>
        <w:jc w:val="both"/>
      </w:pPr>
      <w:r>
        <w:rPr>
          <w:rFonts w:ascii="Cambria" w:cs="Cambria" w:eastAsia="Cambria" w:hAnsi="Cambria"/>
          <w:color w:val="000000"/>
          <w:sz w:val="24"/>
          <w:szCs w:val="24"/>
        </w:rPr>
        <w:t xml:space="preserve">This is the rule enforced by the implemented Consent Engine: every access request is evaluated over the complete tuple, 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additionally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the jurisdictional constraint;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keepNext/>
        <w:spacing w:after="60" w:before="140"/>
        <w:jc w:val="center"/>
      </w:pPr>
      <w:r>
        <w:drawing>
          <wp:inline distT="0" distB="0" distL="0" distR="0">
            <wp:extent cx="5715000" cy="2676525"/>
            <wp:effectExtent t="0" r="0" b="0" l="0"/>
            <wp:docPr id="1" name="gfig2c.png" descr="Figure 5: Synthesis of the review: the five research streams provide strong but fragmented mechanisms; their lack of integration constitutes the research gap, which the proposed framework addresses by treating consent as an evaluable authorisation object." title="Figure 5: Synthesis of the review: the five research streams provide strong but fragmented mechanisms; their lack of integration constitutes the research gap, which the proposed framework addresses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the five research streams provide strong but fragmented mechanisms; their lack of integration constitutes the research gap, which the proposed framework addresses by treating consent as an evaluable authorisation object.</w:t>
      </w:r>
    </w:p>
    <w:p>
      <w:pPr>
        <w:pStyle w:val="Heading1"/>
        <w:pageBreakBefore/>
        <w:spacing w:after="160" w:before="400"/>
      </w:pPr>
      <w:r>
        <w:t xml:space="preserve">3  Research Gaps and Questions</w:t>
      </w:r>
    </w:p>
    <w:p>
      <w:pPr>
        <w:pStyle w:val="Heading2"/>
        <w:spacing w:after="160" w:before="280"/>
      </w:pPr>
      <w:r>
        <w:t xml:space="preserve">3.1  Research Gap</w:t>
      </w:r>
    </w:p>
    <w:p>
      <w:pPr>
        <w:spacing w:after="140" w:line="300"/>
        <w:jc w:val="both"/>
      </w:pPr>
      <w:r>
        <w:rPr>
          <w:rFonts w:ascii="Cambria" w:cs="Cambria" w:eastAsia="Cambria" w:hAnsi="Cambria"/>
          <w:sz w:val="24"/>
          <w:szCs w:val="24"/>
        </w:rP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there remains a need for an integrated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Heading2"/>
        <w:spacing w:after="160" w:before="280"/>
      </w:pPr>
      <w:r>
        <w:t xml:space="preserve">3.2  Main Research Question</w:t>
      </w:r>
    </w:p>
    <w:p>
      <w:pPr>
        <w:spacing w:after="140" w:line="300"/>
        <w:jc w:val="both"/>
      </w:pPr>
      <w:r>
        <w:rPr>
          <w:rFonts w:ascii="Cambria" w:cs="Cambria" w:eastAsia="Cambria" w:hAnsi="Cambria"/>
          <w:color w:val="000000"/>
          <w:sz w:val="24"/>
          <w:szCs w:val="24"/>
        </w:rPr>
        <w:t xml:space="preserve">Temporal and lifecycle trust has been operationalised in the current prototype, and empirical validation has been partially completed through automated and live negative testing. Consequently, formal security assurance forms the subsequent research scope and will be developed further in CA3.</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pStyle w:val="Heading3"/>
        <w:spacing w:after="160" w:before="280"/>
      </w:pPr>
      <w: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A represents the authority and multi-party authorisation evidence, P represents the purpose and data-scope constraints, T represents the temporal validity window, L represents the jurisdictional constraint, and E represents the enforcement state recording whether the consent remains active or has been revoked.</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&lt; N ⟹ Decision(C, R) = DENY.</w:t>
      </w:r>
      <w:r>
        <w:rPr>
          <w:rFonts w:ascii="Cambria" w:cs="Cambria" w:eastAsia="Cambria" w:hAnsi="Cambria"/>
          <w:color w:val="000000"/>
          <w:sz w:val="22"/>
          <w:szCs w:val="22"/>
        </w:rPr>
        <w:t xml:space="preserve">	(10)</w:t>
      </w:r>
    </w:p>
    <w:p>
      <w:pPr>
        <w:spacing w:after="140" w:line="300"/>
        <w:jc w:val="both"/>
      </w:pPr>
      <w:r>
        <w:rPr>
          <w:rFonts w:ascii="Cambria" w:cs="Cambria" w:eastAsia="Cambria" w:hAnsi="Cambria"/>
          <w:color w:val="000000"/>
          <w:sz w:val="24"/>
          <w:szCs w:val="24"/>
        </w:rPr>
        <w:t xml:space="preserve">Consequently, in the implemented framework N is instantiated as |G|, the number of designated guardians,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cannot necessarily be assumed to remain valid indefinitely.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sz w:val="22"/>
          <w:szCs w:val="22"/>
        </w:rPr>
        <w:t xml:space="preserve">Decision(C, R) =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consent lifecycle validity.</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0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w:t>
      </w:r>
      <w:r>
        <w:rPr>
          <w:rFonts w:ascii="Cambria" w:cs="Cambria" w:eastAsia="Cambria" w:hAnsi="Cambria"/>
          <w:color w:val="000000"/>
          <w:sz w:val="24"/>
          <w:szCs w:val="24"/>
        </w:rPr>
        <w:t xml:space="preserve">.</w:t>
      </w:r>
    </w:p>
    <w:p>
      <w:pPr>
        <w:pStyle w:val="Heading2"/>
        <w:spacing w:after="160" w:before="280"/>
      </w:pPr>
      <w: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t xml:space="preserve">4.3  RO3 - Trustworthy Multi-Party Authorisation</w:t>
      </w:r>
    </w:p>
    <w:p>
      <w:pPr>
        <w:spacing w:after="140" w:line="300"/>
        <w:jc w:val="both"/>
      </w:pPr>
      <w:r>
        <w:rPr>
          <w:rFonts w:ascii="Cambria" w:cs="Cambria" w:eastAsia="Cambria" w:hAnsi="Cambria"/>
          <w:color w:val="0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t xml:space="preserve">4.4  RO4 - Policy- and Context-Aware Access Control</w:t>
      </w:r>
    </w:p>
    <w:p>
      <w:pPr>
        <w:spacing w:after="140" w:line="300"/>
        <w:jc w:val="both"/>
      </w:pPr>
      <w:r>
        <w:rPr>
          <w:rFonts w:ascii="Cambria" w:cs="Cambria" w:eastAsia="Cambria" w:hAnsi="Cambria"/>
          <w:color w:val="000000"/>
          <w:sz w:val="24"/>
          <w:szCs w:val="24"/>
        </w:rPr>
        <w:t xml:space="preserve">Accordingly, the implemented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work therefore concerns hardening these controls rather than introducing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000000"/>
          <w:sz w:val="24"/>
          <w:szCs w:val="24"/>
        </w:rPr>
        <w:t xml:space="preserve">The empirical component has been executed against the demonstrated prototype. In particular,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3 and Table 4.</w:t>
      </w:r>
    </w:p>
    <w:p>
      <w:pPr>
        <w:spacing w:after="140" w:line="300"/>
        <w:jc w:val="both"/>
      </w:pPr>
      <w:r>
        <w:rPr>
          <w:rFonts w:ascii="Cambria" w:cs="Cambria" w:eastAsia="Cambria" w:hAnsi="Cambria"/>
          <w:sz w:val="24"/>
          <w:szCs w:val="24"/>
        </w:rPr>
        <w:t xml:space="preserve">The relationship between the six research questions and the six research objectives is</w:t>
      </w:r>
    </w:p>
    <w:p>
      <w:pPr>
        <w:spacing w:after="140" w:line="300"/>
        <w:jc w:val="both"/>
      </w:pPr>
      <w:r>
        <w:rPr>
          <w:rFonts w:ascii="Cambria" w:cs="Cambria" w:eastAsia="Cambria" w:hAnsi="Cambria"/>
          <w:sz w:val="24"/>
          <w:szCs w:val="24"/>
        </w:rPr>
        <w:t xml:space="preserve">RO5 and RO6 constitute the principal research agenda for CA3.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together with the identified prototype hardening.</w:t>
      </w:r>
    </w:p>
    <w:p>
      <w:pPr>
        <w:keepNext/>
        <w:spacing w:after="80" w:before="160"/>
        <w:jc w:val="center"/>
      </w:pPr>
      <w:r>
        <w:rPr>
          <w:rFonts w:ascii="Cambria" w:cs="Cambria" w:eastAsia="Cambria" w:hAnsi="Cambria"/>
          <w:b/>
          <w:bCs/>
          <w:sz w:val="21"/>
          <w:szCs w:val="21"/>
        </w:rPr>
        <w:t xml:space="preserve">Table 3: </w:t>
      </w:r>
      <w:r>
        <w:rPr>
          <w:rFonts w:ascii="Cambria" w:cs="Cambria" w:eastAsia="Cambria" w:hAnsi="Cambria"/>
          <w:sz w:val="21"/>
          <w:szCs w:val="21"/>
        </w:rPr>
        <w:t xml:space="preserve">Research Questions, Research Objectives, and Thesis Chapters for Current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bl>
    <w:p>
      <w:pPr>
        <w:spacing w:after="180"/>
      </w:pPr>
    </w:p>
    <w:p>
      <w:pPr>
        <w:keepNext/>
        <w:spacing w:after="80" w:before="160"/>
        <w:jc w:val="center"/>
      </w:pPr>
      <w:r>
        <w:rPr>
          <w:rFonts w:ascii="Cambria" w:cs="Cambria" w:eastAsia="Cambria" w:hAnsi="Cambria"/>
          <w:b/>
          <w:bCs/>
          <w:sz w:val="21"/>
          <w:szCs w:val="21"/>
        </w:rPr>
        <w:t xml:space="preserve">Table 4: </w:t>
      </w:r>
      <w:r>
        <w:rPr>
          <w:rFonts w:ascii="Cambria" w:cs="Cambria" w:eastAsia="Cambria" w:hAnsi="Cambria"/>
          <w:sz w:val="21"/>
          <w:szCs w:val="21"/>
        </w:rPr>
        <w:t xml:space="preserve">Research Questions, Research Objectives, and Thesis Chapters for CA3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bl>
    <w:p>
      <w:pPr>
        <w:spacing w:after="180"/>
      </w:pPr>
    </w:p>
    <w:p>
      <w:pPr>
        <w:spacing w:after="140" w:line="300"/>
        <w:jc w:val="both"/>
      </w:pPr>
      <w:r>
        <w:rPr>
          <w:rFonts w:ascii="Cambria" w:cs="Cambria" w:eastAsia="Cambria" w:hAnsi="Cambria"/>
          <w:sz w:val="24"/>
          <w:szCs w:val="24"/>
        </w:rPr>
        <w:t xml:space="preserve">reliable under dynamic lifecycle conditions and whether their security and practical effectiveness can be formally and empirically demonstrated. 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VI ∧ VA ∧ VP ∧ VT ∧ VL</w:t>
      </w:r>
    </w:p>
    <w:p>
      <w:pPr>
        <w:spacing w:after="140" w:line="300"/>
        <w:jc w:val="both"/>
      </w:pPr>
      <w:r>
        <w:rPr>
          <w:rFonts w:ascii="Cambria" w:cs="Cambria" w:eastAsia="Cambria" w:hAnsi="Cambria"/>
          <w:color w:val="000000"/>
          <w:sz w:val="24"/>
          <w:szCs w:val="24"/>
        </w:rPr>
        <w:t xml:space="preserve">This five-predicate conjunction constitutes the decision rule of the implemented Consent Engine and is applied consistently throughout this chapter; the earlier three-predicate formulation represents an initial design iteration that has since been superseded by the implementation.</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The next stage research will extend this decision model by incorporating temporal and lifecycle conditions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VT (C, t) represents temporal validity and VL (C) represents the validity of the consent lifecycle state and its transitions. This extension provides a consistent connection between the foundational current stage objectives and the planned next research on dynamic trust, formal assurance, and comprehensive validation.</w:t>
      </w:r>
    </w:p>
    <w:p>
      <w:pPr>
        <w:pStyle w:val="Heading1"/>
        <w:pageBreakBefore/>
        <w:spacing w:after="160" w:before="400"/>
      </w:pPr>
      <w: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This distinction is important because healthcare data should not be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jc w:val="center"/>
      </w:pPr>
      <w:r>
        <w:rPr>
          <w:rFonts w:ascii="Cambria" w:cs="Cambria" w:eastAsia="Cambria" w:hAnsi="Cambria"/>
          <w:i/>
          <w:iCs/>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deployed on Sepolia alongside the SQLite Audit Ledger, a revocation path flows from the Patient interface through the Controller to both the ledger and the contract, and an external independent verifier, verify_poc,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w:t>
      </w:r>
    </w:p>
    <w:p>
      <w:pPr>
        <w:spacing w:after="140" w:line="300"/>
        <w:jc w:val="both"/>
      </w:pPr>
      <w:r>
        <w:rPr>
          <w:rFonts w:ascii="Cambria" w:cs="Cambria" w:eastAsia="Cambria" w:hAnsi="Cambria"/>
          <w:sz w:val="24"/>
          <w:szCs w:val="24"/>
        </w:rPr>
        <w:t xml:space="preserve">treated as ordinary application state that can be directly manipulated by the View. Instead, access to the protected resource is mediated by the Controller after the relevant trust conditions have been evaluated.</w:t>
      </w:r>
    </w:p>
    <w:p>
      <w:pPr>
        <w:pStyle w:val="Heading3"/>
        <w:spacing w:after="160" w:before="280"/>
      </w:pPr>
      <w:r>
        <w:t xml:space="preserve">5.1.1  MVC Component Decomposition</w:t>
      </w:r>
    </w:p>
    <w:p>
      <w:pPr>
        <w:spacing w:after="140" w:line="300"/>
        <w:jc w:val="both"/>
      </w:pPr>
      <w:r>
        <w:rPr>
          <w:rFonts w:ascii="Cambria" w:cs="Cambria" w:eastAsia="Cambria" w:hAnsi="Cambria"/>
          <w:color w:val="000000"/>
          <w:sz w:val="24"/>
          <w:szCs w:val="24"/>
        </w:rPr>
        <w:t xml:space="preserve">The Controller layer therefore comprises eight principal functions, the two additional functions being Cryptographic Proof Generation and Verification, realised through the Groth16 proving system, and On-chain Anchoring and State Synchronisation, which performs the Sepolia mint and revoke operations as a background process; the Controller row of Figure 7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jc w:val="center"/>
      </w:pPr>
      <w:r>
        <w:rPr>
          <w:rFonts w:ascii="Cambria" w:cs="Cambria" w:eastAsia="Cambria" w:hAnsi="Cambria"/>
          <w:i/>
          <w:iCs/>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8.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The integrated decision can therefore be expressed as</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Consequently, the corresponding component in Figure 8 is depicted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rather than as a lifecycle check.</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jc w:val="center"/>
      </w:pPr>
      <w:r>
        <w:rPr>
          <w:rFonts w:ascii="Cambria" w:cs="Cambria" w:eastAsia="Cambria" w:hAnsi="Cambria"/>
          <w:i/>
          <w:iCs/>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pStyle w:val="Heading2"/>
        <w:spacing w:after="160" w:before="280"/>
      </w:pPr>
      <w: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using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Identifiers (DIDs) and Verifiable Credentials (VCs). The purpose of this stage is to establish both the identity of the participant and the evidence supporting the participant’s claimed role or authority. Importantly, the framework explicitly separates identity authentication from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authorized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is satisfied when</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jc w:val="center"/>
      </w:pPr>
      <w:r>
        <w:rPr>
          <w:rFonts w:ascii="Cambria" w:cs="Cambria" w:eastAsia="Cambria" w:hAnsi="Cambria"/>
          <w:i/>
          <w:iCs/>
          <w:sz w:val="20"/>
          <w:szCs w:val="20"/>
        </w:rPr>
        <w:t xml:space="preserve">[Figure 9: End-to-End Workflow of Trust-Oriented Consent Authorisation Framework]</w:t>
      </w:r>
    </w:p>
    <w:p>
      <w:pPr>
        <w:spacing w:after="140" w:line="300"/>
        <w:jc w:val="both"/>
      </w:pPr>
      <w:r>
        <w:rPr>
          <w:rFonts w:ascii="Cambria" w:cs="Cambria" w:eastAsia="Cambria" w:hAnsi="Cambria"/>
          <w:color w:val="000000"/>
          <w:sz w:val="24"/>
          <w:szCs w:val="24"/>
        </w:rPr>
        <w:t xml:space="preserve">Once all |G| guardians have signed, satisfying the N-of-N condition, the consent token is minted in the local ledger while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on the ALLOW branch, and after the audit evidence is recorded the flow continues through patient-initiated revocation, the corresponding on-chain revoke transaction, and finally auditor review together with independent verification through verify_poc.</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authorized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consent-authorized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For the current stage scope of the proposed framework,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Importantly, both successful and denied decisions should be recorded because a trustworthy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requires accountability not only for data that were released but also for access attempts that were rejected.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pStyle w:val="Heading2"/>
        <w:spacing w:after="160" w:before="280"/>
      </w:pPr>
      <w:r>
        <w:t xml:space="preserve">5.3  Model: Trust-Aware Consent and Authorisation Representation</w:t>
      </w:r>
    </w:p>
    <w:p>
      <w:pPr>
        <w:spacing w:after="140" w:line="300"/>
        <w:jc w:val="both"/>
      </w:pPr>
      <w:r>
        <w:rPr>
          <w:rFonts w:ascii="Cambria" w:cs="Cambria" w:eastAsia="Cambria" w:hAnsi="Cambria"/>
          <w:color w:val="000000"/>
          <w:sz w:val="24"/>
          <w:szCs w:val="24"/>
        </w:rPr>
        <w:t xml:space="preserve">The implementation realises this representation in full, including temporal validity, expiration, on-chain revocation and an explicit lifecycle state machine.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(36)</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sz w:val="24"/>
          <w:szCs w:val="24"/>
        </w:rPr>
        <w:t xml:space="preserve">where I represents identity-related information associated with the relevant participants,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Let Av denote the set of participants whose identities and authority have been successfully verified,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The overall current stage authorisation decision is therefore determined by the conjunction of the foundational trust conditions: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pStyle w:val="Heading2"/>
        <w:spacing w:after="160" w:before="280"/>
      </w:pPr>
      <w: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without adequately considering the specific policy conditions associated with an individual patient’s consent.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t xml:space="preserve">5.8  Authorisation Evidence and Auditability</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Its role is to strengthen integrity, non-repudiation, and auditability of the evidence generated by the authorisation process. The trustworthiness of the access decision instead originates from the coordinated enforcement of identity, authority, multi-party approval, and policy conditions.</w:t>
      </w:r>
    </w:p>
    <w:p>
      <w:pPr>
        <w:pStyle w:val="Heading2"/>
        <w:spacing w:after="160" w:before="280"/>
      </w:pPr>
      <w: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can be summarised as shown in Table 5.</w:t>
      </w:r>
    </w:p>
    <w:p>
      <w:pPr>
        <w:pStyle w:val="Heading2"/>
        <w:spacing w:after="160" w:before="280"/>
      </w:pPr>
      <w: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Heading2"/>
        <w:spacing w:after="160" w:before="280"/>
      </w:pPr>
      <w: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 For the current stage, the architecture therefore establishes the foundational mechanisms required to answer RQ1–RQ4. The implemented HALAH prototype provides the practical</w:t>
      </w:r>
    </w:p>
    <w:p>
      <w:pPr>
        <w:keepNext/>
        <w:spacing w:after="80" w:before="160"/>
        <w:jc w:val="center"/>
      </w:pPr>
      <w:r>
        <w:rPr>
          <w:rFonts w:ascii="Cambria" w:cs="Cambria" w:eastAsia="Cambria" w:hAnsi="Cambria"/>
          <w:b/>
          <w:bCs/>
          <w:sz w:val="21"/>
          <w:szCs w:val="21"/>
        </w:rPr>
        <w:t xml:space="preserve">Table 5: </w:t>
      </w:r>
      <w:r>
        <w:rPr>
          <w:rFonts w:ascii="Cambria" w:cs="Cambria" w:eastAsia="Cambria" w:hAnsi="Cambria"/>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sz w:val="21"/>
          <w:szCs w:val="21"/>
        </w:rPr>
        <w:t xml:space="preserve">Table 6: </w:t>
      </w:r>
      <w:r>
        <w:rPr>
          <w:rFonts w:ascii="Cambria" w:cs="Cambria" w:eastAsia="Cambria" w:hAnsi="Cambria"/>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000000"/>
          <w:sz w:val="24"/>
          <w:szCs w:val="24"/>
        </w:rPr>
        <w:t xml:space="preserve">the next stage will</w:t>
      </w:r>
      <w:r>
        <w:rPr>
          <w:rFonts w:ascii="Cambria" w:cs="Cambria" w:eastAsia="Cambria" w:hAnsi="Cambria"/>
          <w:sz w:val="24"/>
          <w:szCs w:val="24"/>
        </w:rPr>
        <w:t xml:space="preserve"> investigate whether this core can maintain trust dynamically over time </w:t>
      </w:r>
      <w:r>
        <w:rPr>
          <w:rFonts w:ascii="Cambria" w:cs="Cambria" w:eastAsia="Cambria" w:hAnsi="Cambria"/>
          <w:color w:val="000000"/>
          <w:sz w:val="24"/>
          <w:szCs w:val="24"/>
        </w:rPr>
        <w:t xml:space="preserve">beyond the lifecycle mechanisms already demonstrated in the prototype</w:t>
      </w:r>
      <w:r>
        <w:rPr>
          <w:rFonts w:ascii="Cambria" w:cs="Cambria" w:eastAsia="Cambria" w:hAnsi="Cambria"/>
          <w:sz w:val="24"/>
          <w:szCs w:val="24"/>
        </w:rPr>
        <w:t xml:space="preserv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t xml:space="preserve">6  Proposed Solution</w:t>
      </w:r>
    </w:p>
    <w:p>
      <w:pPr>
        <w:pStyle w:val="Heading2"/>
        <w:spacing w:after="160" w:before="280"/>
      </w:pPr>
      <w: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(51)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sz w:val="24"/>
          <w:szCs w:val="24"/>
        </w:rP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Whereas 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are generated by the system; and the evidence component is accumulated by the audit layer, the guardians' signatures and the blockchain as the consent progresses.</w:t>
      </w:r>
    </w:p>
    <w:p>
      <w:pPr>
        <w:keepNext/>
        <w:spacing w:after="60" w:before="140"/>
        <w:jc w:val="center"/>
      </w:pPr>
      <w:r>
        <w:drawing>
          <wp:inline distT="0" distB="0" distL="0" distR="0">
            <wp:extent cx="5715000" cy="3019425"/>
            <wp:effectExtent t="0" r="0" b="0" l="0"/>
            <wp:docPr id="1" name="gfig_cmodel.png" descr="Figure 11: Structural model of the trust-centric consent object C = (I, A, P, T, L, E), showing the content and the supplier of each component, the system-generated consent identifier and initial state, and the later link to the on-chain token upon activation." title="Figure 11: Structural model of the trust-centric consent object C = (I, A, P, T, L, E), showing the content and the supplier of each component, the system-generated consent identifier and initial state, and the later link to the on-chain token upon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019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Structural model of the trust-centric consent object C = (I, A, P, T, L, E), showing the content and the supplier of each component, the system-generated consent identifier and initial state, and the later link to the on-chain token upon activation.</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this validation is a structural check that each identifier constitutes a well-formed DID.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 it is generated by the Consent Service at the moment the patient submits the consent, as a universally unique identifier (UUID).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0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Patient identity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authorised doctor D, guardian set G, purpose P</w:t>
      </w:r>
      <w:r>
        <w:rPr>
          <w:rFonts w:ascii="Cambria" w:cs="Cambria" w:eastAsia="Cambria" w:hAnsi="Cambria"/>
          <w:sz w:val="21"/>
          <w:szCs w:val="21"/>
          <w:vertAlign w:val="subscript"/>
        </w:rPr>
        <w:t xml:space="preserve">u</w:t>
      </w:r>
      <w:r>
        <w:rPr>
          <w:rFonts w:ascii="Cambria" w:cs="Cambria" w:eastAsia="Cambria" w:hAnsi="Cambria"/>
          <w:sz w:val="21"/>
          <w:szCs w:val="21"/>
        </w:rPr>
        <w:t xml:space="preserve">, data scope S</w:t>
      </w:r>
      <w:r>
        <w:rPr>
          <w:rFonts w:ascii="Cambria" w:cs="Cambria" w:eastAsia="Cambria" w:hAnsi="Cambria"/>
          <w:sz w:val="21"/>
          <w:szCs w:val="21"/>
          <w:vertAlign w:val="subscript"/>
        </w:rPr>
        <w:t xml:space="preserve">C</w:t>
      </w:r>
      <w:r>
        <w:rPr>
          <w:rFonts w:ascii="Cambria" w:cs="Cambria" w:eastAsia="Cambria" w:hAnsi="Cambria"/>
          <w:sz w:val="21"/>
          <w:szCs w:val="21"/>
        </w:rPr>
        <w:t xml:space="preserve">, validity interval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jc w:val="center"/>
      </w:pPr>
      <w:r>
        <w:rPr>
          <w:rFonts w:ascii="Cambria" w:cs="Cambria" w:eastAsia="Cambria" w:hAnsi="Cambria"/>
          <w:i/>
          <w:iCs/>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This condition defines the target verification model rather than the behaviour presently exercised. 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sz w:val="24"/>
          <w:szCs w:val="24"/>
        </w:rPr>
        <w:t xml:space="preserve">The threshold mechanism establishes collective authorisation.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In the current implementation the threshold is fixed to the full guardian set, N = |G|, so that every designated guardian must approve before the consent is activated; the demonstrated configuration is therefore 2-of-2. This distinction is important because a configurable k-of-n threshold, while a direct generalisation of the implemented mechanism, is left to future work.</w:t>
      </w:r>
    </w:p>
    <w:p>
      <w:pPr>
        <w:pStyle w:val="Heading3"/>
        <w:spacing w:after="160" w:before="280"/>
      </w:pPr>
      <w: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jc w:val="center"/>
      </w:pPr>
      <w:r>
        <w:rPr>
          <w:rFonts w:ascii="Cambria" w:cs="Cambria" w:eastAsia="Cambria" w:hAnsi="Cambria"/>
          <w:i/>
          <w:iCs/>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Authorisation(C) = { ALLOW,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PENDING,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4: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5: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16: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20:  </w:t>
      </w:r>
      <w:r>
        <w:rPr>
          <w:rFonts w:ascii="Cambria" w:cs="Cambria" w:eastAsia="Cambria" w:hAnsi="Cambria"/>
          <w:color w:val="000000"/>
          <w:sz w:val="21"/>
          <w:szCs w:val="21"/>
        </w:rPr>
        <w:t xml:space="preserve">state ← PENDING_TOKEN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keccak(P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background job; reconciled on next lookup</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24: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26: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28: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The complete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decision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jc w:val="center"/>
      </w:pPr>
      <w:r>
        <w:rPr>
          <w:rFonts w:ascii="Cambria" w:cs="Cambria" w:eastAsia="Cambria" w:hAnsi="Cambria"/>
          <w:i/>
          <w:iCs/>
          <w:sz w:val="20"/>
          <w:szCs w:val="20"/>
        </w:rPr>
        <w:t xml:space="preserve">[Figure 14: RO4 workflow for policy- and context-aware access control]</w:t>
      </w:r>
    </w:p>
    <w:p>
      <w:pPr>
        <w:pStyle w:val="Heading3"/>
        <w:spacing w:after="160" w:before="280"/>
      </w:pPr>
      <w: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access request R, requesting participant u</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t xml:space="preserve">6.4.3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which means the requested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PurposeMatch(P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ScopeMatch(S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0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purpose compatibility is evaluated as an exact match against the consent purpose, which is stored on-chain as keccak256(purpose). Therefore, a formal proof that no execution path can violate the privacy policy is deliberately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This objective belongs primarily to CA3 because it investigates how an authorisation remains trustworthy as time passes and as the consent state changes.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sz w:val="24"/>
          <w:szCs w:val="24"/>
        </w:rPr>
        <w:t xml:space="preserve">The lifecycle condition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(64)</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and where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This is important because it is precisely this check that produced the demonstrated denial in which a request declaring jurisdiction SA was refused against a consent issued for AU.</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Here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denotes the composite temporal–state predicate evaluated by this procedure;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per-request validity layer: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p>
      <w:pPr>
        <w:pStyle w:val="Heading3"/>
        <w:spacing w:after="160" w:before="280"/>
      </w:pPr>
      <w: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jc w:val="center"/>
      </w:pPr>
      <w:r>
        <w:rPr>
          <w:rFonts w:ascii="Cambria" w:cs="Cambria" w:eastAsia="Cambria" w:hAnsi="Cambria"/>
          <w:i/>
          <w:iCs/>
          <w:sz w:val="20"/>
          <w:szCs w:val="20"/>
        </w:rPr>
        <w:t xml:space="preserve">[Figure 15: RO5 workflow for temporal and consent lifecycle trust]</w:t>
      </w:r>
    </w:p>
    <w:p>
      <w:pPr>
        <w:spacing w:after="140" w:line="300"/>
        <w:jc w:val="both"/>
      </w:pPr>
      <w:r>
        <w:rPr>
          <w:rFonts w:ascii="Cambria" w:cs="Cambria" w:eastAsia="Cambria" w:hAnsi="Cambria"/>
          <w:sz w:val="24"/>
          <w:szCs w:val="24"/>
        </w:rPr>
        <w:t xml:space="preserve">Algorithm 5 extends the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decision process by ensuring that consent validity is dynamic rather than permanent.</w:t>
      </w:r>
    </w:p>
    <w:p>
      <w:pPr>
        <w:pStyle w:val="Heading2"/>
        <w:spacing w:after="160" w:before="280"/>
      </w:pPr>
      <w: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The formal decision model is expressed as</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color w:val="000000"/>
          <w:sz w:val="24"/>
          <w:szCs w:val="24"/>
        </w:rPr>
        <w:t xml:space="preserve">Decision(C, R)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where this soundness property is the one actually validated: each conjunct is exercised by a dedicated per-dimension failure test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jc w:val="center"/>
      </w:pPr>
      <w:r>
        <w:rPr>
          <w:rFonts w:ascii="Cambria" w:cs="Cambria" w:eastAsia="Cambria" w:hAnsi="Cambria"/>
          <w:i/>
          <w:iCs/>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w:t>
      </w:r>
      <w:r>
        <w:rPr>
          <w:rFonts w:ascii="Cambria" w:cs="Cambria" w:eastAsia="Cambria" w:hAnsi="Cambria"/>
          <w:sz w:val="24"/>
          <w:szCs w:val="24"/>
        </w:rPr>
        <w:t xml:space="preserve"> Policy Compliance, </w:t>
      </w:r>
      <w:r>
        <w:rPr>
          <w:rFonts w:ascii="Cambria" w:cs="Cambria" w:eastAsia="Cambria" w:hAnsi="Cambria"/>
          <w:color w:val="000000"/>
          <w:sz w:val="24"/>
          <w:szCs w:val="24"/>
        </w:rPr>
        <w:t xml:space="preserve">5) </w:t>
      </w:r>
      <w:r>
        <w:rPr>
          <w:rFonts w:ascii="Cambria" w:cs="Cambria" w:eastAsia="Cambria" w:hAnsi="Cambria"/>
          <w:sz w:val="24"/>
          <w:szCs w:val="24"/>
        </w:rPr>
        <w:t xml:space="preserve">Temporal and Lifecycle Trust. For the current stage implementation, the operational decision is based on</w:t>
      </w:r>
    </w:p>
    <w:p>
      <w:pPr>
        <w:spacing w:after="140" w:line="300"/>
        <w:jc w:val="both"/>
      </w:pPr>
      <w:r>
        <w:rPr>
          <w:rFonts w:ascii="Cambria" w:cs="Cambria" w:eastAsia="Cambria" w:hAnsi="Cambria"/>
          <w:color w:val="0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color w:val="000000"/>
          <w:sz w:val="24"/>
          <w:szCs w:val="24"/>
        </w:rPr>
        <w:t xml:space="preserve">The implemented system enforces the complete rule of Equation (70):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whether granted or denied, is logged together with the full decision matrix; Equation (69) is retained as the historical current-stage formulation.</w:t>
      </w:r>
    </w:p>
    <w:p>
      <w:pPr>
        <w:spacing w:after="140" w:line="300"/>
        <w:jc w:val="both"/>
      </w:pPr>
      <w:r>
        <w:rPr>
          <w:rFonts w:ascii="Cambria" w:cs="Cambria" w:eastAsia="Cambria" w:hAnsi="Cambria"/>
          <w:sz w:val="24"/>
          <w:szCs w:val="24"/>
        </w:rP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electronic medical record (EMR) modules, and finally revoked by the patient.</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(51), the identity and authority verification of Algorithm 2, the threshold-based multi-party authorisation of Algorithm 3, and the trust-predicate evaluation of Figure 8 are each exercised in this workflow by a real transaction on the Ethereum Sepolia test network, so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decentralised identifiers (DIDs) provide identity pointers,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w:t>
      </w:r>
      <w:r>
        <w:rPr>
          <w:rFonts w:ascii="Cambria" w:cs="Cambria" w:eastAsia="Cambria" w:hAnsi="Cambria"/>
          <w:b/>
          <w:bCs/>
          <w:color w:val="000000"/>
          <w:sz w:val="24"/>
          <w:szCs w:val="24"/>
        </w:rPr>
        <w:t xml:space="preserve">ConsentSBTv3</w:t>
      </w:r>
      <w:r>
        <w:rPr>
          <w:rFonts w:ascii="Cambria" w:cs="Cambria" w:eastAsia="Cambria" w:hAnsi="Cambria"/>
          <w:color w:val="0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purpose is stored only as a keccak256 hash, and no medical content is written to the chain; the plaintext purpose and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and the enforcement state records whether the consent is active or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(51)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complete lifecycle — activation as </w:t>
      </w:r>
      <w:r>
        <w:rPr>
          <w:rFonts w:ascii="Cambria" w:cs="Cambria" w:eastAsia="Cambria" w:hAnsi="Cambria"/>
          <w:b/>
          <w:bCs/>
          <w:color w:val="000000"/>
          <w:sz w:val="24"/>
          <w:szCs w:val="24"/>
        </w:rPr>
        <w:t xml:space="preserve">token #1</w:t>
      </w:r>
      <w:r>
        <w:rPr>
          <w:rFonts w:ascii="Cambria" w:cs="Cambria" w:eastAsia="Cambria" w:hAnsi="Cambria"/>
          <w:color w:val="000000"/>
          <w:sz w:val="24"/>
          <w:szCs w:val="24"/>
        </w:rPr>
        <w:t xml:space="preserve">, granted access, refused access and final revocation — and all transaction evidence in this chapter follows it. Because a revoked consent cannot be photographed in its earlier states, the screenshots of consent creation, guardian approval and granted access were captured from a second lifecycle with the same configuration — the same four-module scope, the same guardians, jurisdiction, purpose and doctor — executed for a different demonstration patient (consent 04da25f5, anchored as </w:t>
      </w:r>
      <w:r>
        <w:rPr>
          <w:rFonts w:ascii="Cambria" w:cs="Cambria" w:eastAsia="Cambria" w:hAnsi="Cambria"/>
          <w:b/>
          <w:bCs/>
          <w:color w:val="000000"/>
          <w:sz w:val="24"/>
          <w:szCs w:val="24"/>
        </w:rPr>
        <w:t xml:space="preserve">token #2</w:t>
      </w:r>
      <w:r>
        <w:rPr>
          <w:rFonts w:ascii="Cambria" w:cs="Cambria" w:eastAsia="Cambria" w:hAnsi="Cambria"/>
          <w:color w:val="0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(54).</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The implementation therefore enforces the logical authorisation rule:</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 ALLOW ⟺ VI(u) ∧ VA(C) ∧ VP(C, R) ∧ VT(C, t) ∧ VL(C), which extends the three-predicate rule of Eq. (59) with the temporal and jurisdictional verdicts.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as enforced by the implemented Consent Engine." title="Figure 28: Trust Predicate Evaluation and Authorisation Decision Flow,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Trust Predicate Evaluation and Authorisation Decision Flow,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This module operationalises the enforcement component of the consent object, which requires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the consent progresses through the controlled states PENDING_SIGNATURE, PENDING_TOKEN, NOT_STARTED, ACTIVE and REVOKED,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the nine access requests comprise the granted, refused and reproduced requests of the two lifecycles together with three granted requests recorded for the earlier trial consents.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 proofs and model checking of the stated properties —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Enforcement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60" w:before="60"/>
        <w:jc w:val="center"/>
      </w:pPr>
      <w:r>
        <w:rPr>
          <w:rFonts w:ascii="Cambria" w:cs="Cambria" w:eastAsia="Cambria" w:hAnsi="Cambria"/>
          <w:i/>
          <w:iCs/>
          <w:color w:val="000000"/>
          <w:sz w:val="19"/>
          <w:szCs w:val="19"/>
        </w:rPr>
        <w:t xml:space="preserve">Table 9: Correspondence between the HALAH framework components and the implemented subsystems.</w:t>
      </w: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t xml:space="preserve">7  Current Progress Status</w:t>
      </w:r>
    </w:p>
    <w:p>
      <w:pPr>
        <w:pStyle w:val="Heading2"/>
        <w:spacing w:after="160" w:before="280"/>
      </w:pPr>
      <w: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p>
      <w:pPr>
        <w:pStyle w:val="Heading2"/>
        <w:spacing w:after="160" w:before="280"/>
      </w:pPr>
      <w:r>
        <w:t xml:space="preserve">7.2  Progress of RO2: Decentralised Identity and Authority</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In the current prototype the approval threshold is fixed at N-of-N: every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pStyle w:val="Heading2"/>
        <w:spacing w:after="160" w:before="280"/>
      </w:pPr>
      <w: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pStyle w:val="Heading2"/>
        <w:spacing w:after="160" w:before="280"/>
      </w:pPr>
      <w:r>
        <w:t xml:space="preserve">7.4  Progress of RO4: Policy-Aware Access Control</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The policy predicate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implemented at the prototype level: each access request declares a purpose and a requested data scope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is not a subset of the authorised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sz w:val="24"/>
          <w:szCs w:val="24"/>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000000"/>
          <w:sz w:val="24"/>
          <w:szCs w:val="24"/>
        </w:rPr>
        <w:t xml:space="preserve">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the request exceeds the authorised scope and the jurisdiction and validity conditions are evaluated against the stored consent before any decision is returned.</w:t>
      </w:r>
    </w:p>
    <w:p>
      <w:pPr>
        <w:pStyle w:val="Heading2"/>
        <w:spacing w:after="160" w:before="280"/>
      </w:pPr>
      <w:r>
        <w:t xml:space="preserve">7.5  Progress of RO5: Temporal and Lifecycle Trust</w:t>
      </w:r>
    </w:p>
    <w:p>
      <w:pPr>
        <w:spacing w:after="140" w:line="300"/>
        <w:jc w:val="both"/>
      </w:pPr>
      <w:r>
        <w:rPr>
          <w:rFonts w:ascii="Cambria" w:cs="Cambria" w:eastAsia="Cambria" w:hAnsi="Cambria"/>
          <w:color w:val="000000"/>
          <w:sz w:val="24"/>
          <w:szCs w:val="24"/>
        </w:rPr>
        <w:t xml:space="preserve">Status: Largely Completed.</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t xml:space="preserve">7.6  Progress of RO6: Security Assurance and Validation</w:t>
      </w:r>
    </w:p>
    <w:p>
      <w:pPr>
        <w:spacing w:after="140" w:line="300"/>
        <w:jc w:val="both"/>
      </w:pPr>
      <w:r>
        <w:rPr>
          <w:rFonts w:ascii="Cambria" w:cs="Cambria" w:eastAsia="Cambria" w:hAnsi="Cambria"/>
          <w:sz w:val="24"/>
          <w:szCs w:val="24"/>
        </w:rPr>
        <w:t xml:space="preserve">Status: Partially Completed </w:t>
      </w:r>
      <w:r>
        <w:rPr>
          <w:rFonts w:ascii="Cambria" w:cs="Cambria" w:eastAsia="Cambria" w:hAnsi="Cambria"/>
          <w:color w:val="000000"/>
          <w:sz w:val="24"/>
          <w:szCs w:val="24"/>
        </w:rPr>
        <w:t xml:space="preserve">(empirical validation complete; formal assurance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color w:val="000000"/>
          <w:sz w:val="24"/>
          <w:szCs w:val="24"/>
        </w:rPr>
        <w:t xml:space="preserve">Empirical validation now covers all six trust dimensions.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and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The implemented decision rule is Decision(C, R, t) = ALLOW iff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Formal security analysis and a systematic performance study remain for the next stage.</w:t>
      </w:r>
    </w:p>
    <w:p>
      <w:pPr>
        <w:spacing w:after="140" w:line="300"/>
        <w:jc w:val="both"/>
      </w:pPr>
      <w:r>
        <w:rPr>
          <w:rFonts w:ascii="Cambria" w:cs="Cambria" w:eastAsia="Cambria" w:hAnsi="Cambria"/>
          <w:sz w:val="24"/>
          <w:szCs w:val="24"/>
        </w:rPr>
        <w:t xml:space="preserve">At the current stage, the experimental evidence primarily demonstrates the consistency between the implemented consent, identity, and multi-party authorisation mechanisms and their corresponding research questions.</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w:t>
      </w:r>
    </w:p>
    <w:p>
      <w:pPr>
        <w:pStyle w:val="Heading1"/>
        <w:pageBreakBefore/>
        <w:spacing w:after="160" w:before="400"/>
      </w:pPr>
      <w: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keepNext/>
        <w:spacing w:after="80" w:before="160"/>
        <w:jc w:val="center"/>
      </w:pPr>
      <w:r>
        <w:rPr>
          <w:rFonts w:ascii="Cambria" w:cs="Cambria" w:eastAsia="Cambria" w:hAnsi="Cambria"/>
          <w:b/>
          <w:bCs/>
          <w:sz w:val="21"/>
          <w:szCs w:val="21"/>
        </w:rPr>
        <w:t xml:space="preserve">Table 7: </w:t>
      </w:r>
      <w:r>
        <w:rPr>
          <w:rFonts w:ascii="Cambria" w:cs="Cambria" w:eastAsia="Cambria" w:hAnsi="Cambria"/>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addresses RQ1-RQ4 (Chapters 3-4).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addresses formal security assurance (Chapter 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t xml:space="preserve">9.2  Next Stage: Planned Work</w:t>
      </w:r>
    </w:p>
    <w:p>
      <w:pPr>
        <w:spacing w:after="140" w:line="300"/>
        <w:jc w:val="both"/>
      </w:pPr>
      <w:r>
        <w:rPr>
          <w:rFonts w:ascii="Cambria" w:cs="Cambria" w:eastAsia="Cambria" w:hAnsi="Cambria"/>
          <w:color w:val="0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the next stage concentrates on two remaining foci: formal security assurance and comprehensive empirical validation, including performance measurement.</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8.</w:t>
      </w:r>
    </w:p>
    <w:p>
      <w:pPr>
        <w:keepNext/>
        <w:spacing w:after="80" w:before="160"/>
        <w:jc w:val="center"/>
      </w:pPr>
      <w:r>
        <w:rPr>
          <w:rFonts w:ascii="Cambria" w:cs="Cambria" w:eastAsia="Cambria" w:hAnsi="Cambria"/>
          <w:b/>
          <w:bCs/>
          <w:sz w:val="21"/>
          <w:szCs w:val="21"/>
        </w:rPr>
        <w:t xml:space="preserve">Table 8: </w:t>
      </w:r>
      <w:r>
        <w:rPr>
          <w:rFonts w:ascii="Cambria" w:cs="Cambria" w:eastAsia="Cambria" w:hAnsi="Cambria"/>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consent model to incorporate validity periods, dynamic expiration, immediate revocation, and controlled lifecycle transitions.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Temporal and Lifecycle Trust — Completed (on-chain notBefore and expiry fields; revoke transaction confirmed in block 11,771,307; explicit lifecycle state machine). Comprehensive Empirical Validation — Partially delivered (23 automated tests; live jurisdiction denial and revocation-then-denial on Sepolia; independent chain verification reporting ALL CHECKS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0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t xml:space="preserve">Appendix A — Traceability to the Implemented System</w:t>
      </w:r>
    </w:p>
    <w:p>
      <w:pPr>
        <w:spacing w:after="140" w:line="300"/>
        <w:jc w:val="both"/>
      </w:pPr>
      <w:r>
        <w:rPr>
          <w:rFonts w:ascii="Cambria" w:cs="Cambria" w:eastAsia="Cambria" w:hAnsi="Cambria"/>
          <w:color w:val="000000"/>
          <w:sz w:val="24"/>
          <w:szCs w:val="24"/>
        </w:rPr>
        <w:t xml:space="preserve">Table 10 summarises how each formal artefact of this report is realised in the implemented HALAH subsystem presented in Section 6.8,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(59),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§5.2,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before="60"/>
        <w:jc w:val="center"/>
      </w:pPr>
      <w:r>
        <w:rPr>
          <w:rFonts w:ascii="Cambria" w:cs="Cambria" w:eastAsia="Cambria" w:hAnsi="Cambria"/>
          <w:i/>
          <w:iCs/>
          <w:color w:val="000000"/>
          <w:sz w:val="19"/>
          <w:szCs w:val="19"/>
        </w:rPr>
        <w:t xml:space="preserve">Table 10: Traceability from the formal artefacts of this report to the implemented mechanisms and their on-chain evidence.</w:t>
      </w:r>
    </w:p>
    <w:p>
      <w:pPr>
        <w:pStyle w:val="Heading1"/>
        <w:pageBreakBefore/>
        <w:spacing w:after="160" w:before="400"/>
      </w:pPr>
      <w:r>
        <w:t xml:space="preserve">References</w:t>
      </w:r>
    </w:p>
    <w:p>
      <w:pPr>
        <w:spacing w:after="140" w:line="300"/>
        <w:jc w:val="both"/>
      </w:pPr>
      <w:r>
        <w:rPr>
          <w:rFonts w:ascii="Cambria" w:cs="Cambria" w:eastAsia="Cambria" w:hAnsi="Cambria"/>
          <w:sz w:val="24"/>
          <w:szCs w:val="24"/>
        </w:rPr>
        <w:t xml:space="preserve">[1] Abdullah Al Mamun, Sami Azam, and Clementine Gritti. Blockchain-based electronic health records management: a comprehensive review and future research direction.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Blockchain application in healthcare systems: a review.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sz w:val="24"/>
          <w:szCs w:val="24"/>
        </w:rPr>
        <w:t xml:space="preserve">[22] Roy McClelland and Colin M Harper. Information privacy in healthcare—the vital role of informed consent.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Enhancing patient autonomy in data ownership: privacy models and consent frameworks for healthcare.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ACM Transactions on Management Information Systems (TMIS), 13(4):1–21, 2022.</w:t>
      </w:r>
    </w:p>
    <w:p>
      <w:pPr>
        <w:spacing w:after="140" w:line="300"/>
        <w:jc w:val="both"/>
      </w:pPr>
      <w:r>
        <w:rPr>
          <w:rFonts w:ascii="Cambria" w:cs="Cambria" w:eastAsia="Cambria" w:hAnsi="Cambria"/>
          <w:sz w:val="24"/>
          <w:szCs w:val="24"/>
        </w:rPr>
        <w:t xml:space="preserve">[28] Ahmed M Tawfik, Ayman Al-Ahwal, Adly S Tag Eldien, and Hala H Zayed. Blockchain-based access control and privacy preservation in healthcare: a comprehensive survey.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 The PRISMA 2020 statement: an updated guideline for reporting systematic reviews. BMJ, 372:n71, 2021.</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bac4283ac7c9dffcd42565f9f279d568fa67012.png"/><Relationship Id="rId9" Type="http://schemas.openxmlformats.org/officeDocument/2006/relationships/image" Target="media/d4fcae5448728df700f7fcb56b8fc5a1fc56fa7f.png"/><Relationship Id="rId10" Type="http://schemas.openxmlformats.org/officeDocument/2006/relationships/image" Target="media/5725741516b6d7350742358c69ef15dffd19ce8b.png"/><Relationship Id="rId11" Type="http://schemas.openxmlformats.org/officeDocument/2006/relationships/image" Target="media/8dbf8f8114ee1a36bb173391ae40c477f5a9f4e7.png"/><Relationship Id="rId12" Type="http://schemas.openxmlformats.org/officeDocument/2006/relationships/image" Target="media/0ed002e09311e352eea87b4c3d6bc1c202f9bce1.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fe31f8f29a692dd173065f592f44a94045201e99.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340cd7ece83aa7b471f90497fa4ab20abba8cb78.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0c260341434b1a3d96e8ec816e8fdf21bc280008.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5aab1f9956758b1489f12e56e316ce914adfc234.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18110f2d94411825c7d788fe5ccde19f68a450f5.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2026-09-28T09:59:48.895Z</dcterms:created>
  <dcterms:modified xsi:type="dcterms:W3CDTF">2026-09-28T09:59:48.896Z</dcterms:modified>
</cp:coreProperties>
</file>

<file path=docProps/custom.xml><?xml version="1.0" encoding="utf-8"?>
<Properties xmlns="http://schemas.openxmlformats.org/officeDocument/2006/custom-properties" xmlns:vt="http://schemas.openxmlformats.org/officeDocument/2006/docPropsVTypes"/>
</file>