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line="400"/>
        <w:jc w:val="center"/>
      </w:pPr>
      <w:r>
        <w:rPr>
          <w:rFonts w:ascii="Cambria" w:cs="Cambria" w:eastAsia="Cambria" w:hAnsi="Cambria"/>
          <w:b/>
          <w:bCs/>
          <w:sz w:val="34"/>
          <w:szCs w:val="34"/>
        </w:rPr>
        <w:t xml:space="preserve">A Trusted Authorisation Framework for Multi-Party Patient Consent in Healthcare Data Sharing</w:t>
      </w:r>
    </w:p>
    <w:p>
      <w:pPr>
        <w:spacing w:after="40" w:before="120"/>
        <w:jc w:val="center"/>
      </w:pPr>
      <w:r>
        <w:rPr>
          <w:rFonts w:ascii="Cambria" w:cs="Cambria" w:eastAsia="Cambria" w:hAnsi="Cambria"/>
          <w:sz w:val="26"/>
          <w:szCs w:val="26"/>
        </w:rPr>
        <w:t xml:space="preserve">Principal Supervisor: Professor Farookh Hussain</w:t>
      </w:r>
    </w:p>
    <w:p>
      <w:pPr>
        <w:spacing w:after="40" w:before="120"/>
        <w:jc w:val="center"/>
      </w:pPr>
      <w:r>
        <w:rPr>
          <w:rFonts w:ascii="Cambria" w:cs="Cambria" w:eastAsia="Cambria" w:hAnsi="Cambria"/>
          <w:sz w:val="26"/>
          <w:szCs w:val="26"/>
        </w:rPr>
        <w:t xml:space="preserve">Co-Supervisor: Dr. Firas Al-Doghman</w:t>
      </w:r>
    </w:p>
    <w:p>
      <w:pPr>
        <w:spacing w:after="40" w:before="120"/>
        <w:jc w:val="center"/>
      </w:pPr>
      <w:r>
        <w:rPr>
          <w:rFonts w:ascii="Cambria" w:cs="Cambria" w:eastAsia="Cambria" w:hAnsi="Cambria"/>
          <w:sz w:val="26"/>
          <w:szCs w:val="26"/>
        </w:rPr>
        <w:t xml:space="preserve">Presenter: Yasir Dhaifallah O Alyoubi</w:t>
      </w:r>
    </w:p>
    <w:p>
      <w:pPr>
        <w:spacing w:after="40" w:before="120"/>
        <w:jc w:val="center"/>
      </w:pPr>
      <w:r>
        <w:rPr>
          <w:rFonts w:ascii="Cambria" w:cs="Cambria" w:eastAsia="Cambria" w:hAnsi="Cambria"/>
          <w:sz w:val="26"/>
          <w:szCs w:val="26"/>
        </w:rPr>
        <w:t xml:space="preserve">Student ID: 24724078</w:t>
      </w:r>
    </w:p>
    <w:p>
      <w:pPr>
        <w:spacing w:before="200"/>
        <w:jc w:val="center"/>
      </w:pPr>
      <w:r>
        <w:rPr>
          <w:rFonts w:ascii="Cambria" w:cs="Cambria" w:eastAsia="Cambria" w:hAnsi="Cambria"/>
          <w:sz w:val="26"/>
          <w:szCs w:val="26"/>
        </w:rPr>
        <w:t xml:space="preserve">August 2026</w:t>
      </w:r>
    </w:p>
    <w:p>
      <w:r>
        <w:br w:type="page"/>
      </w:r>
    </w:p>
    <w:p>
      <w:r>
        <w:br w:type="page"/>
      </w:r>
    </w:p>
    <w:p>
      <w:pPr>
        <w:pageBreakBefore/>
        <w:spacing w:after="200"/>
      </w:pPr>
      <w:r>
        <w:rPr>
          <w:rFonts w:ascii="Cambria" w:cs="Cambria" w:eastAsia="Cambria" w:hAnsi="Cambria"/>
          <w:b/>
          <w:bCs/>
          <w:color w:val="C00000"/>
          <w:sz w:val="30"/>
          <w:szCs w:val="30"/>
        </w:rPr>
        <w:t xml:space="preserve">Pre-Submission Risk Review (generated — remove before submitting)</w:t>
      </w:r>
    </w:p>
    <w:p>
      <w:pPr>
        <w:spacing w:after="100" w:before="100"/>
      </w:pPr>
      <w:r>
        <w:rPr>
          <w:rFonts w:ascii="Cambria" w:cs="Cambria" w:eastAsia="Cambria" w:hAnsi="Cambria"/>
          <w:b/>
          <w:bCs/>
          <w:color w:val="C00000"/>
          <w:sz w:val="19"/>
          <w:szCs w:val="19"/>
        </w:rPr>
        <w:t xml:space="preserve">◆ [RED — يجب حله قبل التسليم] R1 (p. 6.8.12): re-verify every Sepolia Etherscan link (contract, mint tx, revoke tx, tokens) still resolves.</w:t>
      </w:r>
    </w:p>
    <w:p>
      <w:pPr>
        <w:spacing w:after="100" w:before="100"/>
      </w:pPr>
      <w:r>
        <w:rPr>
          <w:rFonts w:ascii="Cambria" w:cs="Cambria" w:eastAsia="Cambria" w:hAnsi="Cambria"/>
          <w:b/>
          <w:bCs/>
          <w:color w:val="C00000"/>
          <w:sz w:val="19"/>
          <w:szCs w:val="19"/>
        </w:rPr>
        <w:t xml:space="preserve">◆ [RED — يجب حله قبل التسليم] R2 (7.4, 7.5): RO4 Completed / RO5 Largely Completed upgrades the original staging - confirm with your supervisor and be ready to defend in the viva.</w:t>
      </w:r>
    </w:p>
    <w:p>
      <w:pPr>
        <w:spacing w:after="100" w:before="100"/>
      </w:pPr>
      <w:r>
        <w:rPr>
          <w:rFonts w:ascii="Cambria" w:cs="Cambria" w:eastAsia="Cambria" w:hAnsi="Cambria"/>
          <w:b/>
          <w:bCs/>
          <w:color w:val="C00000"/>
          <w:sz w:val="19"/>
          <w:szCs w:val="19"/>
        </w:rPr>
        <w:t xml:space="preserve">◆ [RED — يجب حله قبل التسليم] R3 (2.2.6): PRISMA numbers must match your real reference-manager export; fix prose AND Figure 2 together if they differ.</w:t>
      </w:r>
    </w:p>
    <w:p>
      <w:pPr>
        <w:spacing w:after="100" w:before="100"/>
      </w:pPr>
      <w:r>
        <w:rPr>
          <w:rFonts w:ascii="Cambria" w:cs="Cambria" w:eastAsia="Cambria" w:hAnsi="Cambria"/>
          <w:b/>
          <w:bCs/>
          <w:color w:val="C00000"/>
          <w:sz w:val="19"/>
          <w:szCs w:val="19"/>
        </w:rPr>
        <w:t xml:space="preserve">◆ [RED — يجب حله قبل التسليم] R4 (2.2.7): the quality-assessment procedure described must be one you actually performed.</w:t>
      </w:r>
    </w:p>
    <w:p>
      <w:pPr>
        <w:spacing w:after="100" w:before="100"/>
      </w:pPr>
      <w:r>
        <w:rPr>
          <w:rFonts w:ascii="Cambria" w:cs="Cambria" w:eastAsia="Cambria" w:hAnsi="Cambria"/>
          <w:b/>
          <w:bCs/>
          <w:color w:val="C00000"/>
          <w:sz w:val="19"/>
          <w:szCs w:val="19"/>
        </w:rPr>
        <w:t xml:space="preserve">◆ [RED — يجب حله قبل التسليم] R5 (2.2.4): the search claim (databases, dates) must be reproducible; keep the search logs.</w:t>
      </w:r>
    </w:p>
    <w:p>
      <w:pPr>
        <w:spacing w:after="100" w:before="100"/>
      </w:pPr>
      <w:r>
        <w:rPr>
          <w:rFonts w:ascii="Cambria" w:cs="Cambria" w:eastAsia="Cambria" w:hAnsi="Cambria"/>
          <w:b/>
          <w:bCs/>
          <w:color w:val="C00000"/>
          <w:sz w:val="19"/>
          <w:szCs w:val="19"/>
        </w:rPr>
        <w:t xml:space="preserve">◆ [RED — يجب حله قبل التسليم] R7 (References [21]): read Welzel et al. 2025 and confirm it supports its three citation sites.</w:t>
      </w:r>
    </w:p>
    <w:p>
      <w:pPr>
        <w:spacing w:after="100" w:before="100"/>
      </w:pPr>
      <w:r>
        <w:rPr>
          <w:rFonts w:ascii="Cambria" w:cs="Cambria" w:eastAsia="Cambria" w:hAnsi="Cambria"/>
          <w:b/>
          <w:bCs/>
          <w:color w:val="007A00"/>
          <w:sz w:val="19"/>
          <w:szCs w:val="19"/>
        </w:rPr>
        <w:t xml:space="preserve">◆ [GREEN — غير مهم] Y1 - FIXED: the cover and document title now read Authorisation, matching the body. Inform your supervisor of the spelling alignment.</w:t>
      </w:r>
    </w:p>
    <w:p>
      <w:pPr>
        <w:spacing w:after="100" w:before="100"/>
      </w:pPr>
      <w:r>
        <w:rPr>
          <w:rFonts w:ascii="Cambria" w:cs="Cambria" w:eastAsia="Cambria" w:hAnsi="Cambria"/>
          <w:b/>
          <w:bCs/>
          <w:color w:val="007A00"/>
          <w:sz w:val="19"/>
          <w:szCs w:val="19"/>
        </w:rPr>
        <w:t xml:space="preserve">◆ [GREEN — غير مهم] Y2 - FIXED: the procedure now sits in Section 6.5.2, directly before Algorithm 5 (renumbered 6.5.3); the former 6.4.3/6.4.4 are now 6.4.2/6.4.3.</w:t>
      </w:r>
    </w:p>
    <w:p>
      <w:pPr>
        <w:spacing w:after="100" w:before="100"/>
      </w:pPr>
      <w:r>
        <w:rPr>
          <w:rFonts w:ascii="Cambria" w:cs="Cambria" w:eastAsia="Cambria" w:hAnsi="Cambria"/>
          <w:b/>
          <w:bCs/>
          <w:color w:val="007A00"/>
          <w:sz w:val="19"/>
          <w:szCs w:val="19"/>
        </w:rPr>
        <w:t xml:space="preserve">◆ [GREEN — غير مهم] Y3 - FIXED: the composite predicate is renamed Vₛ(C, t, q) with a clarifying sentence separating it from the jurisdictional Vᴸ(C).</w:t>
      </w:r>
    </w:p>
    <w:p>
      <w:pPr>
        <w:spacing w:after="100" w:before="100"/>
      </w:pPr>
      <w:r>
        <w:rPr>
          <w:rFonts w:ascii="Cambria" w:cs="Cambria" w:eastAsia="Cambria" w:hAnsi="Cambria"/>
          <w:b/>
          <w:bCs/>
          <w:color w:val="007A00"/>
          <w:sz w:val="19"/>
          <w:szCs w:val="19"/>
        </w:rPr>
        <w:t xml:space="preserve">◆ [GREEN — غير مهم] Y4 - FIXED: the 7.6 status now reads Partially Completed (empirical validation complete; formal assurance outstanding).</w:t>
      </w:r>
    </w:p>
    <w:p>
      <w:pPr>
        <w:spacing w:after="100" w:before="100"/>
      </w:pPr>
      <w:r>
        <w:rPr>
          <w:rFonts w:ascii="Cambria" w:cs="Cambria" w:eastAsia="Cambria" w:hAnsi="Cambria"/>
          <w:b/>
          <w:bCs/>
          <w:color w:val="007A00"/>
          <w:sz w:val="19"/>
          <w:szCs w:val="19"/>
        </w:rPr>
        <w:t xml:space="preserve">◆ [GREEN — غير مهم] Y5 - FIXED: the duplicate Figure A in 6.5 is removed; the implemented state machine remains in Section 6.8.6 and Table 10 points there.</w:t>
      </w:r>
    </w:p>
    <w:p>
      <w:pPr>
        <w:spacing w:after="100" w:before="100"/>
      </w:pPr>
      <w:r>
        <w:rPr>
          <w:rFonts w:ascii="Cambria" w:cs="Cambria" w:eastAsia="Cambria" w:hAnsi="Cambria"/>
          <w:b/>
          <w:bCs/>
          <w:color w:val="007A00"/>
          <w:sz w:val="19"/>
          <w:szCs w:val="19"/>
        </w:rPr>
        <w:t xml:space="preserve">◆ [GREEN — غير مهم] Y6 - FIXED: all figures and tables are now in single numeric sequences - Figures 1-40 (former 2a/2b/2c are 3/4/5; the RO1 consent-object model is the new Figure 11; implementation screenshots are 17-40) and Tables 1-10; every in-text reference was remapped.</w:t>
      </w:r>
    </w:p>
    <w:p>
      <w:pPr>
        <w:spacing w:after="100" w:before="100"/>
      </w:pPr>
      <w:r>
        <w:rPr>
          <w:rFonts w:ascii="Cambria" w:cs="Cambria" w:eastAsia="Cambria" w:hAnsi="Cambria"/>
          <w:b/>
          <w:bCs/>
          <w:color w:val="007A00"/>
          <w:sz w:val="19"/>
          <w:szCs w:val="19"/>
        </w:rPr>
        <w:t xml:space="preserve">◆ [GREEN — غير مهم] G1 (References): [21]/[34] alphabetical-order break - harmless in numeric style.</w:t>
      </w:r>
    </w:p>
    <w:p>
      <w:pPr>
        <w:spacing w:after="100" w:before="100"/>
      </w:pPr>
      <w:r>
        <w:rPr>
          <w:rFonts w:ascii="Cambria" w:cs="Cambria" w:eastAsia="Cambria" w:hAnsi="Cambria"/>
          <w:b/>
          <w:bCs/>
          <w:color w:val="007A00"/>
          <w:sz w:val="19"/>
          <w:szCs w:val="19"/>
        </w:rPr>
        <w:t xml:space="preserve">◆ [GREEN — غير مهم] G2 (companion file): the short report uses the label Done where this report uses Completed for RO1-RO3.</w:t>
      </w:r>
    </w:p>
    <w:p>
      <w:pPr>
        <w:spacing w:after="100" w:before="100"/>
      </w:pPr>
      <w:r>
        <w:rPr>
          <w:rFonts w:ascii="Cambria" w:cs="Cambria" w:eastAsia="Cambria" w:hAnsi="Cambria"/>
          <w:b/>
          <w:bCs/>
          <w:color w:val="007A00"/>
          <w:sz w:val="19"/>
          <w:szCs w:val="19"/>
        </w:rPr>
        <w:t xml:space="preserve">◆ [GREEN — غير مهم] G3 (algorithms): grey line numbers are the original design of your listings.</w:t>
      </w:r>
    </w:p>
    <w:p>
      <w:pPr>
        <w:spacing w:after="100" w:before="100"/>
      </w:pPr>
      <w:r>
        <w:rPr>
          <w:rFonts w:ascii="Cambria" w:cs="Cambria" w:eastAsia="Cambria" w:hAnsi="Cambria"/>
          <w:b/>
          <w:bCs/>
          <w:color w:val="007A00"/>
          <w:sz w:val="19"/>
          <w:szCs w:val="19"/>
        </w:rPr>
        <w:t xml:space="preserve">◆ [GREEN — غير مهم] G4 (references): minor style variance ([27] keeps the TMIS abbreviation; [20] has no issue number).</w:t>
      </w:r>
    </w:p>
    <w:p>
      <w:pPr>
        <w:spacing w:after="200"/>
      </w:pPr>
      <w:r>
        <w:rPr>
          <w:rFonts w:ascii="Cambria" w:cs="Cambria" w:eastAsia="Cambria" w:hAnsi="Cambria"/>
          <w:b/>
          <w:bCs/>
          <w:sz w:val="32"/>
          <w:szCs w:val="32"/>
        </w:rPr>
        <w:t xml:space="preserve">Contents</w:t>
      </w:r>
    </w:p>
    <w:p>
      <w:pPr>
        <w:tabs>
          <w:tab w:val="right" w:pos="9360" w:leader="dot"/>
        </w:tabs>
        <w:spacing w:after="60"/>
        <w:ind w:left="0"/>
      </w:pPr>
      <w:r>
        <w:rPr>
          <w:rFonts w:ascii="Cambria" w:cs="Cambria" w:eastAsia="Cambria" w:hAnsi="Cambria"/>
          <w:b/>
          <w:bCs/>
          <w:sz w:val="24"/>
          <w:szCs w:val="24"/>
        </w:rPr>
        <w:t xml:space="preserve">1 Introduction</w:t>
      </w:r>
      <w:r>
        <w:rPr>
          <w:rFonts w:ascii="Cambria" w:cs="Cambria" w:eastAsia="Cambria" w:hAnsi="Cambria"/>
          <w:sz w:val="22"/>
          <w:szCs w:val="22"/>
        </w:rPr>
        <w:t xml:space="preserve">	6</w:t>
      </w:r>
    </w:p>
    <w:p>
      <w:pPr>
        <w:tabs>
          <w:tab w:val="right" w:pos="9360" w:leader="dot"/>
        </w:tabs>
        <w:spacing w:after="60"/>
        <w:ind w:left="360"/>
      </w:pPr>
      <w:r>
        <w:rPr>
          <w:rFonts w:ascii="Cambria" w:cs="Cambria" w:eastAsia="Cambria" w:hAnsi="Cambria"/>
          <w:b w:val="false"/>
          <w:bCs w:val="false"/>
          <w:sz w:val="22"/>
          <w:szCs w:val="22"/>
        </w:rPr>
        <w:t xml:space="preserve">1.1 Research Context</w:t>
      </w:r>
      <w:r>
        <w:rPr>
          <w:rFonts w:ascii="Cambria" w:cs="Cambria" w:eastAsia="Cambria" w:hAnsi="Cambria"/>
          <w:sz w:val="22"/>
          <w:szCs w:val="22"/>
        </w:rPr>
        <w:t xml:space="preserve">	6</w:t>
      </w:r>
    </w:p>
    <w:p>
      <w:pPr>
        <w:tabs>
          <w:tab w:val="right" w:pos="9360" w:leader="dot"/>
        </w:tabs>
        <w:spacing w:after="60"/>
        <w:ind w:left="360"/>
      </w:pPr>
      <w:r>
        <w:rPr>
          <w:rFonts w:ascii="Cambria" w:cs="Cambria" w:eastAsia="Cambria" w:hAnsi="Cambria"/>
          <w:b w:val="false"/>
          <w:bCs w:val="false"/>
          <w:sz w:val="22"/>
          <w:szCs w:val="22"/>
        </w:rPr>
        <w:t xml:space="preserve">1.2 Problem Statement</w:t>
      </w:r>
      <w:r>
        <w:rPr>
          <w:rFonts w:ascii="Cambria" w:cs="Cambria" w:eastAsia="Cambria" w:hAnsi="Cambria"/>
          <w:sz w:val="22"/>
          <w:szCs w:val="22"/>
        </w:rPr>
        <w:t xml:space="preserve">	7</w:t>
      </w:r>
    </w:p>
    <w:p>
      <w:pPr>
        <w:tabs>
          <w:tab w:val="right" w:pos="9360" w:leader="dot"/>
        </w:tabs>
        <w:spacing w:after="60"/>
        <w:ind w:left="360"/>
      </w:pPr>
      <w:r>
        <w:rPr>
          <w:rFonts w:ascii="Cambria" w:cs="Cambria" w:eastAsia="Cambria" w:hAnsi="Cambria"/>
          <w:b w:val="false"/>
          <w:bCs w:val="false"/>
          <w:sz w:val="22"/>
          <w:szCs w:val="22"/>
        </w:rPr>
        <w:t xml:space="preserve">1.3 Research Motivation</w:t>
      </w:r>
      <w:r>
        <w:rPr>
          <w:rFonts w:ascii="Cambria" w:cs="Cambria" w:eastAsia="Cambria" w:hAnsi="Cambria"/>
          <w:sz w:val="22"/>
          <w:szCs w:val="22"/>
        </w:rPr>
        <w:t xml:space="preserve">	9</w:t>
      </w:r>
    </w:p>
    <w:p>
      <w:pPr>
        <w:tabs>
          <w:tab w:val="right" w:pos="9360" w:leader="dot"/>
        </w:tabs>
        <w:spacing w:after="60"/>
        <w:ind w:left="0"/>
      </w:pPr>
      <w:r>
        <w:rPr>
          <w:rFonts w:ascii="Cambria" w:cs="Cambria" w:eastAsia="Cambria" w:hAnsi="Cambria"/>
          <w:b/>
          <w:bCs/>
          <w:sz w:val="24"/>
          <w:szCs w:val="24"/>
        </w:rPr>
        <w:t xml:space="preserve">2 Systematic Literature Review</w:t>
      </w:r>
      <w:r>
        <w:rPr>
          <w:rFonts w:ascii="Cambria" w:cs="Cambria" w:eastAsia="Cambria" w:hAnsi="Cambria"/>
          <w:sz w:val="22"/>
          <w:szCs w:val="22"/>
        </w:rPr>
        <w:t xml:space="preserve">	13</w:t>
      </w:r>
    </w:p>
    <w:p>
      <w:pPr>
        <w:tabs>
          <w:tab w:val="right" w:pos="9360" w:leader="dot"/>
        </w:tabs>
        <w:spacing w:after="60"/>
        <w:ind w:left="360"/>
      </w:pPr>
      <w:r>
        <w:rPr>
          <w:rFonts w:ascii="Cambria" w:cs="Cambria" w:eastAsia="Cambria" w:hAnsi="Cambria"/>
          <w:b w:val="false"/>
          <w:bCs w:val="false"/>
          <w:sz w:val="22"/>
          <w:szCs w:val="22"/>
        </w:rPr>
        <w:t xml:space="preserve">2.1 Overview</w:t>
      </w:r>
      <w:r>
        <w:rPr>
          <w:rFonts w:ascii="Cambria" w:cs="Cambria" w:eastAsia="Cambria" w:hAnsi="Cambria"/>
          <w:sz w:val="22"/>
          <w:szCs w:val="22"/>
        </w:rPr>
        <w:t xml:space="preserve">	13</w:t>
      </w:r>
    </w:p>
    <w:p>
      <w:pPr>
        <w:tabs>
          <w:tab w:val="right" w:pos="9360" w:leader="dot"/>
        </w:tabs>
        <w:spacing w:after="60"/>
        <w:ind w:left="360"/>
      </w:pPr>
      <w:r>
        <w:rPr>
          <w:rFonts w:ascii="Cambria" w:cs="Cambria" w:eastAsia="Cambria" w:hAnsi="Cambria"/>
          <w:b w:val="false"/>
          <w:bCs w:val="false"/>
          <w:sz w:val="22"/>
          <w:szCs w:val="22"/>
        </w:rPr>
        <w:t xml:space="preserve">2.2 Systematic Literature Review Methodology</w:t>
      </w:r>
      <w:r>
        <w:rPr>
          <w:rFonts w:ascii="Cambria" w:cs="Cambria" w:eastAsia="Cambria" w:hAnsi="Cambria"/>
          <w:sz w:val="22"/>
          <w:szCs w:val="22"/>
        </w:rPr>
        <w:t xml:space="preserve">	13</w:t>
      </w:r>
    </w:p>
    <w:p>
      <w:pPr>
        <w:tabs>
          <w:tab w:val="right" w:pos="9360" w:leader="dot"/>
        </w:tabs>
        <w:spacing w:after="60"/>
        <w:ind w:left="720"/>
      </w:pPr>
      <w:r>
        <w:rPr>
          <w:rFonts w:ascii="Cambria" w:cs="Cambria" w:eastAsia="Cambria" w:hAnsi="Cambria"/>
          <w:b w:val="false"/>
          <w:bCs w:val="false"/>
          <w:sz w:val="20"/>
          <w:szCs w:val="20"/>
        </w:rPr>
        <w:t xml:space="preserve">2.2.1 Review Design and Reporting Framework</w:t>
      </w:r>
      <w:r>
        <w:rPr>
          <w:rFonts w:ascii="Cambria" w:cs="Cambria" w:eastAsia="Cambria" w:hAnsi="Cambria"/>
          <w:sz w:val="20"/>
          <w:szCs w:val="20"/>
        </w:rPr>
        <w:t xml:space="preserve">	14</w:t>
      </w:r>
    </w:p>
    <w:p>
      <w:pPr>
        <w:tabs>
          <w:tab w:val="right" w:pos="9360" w:leader="dot"/>
        </w:tabs>
        <w:spacing w:after="60"/>
        <w:ind w:left="720"/>
      </w:pPr>
      <w:r>
        <w:rPr>
          <w:rFonts w:ascii="Cambria" w:cs="Cambria" w:eastAsia="Cambria" w:hAnsi="Cambria"/>
          <w:b w:val="false"/>
          <w:bCs w:val="false"/>
          <w:sz w:val="20"/>
          <w:szCs w:val="20"/>
        </w:rPr>
        <w:t xml:space="preserve">2.2.2 Questions for Review</w:t>
      </w:r>
      <w:r>
        <w:rPr>
          <w:rFonts w:ascii="Cambria" w:cs="Cambria" w:eastAsia="Cambria" w:hAnsi="Cambria"/>
          <w:sz w:val="20"/>
          <w:szCs w:val="20"/>
        </w:rPr>
        <w:t xml:space="preserve">	14</w:t>
      </w:r>
    </w:p>
    <w:p>
      <w:pPr>
        <w:tabs>
          <w:tab w:val="right" w:pos="9360" w:leader="dot"/>
        </w:tabs>
        <w:spacing w:after="60"/>
        <w:ind w:left="720"/>
      </w:pPr>
      <w:r>
        <w:rPr>
          <w:rFonts w:ascii="Cambria" w:cs="Cambria" w:eastAsia="Cambria" w:hAnsi="Cambria"/>
          <w:b w:val="false"/>
          <w:bCs w:val="false"/>
          <w:sz w:val="20"/>
          <w:szCs w:val="20"/>
        </w:rPr>
        <w:t xml:space="preserve">2.2.3 Search Databases and Search Strategy</w:t>
      </w:r>
      <w:r>
        <w:rPr>
          <w:rFonts w:ascii="Cambria" w:cs="Cambria" w:eastAsia="Cambria" w:hAnsi="Cambria"/>
          <w:sz w:val="20"/>
          <w:szCs w:val="20"/>
        </w:rPr>
        <w:t xml:space="preserve">	15</w:t>
      </w:r>
    </w:p>
    <w:p>
      <w:pPr>
        <w:tabs>
          <w:tab w:val="right" w:pos="9360" w:leader="dot"/>
        </w:tabs>
        <w:spacing w:after="60"/>
        <w:ind w:left="720"/>
      </w:pPr>
      <w:r>
        <w:rPr>
          <w:rFonts w:ascii="Cambria" w:cs="Cambria" w:eastAsia="Cambria" w:hAnsi="Cambria"/>
          <w:b w:val="false"/>
          <w:bCs w:val="false"/>
          <w:sz w:val="20"/>
          <w:szCs w:val="20"/>
        </w:rPr>
        <w:t xml:space="preserve">2.2.4 Search Period and Search Execution</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2.2.5 Eligibility Criteria</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2.2.6 Screening and Study Selection</w:t>
      </w:r>
      <w:r>
        <w:rPr>
          <w:rFonts w:ascii="Cambria" w:cs="Cambria" w:eastAsia="Cambria" w:hAnsi="Cambria"/>
          <w:sz w:val="20"/>
          <w:szCs w:val="20"/>
        </w:rPr>
        <w:t xml:space="preserve">	18</w:t>
      </w:r>
    </w:p>
    <w:p>
      <w:pPr>
        <w:tabs>
          <w:tab w:val="right" w:pos="9360" w:leader="dot"/>
        </w:tabs>
        <w:spacing w:after="60"/>
        <w:ind w:left="720"/>
      </w:pPr>
      <w:r>
        <w:rPr>
          <w:rFonts w:ascii="Cambria" w:cs="Cambria" w:eastAsia="Cambria" w:hAnsi="Cambria"/>
          <w:b w:val="false"/>
          <w:bCs w:val="false"/>
          <w:sz w:val="20"/>
          <w:szCs w:val="20"/>
        </w:rPr>
        <w:t xml:space="preserve">2.2.7 Data Extraction and Synthesis</w:t>
      </w:r>
      <w:r>
        <w:rPr>
          <w:rFonts w:ascii="Cambria" w:cs="Cambria" w:eastAsia="Cambria" w:hAnsi="Cambria"/>
          <w:sz w:val="20"/>
          <w:szCs w:val="20"/>
        </w:rPr>
        <w:t xml:space="preserve">	19</w:t>
      </w:r>
    </w:p>
    <w:p>
      <w:pPr>
        <w:tabs>
          <w:tab w:val="right" w:pos="9360" w:leader="dot"/>
        </w:tabs>
        <w:spacing w:after="60"/>
        <w:ind w:left="360"/>
      </w:pPr>
      <w:r>
        <w:rPr>
          <w:rFonts w:ascii="Cambria" w:cs="Cambria" w:eastAsia="Cambria" w:hAnsi="Cambria"/>
          <w:b w:val="false"/>
          <w:bCs w:val="false"/>
          <w:sz w:val="22"/>
          <w:szCs w:val="22"/>
        </w:rPr>
        <w:t xml:space="preserve">2.3 Review</w:t>
      </w:r>
      <w:r>
        <w:rPr>
          <w:rFonts w:ascii="Cambria" w:cs="Cambria" w:eastAsia="Cambria" w:hAnsi="Cambria"/>
          <w:sz w:val="22"/>
          <w:szCs w:val="22"/>
        </w:rPr>
        <w:t xml:space="preserve">	20</w:t>
      </w:r>
    </w:p>
    <w:p>
      <w:pPr>
        <w:tabs>
          <w:tab w:val="right" w:pos="9360" w:leader="dot"/>
        </w:tabs>
        <w:spacing w:after="60"/>
        <w:ind w:left="720"/>
      </w:pPr>
      <w:r>
        <w:rPr>
          <w:rFonts w:ascii="Cambria" w:cs="Cambria" w:eastAsia="Cambria" w:hAnsi="Cambria"/>
          <w:b w:val="false"/>
          <w:bCs w:val="false"/>
          <w:sz w:val="20"/>
          <w:szCs w:val="20"/>
        </w:rPr>
        <w:t xml:space="preserve">2.3.1 Healthcare Consent and Decentralised Data Governance</w:t>
      </w:r>
      <w:r>
        <w:rPr>
          <w:rFonts w:ascii="Cambria" w:cs="Cambria" w:eastAsia="Cambria" w:hAnsi="Cambria"/>
          <w:sz w:val="20"/>
          <w:szCs w:val="20"/>
        </w:rPr>
        <w:t xml:space="preserve">	21</w:t>
      </w:r>
    </w:p>
    <w:p>
      <w:pPr>
        <w:tabs>
          <w:tab w:val="right" w:pos="9360" w:leader="dot"/>
        </w:tabs>
        <w:spacing w:after="60"/>
        <w:ind w:left="720"/>
      </w:pPr>
      <w:r>
        <w:rPr>
          <w:rFonts w:ascii="Cambria" w:cs="Cambria" w:eastAsia="Cambria" w:hAnsi="Cambria"/>
          <w:b w:val="false"/>
          <w:bCs w:val="false"/>
          <w:sz w:val="20"/>
          <w:szCs w:val="20"/>
        </w:rPr>
        <w:t xml:space="preserve">2.3.2 Blockchain-Based Consent and Data Governance</w:t>
      </w:r>
      <w:r>
        <w:rPr>
          <w:rFonts w:ascii="Cambria" w:cs="Cambria" w:eastAsia="Cambria" w:hAnsi="Cambria"/>
          <w:sz w:val="20"/>
          <w:szCs w:val="20"/>
        </w:rPr>
        <w:t xml:space="preserve">	22</w:t>
      </w:r>
    </w:p>
    <w:p>
      <w:pPr>
        <w:tabs>
          <w:tab w:val="right" w:pos="9360" w:leader="dot"/>
        </w:tabs>
        <w:spacing w:after="60"/>
        <w:ind w:left="720"/>
      </w:pPr>
      <w:r>
        <w:rPr>
          <w:rFonts w:ascii="Cambria" w:cs="Cambria" w:eastAsia="Cambria" w:hAnsi="Cambria"/>
          <w:b w:val="false"/>
          <w:bCs w:val="false"/>
          <w:sz w:val="20"/>
          <w:szCs w:val="20"/>
        </w:rPr>
        <w:t xml:space="preserve">2.3.3 Decentralised Identity and Verifiable Credentials</w:t>
      </w:r>
      <w:r>
        <w:rPr>
          <w:rFonts w:ascii="Cambria" w:cs="Cambria" w:eastAsia="Cambria" w:hAnsi="Cambria"/>
          <w:sz w:val="20"/>
          <w:szCs w:val="20"/>
        </w:rPr>
        <w:t xml:space="preserve">	23</w:t>
      </w:r>
    </w:p>
    <w:p>
      <w:pPr>
        <w:tabs>
          <w:tab w:val="right" w:pos="9360" w:leader="dot"/>
        </w:tabs>
        <w:spacing w:after="60"/>
        <w:ind w:left="720"/>
      </w:pPr>
      <w:r>
        <w:rPr>
          <w:rFonts w:ascii="Cambria" w:cs="Cambria" w:eastAsia="Cambria" w:hAnsi="Cambria"/>
          <w:b w:val="false"/>
          <w:bCs w:val="false"/>
          <w:sz w:val="20"/>
          <w:szCs w:val="20"/>
        </w:rPr>
        <w:t xml:space="preserve">2.3.4 Multi-Party Authorisation and Collaborative Consent</w:t>
      </w:r>
      <w:r>
        <w:rPr>
          <w:rFonts w:ascii="Cambria" w:cs="Cambria" w:eastAsia="Cambria" w:hAnsi="Cambria"/>
          <w:sz w:val="20"/>
          <w:szCs w:val="20"/>
        </w:rPr>
        <w:t xml:space="preserve">	24</w:t>
      </w:r>
    </w:p>
    <w:p>
      <w:pPr>
        <w:tabs>
          <w:tab w:val="right" w:pos="9360" w:leader="dot"/>
        </w:tabs>
        <w:spacing w:after="60"/>
        <w:ind w:left="720"/>
      </w:pPr>
      <w:r>
        <w:rPr>
          <w:rFonts w:ascii="Cambria" w:cs="Cambria" w:eastAsia="Cambria" w:hAnsi="Cambria"/>
          <w:b w:val="false"/>
          <w:bCs w:val="false"/>
          <w:sz w:val="20"/>
          <w:szCs w:val="20"/>
        </w:rPr>
        <w:t xml:space="preserve">2.3.5 Policy-Based and Context-Aware Access Control</w:t>
      </w:r>
      <w:r>
        <w:rPr>
          <w:rFonts w:ascii="Cambria" w:cs="Cambria" w:eastAsia="Cambria" w:hAnsi="Cambria"/>
          <w:sz w:val="20"/>
          <w:szCs w:val="20"/>
        </w:rPr>
        <w:t xml:space="preserve">	25</w:t>
      </w:r>
    </w:p>
    <w:p>
      <w:pPr>
        <w:tabs>
          <w:tab w:val="right" w:pos="9360" w:leader="dot"/>
        </w:tabs>
        <w:spacing w:after="60"/>
        <w:ind w:left="720"/>
      </w:pPr>
      <w:r>
        <w:rPr>
          <w:rFonts w:ascii="Cambria" w:cs="Cambria" w:eastAsia="Cambria" w:hAnsi="Cambria"/>
          <w:b w:val="false"/>
          <w:bCs w:val="false"/>
          <w:sz w:val="20"/>
          <w:szCs w:val="20"/>
        </w:rPr>
        <w:t xml:space="preserve">2.3.6 Trusted Computing, Secure Execution, and Security Assurance</w:t>
      </w:r>
      <w:r>
        <w:rPr>
          <w:rFonts w:ascii="Cambria" w:cs="Cambria" w:eastAsia="Cambria" w:hAnsi="Cambria"/>
          <w:sz w:val="20"/>
          <w:szCs w:val="20"/>
        </w:rPr>
        <w:t xml:space="preserve">	26</w:t>
      </w:r>
    </w:p>
    <w:p>
      <w:pPr>
        <w:tabs>
          <w:tab w:val="right" w:pos="9360" w:leader="dot"/>
        </w:tabs>
        <w:spacing w:after="60"/>
        <w:ind w:left="720"/>
      </w:pPr>
      <w:r>
        <w:rPr>
          <w:rFonts w:ascii="Cambria" w:cs="Cambria" w:eastAsia="Cambria" w:hAnsi="Cambria"/>
          <w:b w:val="false"/>
          <w:bCs w:val="false"/>
          <w:sz w:val="20"/>
          <w:szCs w:val="20"/>
        </w:rPr>
        <w:t xml:space="preserve">2.3.7 Comparative Analysis of Existing Approaches</w:t>
      </w:r>
      <w:r>
        <w:rPr>
          <w:rFonts w:ascii="Cambria" w:cs="Cambria" w:eastAsia="Cambria" w:hAnsi="Cambria"/>
          <w:sz w:val="20"/>
          <w:szCs w:val="20"/>
        </w:rPr>
        <w:t xml:space="preserve">	28</w:t>
      </w:r>
    </w:p>
    <w:p>
      <w:pPr>
        <w:tabs>
          <w:tab w:val="right" w:pos="9360" w:leader="dot"/>
        </w:tabs>
        <w:spacing w:after="60"/>
        <w:ind w:left="360"/>
      </w:pPr>
      <w:r>
        <w:rPr>
          <w:rFonts w:ascii="Cambria" w:cs="Cambria" w:eastAsia="Cambria" w:hAnsi="Cambria"/>
          <w:b w:val="false"/>
          <w:bCs w:val="false"/>
          <w:sz w:val="22"/>
          <w:szCs w:val="22"/>
        </w:rPr>
        <w:t xml:space="preserve">2.4 Synthesis and Research Gap</w:t>
      </w:r>
      <w:r>
        <w:rPr>
          <w:rFonts w:ascii="Cambria" w:cs="Cambria" w:eastAsia="Cambria" w:hAnsi="Cambria"/>
          <w:sz w:val="22"/>
          <w:szCs w:val="22"/>
        </w:rPr>
        <w:t xml:space="preserve">	29</w:t>
      </w:r>
    </w:p>
    <w:p>
      <w:pPr>
        <w:tabs>
          <w:tab w:val="right" w:pos="9360" w:leader="dot"/>
        </w:tabs>
        <w:spacing w:after="60"/>
        <w:ind w:left="0"/>
      </w:pPr>
      <w:r>
        <w:rPr>
          <w:rFonts w:ascii="Cambria" w:cs="Cambria" w:eastAsia="Cambria" w:hAnsi="Cambria"/>
          <w:b/>
          <w:bCs/>
          <w:sz w:val="24"/>
          <w:szCs w:val="24"/>
        </w:rPr>
        <w:t xml:space="preserve">3 Research Gaps and Questions</w:t>
      </w:r>
      <w:r>
        <w:rPr>
          <w:rFonts w:ascii="Cambria" w:cs="Cambria" w:eastAsia="Cambria" w:hAnsi="Cambria"/>
          <w:sz w:val="22"/>
          <w:szCs w:val="22"/>
        </w:rPr>
        <w:t xml:space="preserve">	32</w:t>
      </w:r>
    </w:p>
    <w:p>
      <w:pPr>
        <w:tabs>
          <w:tab w:val="right" w:pos="9360" w:leader="dot"/>
        </w:tabs>
        <w:spacing w:after="60"/>
        <w:ind w:left="360"/>
      </w:pPr>
      <w:r>
        <w:rPr>
          <w:rFonts w:ascii="Cambria" w:cs="Cambria" w:eastAsia="Cambria" w:hAnsi="Cambria"/>
          <w:b w:val="false"/>
          <w:bCs w:val="false"/>
          <w:sz w:val="22"/>
          <w:szCs w:val="22"/>
        </w:rPr>
        <w:t xml:space="preserve">3.1 Research Gap</w:t>
      </w:r>
      <w:r>
        <w:rPr>
          <w:rFonts w:ascii="Cambria" w:cs="Cambria" w:eastAsia="Cambria" w:hAnsi="Cambria"/>
          <w:sz w:val="22"/>
          <w:szCs w:val="22"/>
        </w:rPr>
        <w:t xml:space="preserve">	32</w:t>
      </w:r>
    </w:p>
    <w:p>
      <w:pPr>
        <w:tabs>
          <w:tab w:val="right" w:pos="9360" w:leader="dot"/>
        </w:tabs>
        <w:spacing w:after="60"/>
        <w:ind w:left="360"/>
      </w:pPr>
      <w:r>
        <w:rPr>
          <w:rFonts w:ascii="Cambria" w:cs="Cambria" w:eastAsia="Cambria" w:hAnsi="Cambria"/>
          <w:b w:val="false"/>
          <w:bCs w:val="false"/>
          <w:sz w:val="22"/>
          <w:szCs w:val="22"/>
        </w:rPr>
        <w:t xml:space="preserve">3.2 Main Research Question</w:t>
      </w:r>
      <w:r>
        <w:rPr>
          <w:rFonts w:ascii="Cambria" w:cs="Cambria" w:eastAsia="Cambria" w:hAnsi="Cambria"/>
          <w:sz w:val="22"/>
          <w:szCs w:val="22"/>
        </w:rPr>
        <w:t xml:space="preserve">	33</w:t>
      </w:r>
    </w:p>
    <w:p>
      <w:pPr>
        <w:tabs>
          <w:tab w:val="right" w:pos="9360" w:leader="dot"/>
        </w:tabs>
        <w:spacing w:after="60"/>
        <w:ind w:left="360"/>
      </w:pPr>
      <w:r>
        <w:rPr>
          <w:rFonts w:ascii="Cambria" w:cs="Cambria" w:eastAsia="Cambria" w:hAnsi="Cambria"/>
          <w:b w:val="false"/>
          <w:bCs w:val="false"/>
          <w:sz w:val="22"/>
          <w:szCs w:val="22"/>
        </w:rPr>
        <w:t xml:space="preserve">3.3 Sub-Research Questions</w:t>
      </w:r>
      <w:r>
        <w:rPr>
          <w:rFonts w:ascii="Cambria" w:cs="Cambria" w:eastAsia="Cambria" w:hAnsi="Cambria"/>
          <w:sz w:val="22"/>
          <w:szCs w:val="22"/>
        </w:rPr>
        <w:t xml:space="preserve">	34</w:t>
      </w:r>
    </w:p>
    <w:p>
      <w:pPr>
        <w:tabs>
          <w:tab w:val="right" w:pos="9360" w:leader="dot"/>
        </w:tabs>
        <w:spacing w:after="60"/>
        <w:ind w:left="720"/>
      </w:pPr>
      <w:r>
        <w:rPr>
          <w:rFonts w:ascii="Cambria" w:cs="Cambria" w:eastAsia="Cambria" w:hAnsi="Cambria"/>
          <w:b w:val="false"/>
          <w:bCs w:val="false"/>
          <w:sz w:val="20"/>
          <w:szCs w:val="20"/>
        </w:rPr>
        <w:t xml:space="preserve">3.3.1 SRQ1: Trust-Centric Consent Modelling</w:t>
      </w:r>
      <w:r>
        <w:rPr>
          <w:rFonts w:ascii="Cambria" w:cs="Cambria" w:eastAsia="Cambria" w:hAnsi="Cambria"/>
          <w:sz w:val="20"/>
          <w:szCs w:val="20"/>
        </w:rPr>
        <w:t xml:space="preserve">	34</w:t>
      </w:r>
    </w:p>
    <w:p>
      <w:pPr>
        <w:tabs>
          <w:tab w:val="right" w:pos="9360" w:leader="dot"/>
        </w:tabs>
        <w:spacing w:after="60"/>
        <w:ind w:left="720"/>
      </w:pPr>
      <w:r>
        <w:rPr>
          <w:rFonts w:ascii="Cambria" w:cs="Cambria" w:eastAsia="Cambria" w:hAnsi="Cambria"/>
          <w:b w:val="false"/>
          <w:bCs w:val="false"/>
          <w:sz w:val="20"/>
          <w:szCs w:val="20"/>
        </w:rPr>
        <w:t xml:space="preserve">3.3.2 SRQ2: Decentralised Identity and Authority Trust</w:t>
      </w:r>
      <w:r>
        <w:rPr>
          <w:rFonts w:ascii="Cambria" w:cs="Cambria" w:eastAsia="Cambria" w:hAnsi="Cambria"/>
          <w:sz w:val="20"/>
          <w:szCs w:val="20"/>
        </w:rPr>
        <w:t xml:space="preserve">	35</w:t>
      </w:r>
    </w:p>
    <w:p>
      <w:pPr>
        <w:tabs>
          <w:tab w:val="right" w:pos="9360" w:leader="dot"/>
        </w:tabs>
        <w:spacing w:after="60"/>
        <w:ind w:left="720"/>
      </w:pPr>
      <w:r>
        <w:rPr>
          <w:rFonts w:ascii="Cambria" w:cs="Cambria" w:eastAsia="Cambria" w:hAnsi="Cambria"/>
          <w:b w:val="false"/>
          <w:bCs w:val="false"/>
          <w:sz w:val="20"/>
          <w:szCs w:val="20"/>
        </w:rPr>
        <w:t xml:space="preserve">3.3.3 SRQ3: Trustworthy Multi-Party Authorisation</w:t>
      </w:r>
      <w:r>
        <w:rPr>
          <w:rFonts w:ascii="Cambria" w:cs="Cambria" w:eastAsia="Cambria" w:hAnsi="Cambria"/>
          <w:sz w:val="20"/>
          <w:szCs w:val="20"/>
        </w:rPr>
        <w:t xml:space="preserve">	35</w:t>
      </w:r>
    </w:p>
    <w:p>
      <w:pPr>
        <w:tabs>
          <w:tab w:val="right" w:pos="9360" w:leader="dot"/>
        </w:tabs>
        <w:spacing w:after="60"/>
        <w:ind w:left="720"/>
      </w:pPr>
      <w:r>
        <w:rPr>
          <w:rFonts w:ascii="Cambria" w:cs="Cambria" w:eastAsia="Cambria" w:hAnsi="Cambria"/>
          <w:b w:val="false"/>
          <w:bCs w:val="false"/>
          <w:sz w:val="20"/>
          <w:szCs w:val="20"/>
        </w:rPr>
        <w:t xml:space="preserve">3.3.4 SRQ4: Policy- and Context-Aware Access Control</w:t>
      </w:r>
      <w:r>
        <w:rPr>
          <w:rFonts w:ascii="Cambria" w:cs="Cambria" w:eastAsia="Cambria" w:hAnsi="Cambria"/>
          <w:sz w:val="20"/>
          <w:szCs w:val="20"/>
        </w:rPr>
        <w:t xml:space="preserve">	36</w:t>
      </w:r>
    </w:p>
    <w:p>
      <w:pPr>
        <w:tabs>
          <w:tab w:val="right" w:pos="9360" w:leader="dot"/>
        </w:tabs>
        <w:spacing w:after="60"/>
        <w:ind w:left="720"/>
      </w:pPr>
      <w:r>
        <w:rPr>
          <w:rFonts w:ascii="Cambria" w:cs="Cambria" w:eastAsia="Cambria" w:hAnsi="Cambria"/>
          <w:b w:val="false"/>
          <w:bCs w:val="false"/>
          <w:sz w:val="20"/>
          <w:szCs w:val="20"/>
        </w:rPr>
        <w:t xml:space="preserve">3.3.5 SRQ5: Temporal and Lifecycle Trust</w:t>
      </w:r>
      <w:r>
        <w:rPr>
          <w:rFonts w:ascii="Cambria" w:cs="Cambria" w:eastAsia="Cambria" w:hAnsi="Cambria"/>
          <w:sz w:val="20"/>
          <w:szCs w:val="20"/>
        </w:rPr>
        <w:t xml:space="preserve">	37</w:t>
      </w:r>
    </w:p>
    <w:p>
      <w:pPr>
        <w:tabs>
          <w:tab w:val="right" w:pos="9360" w:leader="dot"/>
        </w:tabs>
        <w:spacing w:after="60"/>
        <w:ind w:left="720"/>
      </w:pPr>
      <w:r>
        <w:rPr>
          <w:rFonts w:ascii="Cambria" w:cs="Cambria" w:eastAsia="Cambria" w:hAnsi="Cambria"/>
          <w:b w:val="false"/>
          <w:bCs w:val="false"/>
          <w:sz w:val="20"/>
          <w:szCs w:val="20"/>
        </w:rPr>
        <w:t xml:space="preserve">3.3.6 SRQ6: Formal Security Assurance and Empirical Validation</w:t>
      </w:r>
      <w:r>
        <w:rPr>
          <w:rFonts w:ascii="Cambria" w:cs="Cambria" w:eastAsia="Cambria" w:hAnsi="Cambria"/>
          <w:sz w:val="20"/>
          <w:szCs w:val="20"/>
        </w:rPr>
        <w:t xml:space="preserve">	38</w:t>
      </w:r>
    </w:p>
    <w:p>
      <w:pPr>
        <w:tabs>
          <w:tab w:val="right" w:pos="9360" w:leader="dot"/>
        </w:tabs>
        <w:spacing w:after="60"/>
        <w:ind w:left="360"/>
      </w:pPr>
      <w:r>
        <w:rPr>
          <w:rFonts w:ascii="Cambria" w:cs="Cambria" w:eastAsia="Cambria" w:hAnsi="Cambria"/>
          <w:b w:val="false"/>
          <w:bCs w:val="false"/>
          <w:sz w:val="22"/>
          <w:szCs w:val="22"/>
        </w:rPr>
        <w:t xml:space="preserve">3.4 Research Questions as an Integrated Research Problem</w:t>
      </w:r>
      <w:r>
        <w:rPr>
          <w:rFonts w:ascii="Cambria" w:cs="Cambria" w:eastAsia="Cambria" w:hAnsi="Cambria"/>
          <w:sz w:val="22"/>
          <w:szCs w:val="22"/>
        </w:rPr>
        <w:t xml:space="preserve">	39</w:t>
      </w:r>
    </w:p>
    <w:p>
      <w:pPr>
        <w:tabs>
          <w:tab w:val="right" w:pos="9360" w:leader="dot"/>
        </w:tabs>
        <w:spacing w:after="60"/>
        <w:ind w:left="0"/>
      </w:pPr>
      <w:r>
        <w:rPr>
          <w:rFonts w:ascii="Cambria" w:cs="Cambria" w:eastAsia="Cambria" w:hAnsi="Cambria"/>
          <w:b/>
          <w:bCs/>
          <w:sz w:val="24"/>
          <w:szCs w:val="24"/>
        </w:rPr>
        <w:t xml:space="preserve">4 Research Objectives</w:t>
      </w:r>
      <w:r>
        <w:rPr>
          <w:rFonts w:ascii="Cambria" w:cs="Cambria" w:eastAsia="Cambria" w:hAnsi="Cambria"/>
          <w:sz w:val="22"/>
          <w:szCs w:val="22"/>
        </w:rPr>
        <w:t xml:space="preserve">	42</w:t>
      </w:r>
    </w:p>
    <w:p>
      <w:pPr>
        <w:tabs>
          <w:tab w:val="right" w:pos="9360" w:leader="dot"/>
        </w:tabs>
        <w:spacing w:after="60"/>
        <w:ind w:left="360"/>
      </w:pPr>
      <w:r>
        <w:rPr>
          <w:rFonts w:ascii="Cambria" w:cs="Cambria" w:eastAsia="Cambria" w:hAnsi="Cambria"/>
          <w:b w:val="false"/>
          <w:bCs w:val="false"/>
          <w:sz w:val="22"/>
          <w:szCs w:val="22"/>
        </w:rPr>
        <w:t xml:space="preserve">4.1 RO1 - Trust-Centric Consent Model</w:t>
      </w:r>
      <w:r>
        <w:rPr>
          <w:rFonts w:ascii="Cambria" w:cs="Cambria" w:eastAsia="Cambria" w:hAnsi="Cambria"/>
          <w:sz w:val="22"/>
          <w:szCs w:val="22"/>
        </w:rPr>
        <w:t xml:space="preserve">	42</w:t>
      </w:r>
    </w:p>
    <w:p>
      <w:pPr>
        <w:tabs>
          <w:tab w:val="right" w:pos="9360" w:leader="dot"/>
        </w:tabs>
        <w:spacing w:after="60"/>
        <w:ind w:left="360"/>
      </w:pPr>
      <w:r>
        <w:rPr>
          <w:rFonts w:ascii="Cambria" w:cs="Cambria" w:eastAsia="Cambria" w:hAnsi="Cambria"/>
          <w:b w:val="false"/>
          <w:bCs w:val="false"/>
          <w:sz w:val="22"/>
          <w:szCs w:val="22"/>
        </w:rPr>
        <w:t xml:space="preserve">4.2 RO2 - Decentralised Identity and Authority Trust</w:t>
      </w:r>
      <w:r>
        <w:rPr>
          <w:rFonts w:ascii="Cambria" w:cs="Cambria" w:eastAsia="Cambria" w:hAnsi="Cambria"/>
          <w:sz w:val="22"/>
          <w:szCs w:val="22"/>
        </w:rPr>
        <w:t xml:space="preserve">	42</w:t>
      </w:r>
    </w:p>
    <w:p>
      <w:pPr>
        <w:tabs>
          <w:tab w:val="right" w:pos="9360" w:leader="dot"/>
        </w:tabs>
        <w:spacing w:after="60"/>
        <w:ind w:left="360"/>
      </w:pPr>
      <w:r>
        <w:rPr>
          <w:rFonts w:ascii="Cambria" w:cs="Cambria" w:eastAsia="Cambria" w:hAnsi="Cambria"/>
          <w:b w:val="false"/>
          <w:bCs w:val="false"/>
          <w:sz w:val="22"/>
          <w:szCs w:val="22"/>
        </w:rPr>
        <w:t xml:space="preserve">4.3 RO3 - Trustworthy Multi-Party Authorisation</w:t>
      </w:r>
      <w:r>
        <w:rPr>
          <w:rFonts w:ascii="Cambria" w:cs="Cambria" w:eastAsia="Cambria" w:hAnsi="Cambria"/>
          <w:sz w:val="22"/>
          <w:szCs w:val="22"/>
        </w:rPr>
        <w:t xml:space="preserve">	42</w:t>
      </w:r>
    </w:p>
    <w:p>
      <w:pPr>
        <w:tabs>
          <w:tab w:val="right" w:pos="9360" w:leader="dot"/>
        </w:tabs>
        <w:spacing w:after="60"/>
        <w:ind w:left="360"/>
      </w:pPr>
      <w:r>
        <w:rPr>
          <w:rFonts w:ascii="Cambria" w:cs="Cambria" w:eastAsia="Cambria" w:hAnsi="Cambria"/>
          <w:b w:val="false"/>
          <w:bCs w:val="false"/>
          <w:sz w:val="22"/>
          <w:szCs w:val="22"/>
        </w:rPr>
        <w:t xml:space="preserve">4.4 RO4 - Policy- and Context-Aware Access Control</w:t>
      </w:r>
      <w:r>
        <w:rPr>
          <w:rFonts w:ascii="Cambria" w:cs="Cambria" w:eastAsia="Cambria" w:hAnsi="Cambria"/>
          <w:sz w:val="22"/>
          <w:szCs w:val="22"/>
        </w:rPr>
        <w:t xml:space="preserve">	43</w:t>
      </w:r>
    </w:p>
    <w:p>
      <w:pPr>
        <w:tabs>
          <w:tab w:val="right" w:pos="9360" w:leader="dot"/>
        </w:tabs>
        <w:spacing w:after="60"/>
        <w:ind w:left="360"/>
      </w:pPr>
      <w:r>
        <w:rPr>
          <w:rFonts w:ascii="Cambria" w:cs="Cambria" w:eastAsia="Cambria" w:hAnsi="Cambria"/>
          <w:b w:val="false"/>
          <w:bCs w:val="false"/>
          <w:sz w:val="22"/>
          <w:szCs w:val="22"/>
        </w:rPr>
        <w:t xml:space="preserve">4.5 RO5 - Temporal and Lifecycle Trust</w:t>
      </w:r>
      <w:r>
        <w:rPr>
          <w:rFonts w:ascii="Cambria" w:cs="Cambria" w:eastAsia="Cambria" w:hAnsi="Cambria"/>
          <w:sz w:val="22"/>
          <w:szCs w:val="22"/>
        </w:rPr>
        <w:t xml:space="preserve">	43</w:t>
      </w:r>
    </w:p>
    <w:p>
      <w:pPr>
        <w:tabs>
          <w:tab w:val="right" w:pos="9360" w:leader="dot"/>
        </w:tabs>
        <w:spacing w:after="60"/>
        <w:ind w:left="360"/>
      </w:pPr>
      <w:r>
        <w:rPr>
          <w:rFonts w:ascii="Cambria" w:cs="Cambria" w:eastAsia="Cambria" w:hAnsi="Cambria"/>
          <w:b w:val="false"/>
          <w:bCs w:val="false"/>
          <w:sz w:val="22"/>
          <w:szCs w:val="22"/>
        </w:rPr>
        <w:t xml:space="preserve">4.6 RO6 - Formal Security Assurance and Empirical Validation</w:t>
      </w:r>
      <w:r>
        <w:rPr>
          <w:rFonts w:ascii="Cambria" w:cs="Cambria" w:eastAsia="Cambria" w:hAnsi="Cambria"/>
          <w:sz w:val="22"/>
          <w:szCs w:val="22"/>
        </w:rPr>
        <w:t xml:space="preserve">	44</w:t>
      </w:r>
    </w:p>
    <w:p>
      <w:pPr>
        <w:tabs>
          <w:tab w:val="right" w:pos="9360" w:leader="dot"/>
        </w:tabs>
        <w:spacing w:after="60"/>
        <w:ind w:left="360"/>
      </w:pPr>
      <w:r>
        <w:rPr>
          <w:rFonts w:ascii="Cambria" w:cs="Cambria" w:eastAsia="Cambria" w:hAnsi="Cambria"/>
          <w:b w:val="false"/>
          <w:bCs w:val="false"/>
          <w:sz w:val="22"/>
          <w:szCs w:val="22"/>
        </w:rPr>
        <w:t xml:space="preserve">4.7 Relationship Between Research Questions and Objectives</w:t>
      </w:r>
      <w:r>
        <w:rPr>
          <w:rFonts w:ascii="Cambria" w:cs="Cambria" w:eastAsia="Cambria" w:hAnsi="Cambria"/>
          <w:sz w:val="22"/>
          <w:szCs w:val="22"/>
        </w:rPr>
        <w:t xml:space="preserve">	45</w:t>
      </w:r>
    </w:p>
    <w:p>
      <w:pPr>
        <w:tabs>
          <w:tab w:val="right" w:pos="9360" w:leader="dot"/>
        </w:tabs>
        <w:spacing w:after="60"/>
        <w:ind w:left="0"/>
      </w:pPr>
      <w:r>
        <w:rPr>
          <w:rFonts w:ascii="Cambria" w:cs="Cambria" w:eastAsia="Cambria" w:hAnsi="Cambria"/>
          <w:b/>
          <w:bCs/>
          <w:sz w:val="24"/>
          <w:szCs w:val="24"/>
        </w:rPr>
        <w:t xml:space="preserve">5 Research Architecture: MVC</w:t>
      </w:r>
      <w:r>
        <w:rPr>
          <w:rFonts w:ascii="Cambria" w:cs="Cambria" w:eastAsia="Cambria" w:hAnsi="Cambria"/>
          <w:sz w:val="22"/>
          <w:szCs w:val="22"/>
        </w:rPr>
        <w:t xml:space="preserve">	48</w:t>
      </w:r>
    </w:p>
    <w:p>
      <w:pPr>
        <w:tabs>
          <w:tab w:val="right" w:pos="9360" w:leader="dot"/>
        </w:tabs>
        <w:spacing w:after="60"/>
        <w:ind w:left="360"/>
      </w:pPr>
      <w:r>
        <w:rPr>
          <w:rFonts w:ascii="Cambria" w:cs="Cambria" w:eastAsia="Cambria" w:hAnsi="Cambria"/>
          <w:b w:val="false"/>
          <w:bCs w:val="false"/>
          <w:sz w:val="22"/>
          <w:szCs w:val="22"/>
        </w:rPr>
        <w:t xml:space="preserve">5.1 MVC Layered Architecture and Component Decomposition</w:t>
      </w:r>
      <w:r>
        <w:rPr>
          <w:rFonts w:ascii="Cambria" w:cs="Cambria" w:eastAsia="Cambria" w:hAnsi="Cambria"/>
          <w:sz w:val="22"/>
          <w:szCs w:val="22"/>
        </w:rPr>
        <w:t xml:space="preserve">	48</w:t>
      </w:r>
    </w:p>
    <w:p>
      <w:pPr>
        <w:tabs>
          <w:tab w:val="right" w:pos="9360" w:leader="dot"/>
        </w:tabs>
        <w:spacing w:after="60"/>
        <w:ind w:left="720"/>
      </w:pPr>
      <w:r>
        <w:rPr>
          <w:rFonts w:ascii="Cambria" w:cs="Cambria" w:eastAsia="Cambria" w:hAnsi="Cambria"/>
          <w:b w:val="false"/>
          <w:bCs w:val="false"/>
          <w:sz w:val="20"/>
          <w:szCs w:val="20"/>
        </w:rPr>
        <w:t xml:space="preserve">5.1.1 MVC Component Decomposition</w:t>
      </w:r>
      <w:r>
        <w:rPr>
          <w:rFonts w:ascii="Cambria" w:cs="Cambria" w:eastAsia="Cambria" w:hAnsi="Cambria"/>
          <w:sz w:val="20"/>
          <w:szCs w:val="20"/>
        </w:rPr>
        <w:t xml:space="preserve">	50</w:t>
      </w:r>
    </w:p>
    <w:p>
      <w:pPr>
        <w:tabs>
          <w:tab w:val="right" w:pos="9360" w:leader="dot"/>
        </w:tabs>
        <w:spacing w:after="60"/>
        <w:ind w:left="720"/>
      </w:pPr>
      <w:r>
        <w:rPr>
          <w:rFonts w:ascii="Cambria" w:cs="Cambria" w:eastAsia="Cambria" w:hAnsi="Cambria"/>
          <w:b w:val="false"/>
          <w:bCs w:val="false"/>
          <w:sz w:val="20"/>
          <w:szCs w:val="20"/>
        </w:rPr>
        <w:t xml:space="preserve">5.1.2 Trust Evaluation Across the MVC Layers</w:t>
      </w:r>
      <w:r>
        <w:rPr>
          <w:rFonts w:ascii="Cambria" w:cs="Cambria" w:eastAsia="Cambria" w:hAnsi="Cambria"/>
          <w:sz w:val="20"/>
          <w:szCs w:val="20"/>
        </w:rPr>
        <w:t xml:space="preserve">	52</w:t>
      </w:r>
    </w:p>
    <w:p>
      <w:pPr>
        <w:tabs>
          <w:tab w:val="right" w:pos="9360" w:leader="dot"/>
        </w:tabs>
        <w:spacing w:after="60"/>
        <w:ind w:left="720"/>
      </w:pPr>
      <w:r>
        <w:rPr>
          <w:rFonts w:ascii="Cambria" w:cs="Cambria" w:eastAsia="Cambria" w:hAnsi="Cambria"/>
          <w:b w:val="false"/>
          <w:bCs w:val="false"/>
          <w:sz w:val="20"/>
          <w:szCs w:val="20"/>
        </w:rPr>
        <w:t xml:space="preserve">5.1.3 Relationship Between MVC Layers and Research Questions</w:t>
      </w:r>
      <w:r>
        <w:rPr>
          <w:rFonts w:ascii="Cambria" w:cs="Cambria" w:eastAsia="Cambria" w:hAnsi="Cambria"/>
          <w:sz w:val="20"/>
          <w:szCs w:val="20"/>
        </w:rPr>
        <w:t xml:space="preserve">	53</w:t>
      </w:r>
    </w:p>
    <w:p>
      <w:pPr>
        <w:tabs>
          <w:tab w:val="right" w:pos="9360" w:leader="dot"/>
        </w:tabs>
        <w:spacing w:after="60"/>
        <w:ind w:left="720"/>
      </w:pPr>
      <w:r>
        <w:rPr>
          <w:rFonts w:ascii="Cambria" w:cs="Cambria" w:eastAsia="Cambria" w:hAnsi="Cambria"/>
          <w:b w:val="false"/>
          <w:bCs w:val="false"/>
          <w:sz w:val="20"/>
          <w:szCs w:val="20"/>
        </w:rPr>
        <w:t xml:space="preserve">5.1.4 Architectural Boundary and Trust Assumptions</w:t>
      </w:r>
      <w:r>
        <w:rPr>
          <w:rFonts w:ascii="Cambria" w:cs="Cambria" w:eastAsia="Cambria" w:hAnsi="Cambria"/>
          <w:sz w:val="20"/>
          <w:szCs w:val="20"/>
        </w:rPr>
        <w:t xml:space="preserve">	54</w:t>
      </w:r>
    </w:p>
    <w:p>
      <w:pPr>
        <w:tabs>
          <w:tab w:val="right" w:pos="9360" w:leader="dot"/>
        </w:tabs>
        <w:spacing w:after="60"/>
        <w:ind w:left="360"/>
      </w:pPr>
      <w:r>
        <w:rPr>
          <w:rFonts w:ascii="Cambria" w:cs="Cambria" w:eastAsia="Cambria" w:hAnsi="Cambria"/>
          <w:b w:val="false"/>
          <w:bCs w:val="false"/>
          <w:sz w:val="22"/>
          <w:szCs w:val="22"/>
        </w:rPr>
        <w:t xml:space="preserve">5.2 Trust-Oriented Consent Authorisation Workflow</w:t>
      </w:r>
      <w:r>
        <w:rPr>
          <w:rFonts w:ascii="Cambria" w:cs="Cambria" w:eastAsia="Cambria" w:hAnsi="Cambria"/>
          <w:sz w:val="22"/>
          <w:szCs w:val="22"/>
        </w:rPr>
        <w:t xml:space="preserve">	55</w:t>
      </w:r>
    </w:p>
    <w:p>
      <w:pPr>
        <w:tabs>
          <w:tab w:val="right" w:pos="9360" w:leader="dot"/>
        </w:tabs>
        <w:spacing w:after="60"/>
        <w:ind w:left="360"/>
      </w:pPr>
      <w:r>
        <w:rPr>
          <w:rFonts w:ascii="Cambria" w:cs="Cambria" w:eastAsia="Cambria" w:hAnsi="Cambria"/>
          <w:b w:val="false"/>
          <w:bCs w:val="false"/>
          <w:sz w:val="22"/>
          <w:szCs w:val="22"/>
        </w:rPr>
        <w:t xml:space="preserve">5.3 Model: Trust-Aware Consent and Authorisation Representation</w:t>
      </w:r>
      <w:r>
        <w:rPr>
          <w:rFonts w:ascii="Cambria" w:cs="Cambria" w:eastAsia="Cambria" w:hAnsi="Cambria"/>
          <w:sz w:val="22"/>
          <w:szCs w:val="22"/>
        </w:rPr>
        <w:t xml:space="preserve">	58</w:t>
      </w:r>
    </w:p>
    <w:p>
      <w:pPr>
        <w:tabs>
          <w:tab w:val="right" w:pos="9360" w:leader="dot"/>
        </w:tabs>
        <w:spacing w:after="60"/>
        <w:ind w:left="360"/>
      </w:pPr>
      <w:r>
        <w:rPr>
          <w:rFonts w:ascii="Cambria" w:cs="Cambria" w:eastAsia="Cambria" w:hAnsi="Cambria"/>
          <w:b w:val="false"/>
          <w:bCs w:val="false"/>
          <w:sz w:val="22"/>
          <w:szCs w:val="22"/>
        </w:rPr>
        <w:t xml:space="preserve">5.4 View: Controlled Interaction Among Independent Participants</w:t>
      </w:r>
      <w:r>
        <w:rPr>
          <w:rFonts w:ascii="Cambria" w:cs="Cambria" w:eastAsia="Cambria" w:hAnsi="Cambria"/>
          <w:sz w:val="22"/>
          <w:szCs w:val="22"/>
        </w:rPr>
        <w:t xml:space="preserve">	59</w:t>
      </w:r>
    </w:p>
    <w:p>
      <w:pPr>
        <w:tabs>
          <w:tab w:val="right" w:pos="9360" w:leader="dot"/>
        </w:tabs>
        <w:spacing w:after="60"/>
        <w:ind w:left="360"/>
      </w:pPr>
      <w:r>
        <w:rPr>
          <w:rFonts w:ascii="Cambria" w:cs="Cambria" w:eastAsia="Cambria" w:hAnsi="Cambria"/>
          <w:b w:val="false"/>
          <w:bCs w:val="false"/>
          <w:sz w:val="22"/>
          <w:szCs w:val="22"/>
        </w:rPr>
        <w:t xml:space="preserve">5.5 Controller: Trusted Multi-Party Authorisation Enforcement</w:t>
      </w:r>
      <w:r>
        <w:rPr>
          <w:rFonts w:ascii="Cambria" w:cs="Cambria" w:eastAsia="Cambria" w:hAnsi="Cambria"/>
          <w:sz w:val="22"/>
          <w:szCs w:val="22"/>
        </w:rPr>
        <w:t xml:space="preserve">	60</w:t>
      </w:r>
    </w:p>
    <w:p>
      <w:pPr>
        <w:tabs>
          <w:tab w:val="right" w:pos="9360" w:leader="dot"/>
        </w:tabs>
        <w:spacing w:after="60"/>
        <w:ind w:left="360"/>
      </w:pPr>
      <w:r>
        <w:rPr>
          <w:rFonts w:ascii="Cambria" w:cs="Cambria" w:eastAsia="Cambria" w:hAnsi="Cambria"/>
          <w:b w:val="false"/>
          <w:bCs w:val="false"/>
          <w:sz w:val="22"/>
          <w:szCs w:val="22"/>
        </w:rPr>
        <w:t xml:space="preserve">5.6 Multi-Party Consent as Distributed Trust Establishment</w:t>
      </w:r>
      <w:r>
        <w:rPr>
          <w:rFonts w:ascii="Cambria" w:cs="Cambria" w:eastAsia="Cambria" w:hAnsi="Cambria"/>
          <w:sz w:val="22"/>
          <w:szCs w:val="22"/>
        </w:rPr>
        <w:t xml:space="preserve">	61</w:t>
      </w:r>
    </w:p>
    <w:p>
      <w:pPr>
        <w:tabs>
          <w:tab w:val="right" w:pos="9360" w:leader="dot"/>
        </w:tabs>
        <w:spacing w:after="60"/>
        <w:ind w:left="360"/>
      </w:pPr>
      <w:r>
        <w:rPr>
          <w:rFonts w:ascii="Cambria" w:cs="Cambria" w:eastAsia="Cambria" w:hAnsi="Cambria"/>
          <w:b w:val="false"/>
          <w:bCs w:val="false"/>
          <w:sz w:val="22"/>
          <w:szCs w:val="22"/>
        </w:rPr>
        <w:t xml:space="preserve">5.7 Policy-Aware Consent Enforcement</w:t>
      </w:r>
      <w:r>
        <w:rPr>
          <w:rFonts w:ascii="Cambria" w:cs="Cambria" w:eastAsia="Cambria" w:hAnsi="Cambria"/>
          <w:sz w:val="22"/>
          <w:szCs w:val="22"/>
        </w:rPr>
        <w:t xml:space="preserve">	62</w:t>
      </w:r>
    </w:p>
    <w:p>
      <w:pPr>
        <w:tabs>
          <w:tab w:val="right" w:pos="9360" w:leader="dot"/>
        </w:tabs>
        <w:spacing w:after="60"/>
        <w:ind w:left="360"/>
      </w:pPr>
      <w:r>
        <w:rPr>
          <w:rFonts w:ascii="Cambria" w:cs="Cambria" w:eastAsia="Cambria" w:hAnsi="Cambria"/>
          <w:b w:val="false"/>
          <w:bCs w:val="false"/>
          <w:sz w:val="22"/>
          <w:szCs w:val="22"/>
        </w:rPr>
        <w:t xml:space="preserve">5.8 Authorisation Evidence and Auditability</w:t>
      </w:r>
      <w:r>
        <w:rPr>
          <w:rFonts w:ascii="Cambria" w:cs="Cambria" w:eastAsia="Cambria" w:hAnsi="Cambria"/>
          <w:sz w:val="22"/>
          <w:szCs w:val="22"/>
        </w:rPr>
        <w:t xml:space="preserve">	62</w:t>
      </w:r>
    </w:p>
    <w:p>
      <w:pPr>
        <w:tabs>
          <w:tab w:val="right" w:pos="9360" w:leader="dot"/>
        </w:tabs>
        <w:spacing w:after="60"/>
        <w:ind w:left="360"/>
      </w:pPr>
      <w:r>
        <w:rPr>
          <w:rFonts w:ascii="Cambria" w:cs="Cambria" w:eastAsia="Cambria" w:hAnsi="Cambria"/>
          <w:b w:val="false"/>
          <w:bCs w:val="false"/>
          <w:sz w:val="22"/>
          <w:szCs w:val="22"/>
        </w:rPr>
        <w:t xml:space="preserve">5.9 Architectural Security Properties</w:t>
      </w:r>
      <w:r>
        <w:rPr>
          <w:rFonts w:ascii="Cambria" w:cs="Cambria" w:eastAsia="Cambria" w:hAnsi="Cambria"/>
          <w:sz w:val="22"/>
          <w:szCs w:val="22"/>
        </w:rPr>
        <w:t xml:space="preserve">	63</w:t>
      </w:r>
    </w:p>
    <w:p>
      <w:pPr>
        <w:tabs>
          <w:tab w:val="right" w:pos="9360" w:leader="dot"/>
        </w:tabs>
        <w:spacing w:after="60"/>
        <w:ind w:left="360"/>
      </w:pPr>
      <w:r>
        <w:rPr>
          <w:rFonts w:ascii="Cambria" w:cs="Cambria" w:eastAsia="Cambria" w:hAnsi="Cambria"/>
          <w:b w:val="false"/>
          <w:bCs w:val="false"/>
          <w:sz w:val="22"/>
          <w:szCs w:val="22"/>
        </w:rPr>
        <w:t xml:space="preserve">5.10 MVC Architecture and the Research Objectives</w:t>
      </w:r>
      <w:r>
        <w:rPr>
          <w:rFonts w:ascii="Cambria" w:cs="Cambria" w:eastAsia="Cambria" w:hAnsi="Cambria"/>
          <w:sz w:val="22"/>
          <w:szCs w:val="22"/>
        </w:rPr>
        <w:t xml:space="preserve">	64</w:t>
      </w:r>
    </w:p>
    <w:p>
      <w:pPr>
        <w:tabs>
          <w:tab w:val="right" w:pos="9360" w:leader="dot"/>
        </w:tabs>
        <w:spacing w:after="60"/>
        <w:ind w:left="360"/>
      </w:pPr>
      <w:r>
        <w:rPr>
          <w:rFonts w:ascii="Cambria" w:cs="Cambria" w:eastAsia="Cambria" w:hAnsi="Cambria"/>
          <w:b w:val="false"/>
          <w:bCs w:val="false"/>
          <w:sz w:val="22"/>
          <w:szCs w:val="22"/>
        </w:rPr>
        <w:t xml:space="preserve">5.11 Architectural Contribution and Scope</w:t>
      </w:r>
      <w:r>
        <w:rPr>
          <w:rFonts w:ascii="Cambria" w:cs="Cambria" w:eastAsia="Cambria" w:hAnsi="Cambria"/>
          <w:sz w:val="22"/>
          <w:szCs w:val="22"/>
        </w:rPr>
        <w:t xml:space="preserve">	64</w:t>
      </w:r>
    </w:p>
    <w:p>
      <w:pPr>
        <w:tabs>
          <w:tab w:val="right" w:pos="9360" w:leader="dot"/>
        </w:tabs>
        <w:spacing w:after="60"/>
        <w:ind w:left="0"/>
      </w:pPr>
      <w:r>
        <w:rPr>
          <w:rFonts w:ascii="Cambria" w:cs="Cambria" w:eastAsia="Cambria" w:hAnsi="Cambria"/>
          <w:b/>
          <w:bCs/>
          <w:sz w:val="24"/>
          <w:szCs w:val="24"/>
        </w:rPr>
        <w:t xml:space="preserve">6 Proposed Solution</w:t>
      </w:r>
      <w:r>
        <w:rPr>
          <w:rFonts w:ascii="Cambria" w:cs="Cambria" w:eastAsia="Cambria" w:hAnsi="Cambria"/>
          <w:sz w:val="22"/>
          <w:szCs w:val="22"/>
        </w:rPr>
        <w:t xml:space="preserve">	67</w:t>
      </w:r>
    </w:p>
    <w:p>
      <w:pPr>
        <w:tabs>
          <w:tab w:val="right" w:pos="9360" w:leader="dot"/>
        </w:tabs>
        <w:spacing w:after="60"/>
        <w:ind w:left="360"/>
      </w:pPr>
      <w:r>
        <w:rPr>
          <w:rFonts w:ascii="Cambria" w:cs="Cambria" w:eastAsia="Cambria" w:hAnsi="Cambria"/>
          <w:b w:val="false"/>
          <w:bCs w:val="false"/>
          <w:sz w:val="22"/>
          <w:szCs w:val="22"/>
        </w:rPr>
        <w:t xml:space="preserve">6.1 Trust-Centric Consent Model for RO1</w:t>
      </w:r>
      <w:r>
        <w:rPr>
          <w:rFonts w:ascii="Cambria" w:cs="Cambria" w:eastAsia="Cambria" w:hAnsi="Cambria"/>
          <w:sz w:val="22"/>
          <w:szCs w:val="22"/>
        </w:rPr>
        <w:t xml:space="preserve">	67</w:t>
      </w:r>
    </w:p>
    <w:p>
      <w:pPr>
        <w:tabs>
          <w:tab w:val="right" w:pos="9360" w:leader="dot"/>
        </w:tabs>
        <w:spacing w:after="60"/>
        <w:ind w:left="720"/>
      </w:pPr>
      <w:r>
        <w:rPr>
          <w:rFonts w:ascii="Cambria" w:cs="Cambria" w:eastAsia="Cambria" w:hAnsi="Cambria"/>
          <w:b w:val="false"/>
          <w:bCs w:val="false"/>
          <w:sz w:val="20"/>
          <w:szCs w:val="20"/>
        </w:rPr>
        <w:t xml:space="preserve">6.1.1 RO1 Consent Creation Workflow</w:t>
      </w:r>
      <w:r>
        <w:rPr>
          <w:rFonts w:ascii="Cambria" w:cs="Cambria" w:eastAsia="Cambria" w:hAnsi="Cambria"/>
          <w:sz w:val="20"/>
          <w:szCs w:val="20"/>
        </w:rPr>
        <w:t xml:space="preserve">	67</w:t>
      </w:r>
    </w:p>
    <w:p>
      <w:pPr>
        <w:tabs>
          <w:tab w:val="right" w:pos="9360" w:leader="dot"/>
        </w:tabs>
        <w:spacing w:after="60"/>
        <w:ind w:left="720"/>
      </w:pPr>
      <w:r>
        <w:rPr>
          <w:rFonts w:ascii="Cambria" w:cs="Cambria" w:eastAsia="Cambria" w:hAnsi="Cambria"/>
          <w:b w:val="false"/>
          <w:bCs w:val="false"/>
          <w:sz w:val="20"/>
          <w:szCs w:val="20"/>
        </w:rPr>
        <w:t xml:space="preserve">6.1.2 Procedure for Trust-Aware Consent Creation</w:t>
      </w:r>
      <w:r>
        <w:rPr>
          <w:rFonts w:ascii="Cambria" w:cs="Cambria" w:eastAsia="Cambria" w:hAnsi="Cambria"/>
          <w:sz w:val="20"/>
          <w:szCs w:val="20"/>
        </w:rPr>
        <w:t xml:space="preserve">	69</w:t>
      </w:r>
    </w:p>
    <w:p>
      <w:pPr>
        <w:tabs>
          <w:tab w:val="right" w:pos="9360" w:leader="dot"/>
        </w:tabs>
        <w:spacing w:after="60"/>
        <w:ind w:left="720"/>
      </w:pPr>
      <w:r>
        <w:rPr>
          <w:rFonts w:ascii="Cambria" w:cs="Cambria" w:eastAsia="Cambria" w:hAnsi="Cambria"/>
          <w:b w:val="false"/>
          <w:bCs w:val="false"/>
          <w:sz w:val="20"/>
          <w:szCs w:val="20"/>
        </w:rPr>
        <w:t xml:space="preserve">6.1.3 Algorithm 1: Trust-Aware Consent Creation</w:t>
      </w:r>
      <w:r>
        <w:rPr>
          <w:rFonts w:ascii="Cambria" w:cs="Cambria" w:eastAsia="Cambria" w:hAnsi="Cambria"/>
          <w:sz w:val="20"/>
          <w:szCs w:val="20"/>
        </w:rPr>
        <w:t xml:space="preserve">	72</w:t>
      </w:r>
    </w:p>
    <w:p>
      <w:pPr>
        <w:tabs>
          <w:tab w:val="right" w:pos="9360" w:leader="dot"/>
        </w:tabs>
        <w:spacing w:after="60"/>
        <w:ind w:left="360"/>
      </w:pPr>
      <w:r>
        <w:rPr>
          <w:rFonts w:ascii="Cambria" w:cs="Cambria" w:eastAsia="Cambria" w:hAnsi="Cambria"/>
          <w:b w:val="false"/>
          <w:bCs w:val="false"/>
          <w:sz w:val="22"/>
          <w:szCs w:val="22"/>
        </w:rPr>
        <w:t xml:space="preserve">6.2 Decentralised Identity and Authority Trust for RO2</w:t>
      </w:r>
      <w:r>
        <w:rPr>
          <w:rFonts w:ascii="Cambria" w:cs="Cambria" w:eastAsia="Cambria" w:hAnsi="Cambria"/>
          <w:sz w:val="22"/>
          <w:szCs w:val="22"/>
        </w:rPr>
        <w:t xml:space="preserve">	72</w:t>
      </w:r>
    </w:p>
    <w:p>
      <w:pPr>
        <w:tabs>
          <w:tab w:val="right" w:pos="9360" w:leader="dot"/>
        </w:tabs>
        <w:spacing w:after="60"/>
        <w:ind w:left="720"/>
      </w:pPr>
      <w:r>
        <w:rPr>
          <w:rFonts w:ascii="Cambria" w:cs="Cambria" w:eastAsia="Cambria" w:hAnsi="Cambria"/>
          <w:b w:val="false"/>
          <w:bCs w:val="false"/>
          <w:sz w:val="20"/>
          <w:szCs w:val="20"/>
        </w:rPr>
        <w:t xml:space="preserve">6.2.1 RO2 Identity and Authority Verification Workflow</w:t>
      </w:r>
      <w:r>
        <w:rPr>
          <w:rFonts w:ascii="Cambria" w:cs="Cambria" w:eastAsia="Cambria" w:hAnsi="Cambria"/>
          <w:sz w:val="20"/>
          <w:szCs w:val="20"/>
        </w:rPr>
        <w:t xml:space="preserve">	72</w:t>
      </w:r>
    </w:p>
    <w:p>
      <w:pPr>
        <w:tabs>
          <w:tab w:val="right" w:pos="9360" w:leader="dot"/>
        </w:tabs>
        <w:spacing w:after="60"/>
        <w:ind w:left="720"/>
      </w:pPr>
      <w:r>
        <w:rPr>
          <w:rFonts w:ascii="Cambria" w:cs="Cambria" w:eastAsia="Cambria" w:hAnsi="Cambria"/>
          <w:b w:val="false"/>
          <w:bCs w:val="false"/>
          <w:sz w:val="20"/>
          <w:szCs w:val="20"/>
        </w:rPr>
        <w:t xml:space="preserve">6.2.2 Procedure for DID and VC Identity and Authority Verification</w:t>
      </w:r>
      <w:r>
        <w:rPr>
          <w:rFonts w:ascii="Cambria" w:cs="Cambria" w:eastAsia="Cambria" w:hAnsi="Cambria"/>
          <w:sz w:val="20"/>
          <w:szCs w:val="20"/>
        </w:rPr>
        <w:t xml:space="preserve">	73</w:t>
      </w:r>
    </w:p>
    <w:p>
      <w:pPr>
        <w:tabs>
          <w:tab w:val="right" w:pos="9360" w:leader="dot"/>
        </w:tabs>
        <w:spacing w:after="60"/>
        <w:ind w:left="720"/>
      </w:pPr>
      <w:r>
        <w:rPr>
          <w:rFonts w:ascii="Cambria" w:cs="Cambria" w:eastAsia="Cambria" w:hAnsi="Cambria"/>
          <w:b w:val="false"/>
          <w:bCs w:val="false"/>
          <w:sz w:val="20"/>
          <w:szCs w:val="20"/>
        </w:rPr>
        <w:t xml:space="preserve">6.2.3 Algorithm 2: DID and VC Identity and Authority Verification</w:t>
      </w:r>
      <w:r>
        <w:rPr>
          <w:rFonts w:ascii="Cambria" w:cs="Cambria" w:eastAsia="Cambria" w:hAnsi="Cambria"/>
          <w:sz w:val="20"/>
          <w:szCs w:val="20"/>
        </w:rPr>
        <w:t xml:space="preserve">	76</w:t>
      </w:r>
    </w:p>
    <w:p>
      <w:pPr>
        <w:tabs>
          <w:tab w:val="right" w:pos="9360" w:leader="dot"/>
        </w:tabs>
        <w:spacing w:after="60"/>
        <w:ind w:left="360"/>
      </w:pPr>
      <w:r>
        <w:rPr>
          <w:rFonts w:ascii="Cambria" w:cs="Cambria" w:eastAsia="Cambria" w:hAnsi="Cambria"/>
          <w:b w:val="false"/>
          <w:bCs w:val="false"/>
          <w:sz w:val="22"/>
          <w:szCs w:val="22"/>
        </w:rPr>
        <w:t xml:space="preserve">6.3 Trustworthy Multi-Party Authorisation for RO3</w:t>
      </w:r>
      <w:r>
        <w:rPr>
          <w:rFonts w:ascii="Cambria" w:cs="Cambria" w:eastAsia="Cambria" w:hAnsi="Cambria"/>
          <w:sz w:val="22"/>
          <w:szCs w:val="22"/>
        </w:rPr>
        <w:t xml:space="preserve">	77</w:t>
      </w:r>
    </w:p>
    <w:p>
      <w:pPr>
        <w:tabs>
          <w:tab w:val="right" w:pos="9360" w:leader="dot"/>
        </w:tabs>
        <w:spacing w:after="60"/>
        <w:ind w:left="720"/>
      </w:pPr>
      <w:r>
        <w:rPr>
          <w:rFonts w:ascii="Cambria" w:cs="Cambria" w:eastAsia="Cambria" w:hAnsi="Cambria"/>
          <w:b w:val="false"/>
          <w:bCs w:val="false"/>
          <w:sz w:val="20"/>
          <w:szCs w:val="20"/>
        </w:rPr>
        <w:t xml:space="preserve">6.3.1 RO3 Multi-Party Authorisation Workflow</w:t>
      </w:r>
      <w:r>
        <w:rPr>
          <w:rFonts w:ascii="Cambria" w:cs="Cambria" w:eastAsia="Cambria" w:hAnsi="Cambria"/>
          <w:sz w:val="20"/>
          <w:szCs w:val="20"/>
        </w:rPr>
        <w:t xml:space="preserve">	77</w:t>
      </w:r>
    </w:p>
    <w:p>
      <w:pPr>
        <w:tabs>
          <w:tab w:val="right" w:pos="9360" w:leader="dot"/>
        </w:tabs>
        <w:spacing w:after="60"/>
        <w:ind w:left="720"/>
      </w:pPr>
      <w:r>
        <w:rPr>
          <w:rFonts w:ascii="Cambria" w:cs="Cambria" w:eastAsia="Cambria" w:hAnsi="Cambria"/>
          <w:b w:val="false"/>
          <w:bCs w:val="false"/>
          <w:sz w:val="20"/>
          <w:szCs w:val="20"/>
        </w:rPr>
        <w:t xml:space="preserve">6.3.2 Procedure for Threshold-Based Multi-Party Authorisation</w:t>
      </w:r>
      <w:r>
        <w:rPr>
          <w:rFonts w:ascii="Cambria" w:cs="Cambria" w:eastAsia="Cambria" w:hAnsi="Cambria"/>
          <w:sz w:val="20"/>
          <w:szCs w:val="20"/>
        </w:rPr>
        <w:t xml:space="preserve">	78</w:t>
      </w:r>
    </w:p>
    <w:p>
      <w:pPr>
        <w:tabs>
          <w:tab w:val="right" w:pos="9360" w:leader="dot"/>
        </w:tabs>
        <w:spacing w:after="60"/>
        <w:ind w:left="720"/>
      </w:pPr>
      <w:r>
        <w:rPr>
          <w:rFonts w:ascii="Cambria" w:cs="Cambria" w:eastAsia="Cambria" w:hAnsi="Cambria"/>
          <w:b w:val="false"/>
          <w:bCs w:val="false"/>
          <w:sz w:val="20"/>
          <w:szCs w:val="20"/>
        </w:rPr>
        <w:t xml:space="preserve">6.3.3 Algorithm 3: Threshold-Based Multi-Party Authorisation</w:t>
      </w:r>
      <w:r>
        <w:rPr>
          <w:rFonts w:ascii="Cambria" w:cs="Cambria" w:eastAsia="Cambria" w:hAnsi="Cambria"/>
          <w:sz w:val="20"/>
          <w:szCs w:val="20"/>
        </w:rPr>
        <w:t xml:space="preserve">	81</w:t>
      </w:r>
    </w:p>
    <w:p>
      <w:pPr>
        <w:tabs>
          <w:tab w:val="right" w:pos="9360" w:leader="dot"/>
        </w:tabs>
        <w:spacing w:after="60"/>
        <w:ind w:left="360"/>
      </w:pPr>
      <w:r>
        <w:rPr>
          <w:rFonts w:ascii="Cambria" w:cs="Cambria" w:eastAsia="Cambria" w:hAnsi="Cambria"/>
          <w:b w:val="false"/>
          <w:bCs w:val="false"/>
          <w:sz w:val="22"/>
          <w:szCs w:val="22"/>
        </w:rPr>
        <w:t xml:space="preserve">6.4 Policy- and Context-Aware Access Control for RO4</w:t>
      </w:r>
      <w:r>
        <w:rPr>
          <w:rFonts w:ascii="Cambria" w:cs="Cambria" w:eastAsia="Cambria" w:hAnsi="Cambria"/>
          <w:sz w:val="22"/>
          <w:szCs w:val="22"/>
        </w:rPr>
        <w:t xml:space="preserve">	82</w:t>
      </w:r>
    </w:p>
    <w:p>
      <w:pPr>
        <w:tabs>
          <w:tab w:val="right" w:pos="9360" w:leader="dot"/>
        </w:tabs>
        <w:spacing w:after="60"/>
        <w:ind w:left="720"/>
      </w:pPr>
      <w:r>
        <w:rPr>
          <w:rFonts w:ascii="Cambria" w:cs="Cambria" w:eastAsia="Cambria" w:hAnsi="Cambria"/>
          <w:b w:val="false"/>
          <w:bCs w:val="false"/>
          <w:sz w:val="20"/>
          <w:szCs w:val="20"/>
        </w:rPr>
        <w:t xml:space="preserve">6.4.1 RO4 Policy-Aware Access Workflow</w:t>
      </w:r>
      <w:r>
        <w:rPr>
          <w:rFonts w:ascii="Cambria" w:cs="Cambria" w:eastAsia="Cambria" w:hAnsi="Cambria"/>
          <w:sz w:val="20"/>
          <w:szCs w:val="20"/>
        </w:rPr>
        <w:t xml:space="preserve">	83</w:t>
      </w:r>
    </w:p>
    <w:p>
      <w:pPr>
        <w:tabs>
          <w:tab w:val="right" w:pos="9360" w:leader="dot"/>
        </w:tabs>
        <w:spacing w:after="60"/>
        <w:ind w:left="720"/>
      </w:pPr>
      <w:r>
        <w:rPr>
          <w:rFonts w:ascii="Cambria" w:cs="Cambria" w:eastAsia="Cambria" w:hAnsi="Cambria"/>
          <w:b w:val="false"/>
          <w:bCs w:val="false"/>
          <w:sz w:val="20"/>
          <w:szCs w:val="20"/>
        </w:rPr>
        <w:t xml:space="preserve">6.4.2 Algorithm 4: Policy-Aware Access Decision</w:t>
      </w:r>
      <w:r>
        <w:rPr>
          <w:rFonts w:ascii="Cambria" w:cs="Cambria" w:eastAsia="Cambria" w:hAnsi="Cambria"/>
          <w:sz w:val="20"/>
          <w:szCs w:val="20"/>
        </w:rPr>
        <w:t xml:space="preserve">	84</w:t>
      </w:r>
    </w:p>
    <w:p>
      <w:pPr>
        <w:tabs>
          <w:tab w:val="right" w:pos="9360" w:leader="dot"/>
        </w:tabs>
        <w:spacing w:after="60"/>
        <w:ind w:left="720"/>
      </w:pPr>
      <w:r>
        <w:rPr>
          <w:rFonts w:ascii="Cambria" w:cs="Cambria" w:eastAsia="Cambria" w:hAnsi="Cambria"/>
          <w:b w:val="false"/>
          <w:bCs w:val="false"/>
          <w:sz w:val="20"/>
          <w:szCs w:val="20"/>
        </w:rPr>
        <w:t xml:space="preserve">6.4.3 Procedure for Policy-Aware Access Decision</w:t>
      </w:r>
      <w:r>
        <w:rPr>
          <w:rFonts w:ascii="Cambria" w:cs="Cambria" w:eastAsia="Cambria" w:hAnsi="Cambria"/>
          <w:sz w:val="20"/>
          <w:szCs w:val="20"/>
        </w:rPr>
        <w:t xml:space="preserve">	85</w:t>
      </w:r>
    </w:p>
    <w:p>
      <w:pPr>
        <w:tabs>
          <w:tab w:val="right" w:pos="9360" w:leader="dot"/>
        </w:tabs>
        <w:spacing w:after="60"/>
        <w:ind w:left="360"/>
      </w:pPr>
      <w:r>
        <w:rPr>
          <w:rFonts w:ascii="Cambria" w:cs="Cambria" w:eastAsia="Cambria" w:hAnsi="Cambria"/>
          <w:b w:val="false"/>
          <w:bCs w:val="false"/>
          <w:sz w:val="22"/>
          <w:szCs w:val="22"/>
        </w:rPr>
        <w:t xml:space="preserve">6.5 Temporal and Lifecycle Trust for RO5</w:t>
      </w:r>
      <w:r>
        <w:rPr>
          <w:rFonts w:ascii="Cambria" w:cs="Cambria" w:eastAsia="Cambria" w:hAnsi="Cambria"/>
          <w:sz w:val="22"/>
          <w:szCs w:val="22"/>
        </w:rPr>
        <w:t xml:space="preserve">	88</w:t>
      </w:r>
    </w:p>
    <w:p>
      <w:pPr>
        <w:tabs>
          <w:tab w:val="right" w:pos="9360" w:leader="dot"/>
        </w:tabs>
        <w:spacing w:after="60"/>
        <w:ind w:left="720"/>
      </w:pPr>
      <w:r>
        <w:rPr>
          <w:rFonts w:ascii="Cambria" w:cs="Cambria" w:eastAsia="Cambria" w:hAnsi="Cambria"/>
          <w:b w:val="false"/>
          <w:bCs w:val="false"/>
          <w:sz w:val="20"/>
          <w:szCs w:val="20"/>
        </w:rPr>
        <w:t xml:space="preserve">6.5.1 RO5 Temporal and Lifecycle Workflow</w:t>
      </w:r>
      <w:r>
        <w:rPr>
          <w:rFonts w:ascii="Cambria" w:cs="Cambria" w:eastAsia="Cambria" w:hAnsi="Cambria"/>
          <w:sz w:val="20"/>
          <w:szCs w:val="20"/>
        </w:rPr>
        <w:t xml:space="preserve">	89</w:t>
      </w:r>
    </w:p>
    <w:p>
      <w:pPr>
        <w:tabs>
          <w:tab w:val="right" w:pos="9360" w:leader="dot"/>
        </w:tabs>
        <w:spacing w:after="60"/>
        <w:ind w:left="720"/>
      </w:pPr>
      <w:r>
        <w:rPr>
          <w:rFonts w:ascii="Cambria" w:cs="Cambria" w:eastAsia="Cambria" w:hAnsi="Cambria"/>
          <w:b w:val="false"/>
          <w:bCs w:val="false"/>
          <w:sz w:val="20"/>
          <w:szCs w:val="20"/>
        </w:rPr>
        <w:t xml:space="preserve">6.5.2 Procedure for Temporal and Lifecycle Validation</w:t>
      </w:r>
      <w:r>
        <w:rPr>
          <w:rFonts w:ascii="Cambria" w:cs="Cambria" w:eastAsia="Cambria" w:hAnsi="Cambria"/>
          <w:sz w:val="20"/>
          <w:szCs w:val="20"/>
        </w:rPr>
        <w:t xml:space="preserve">	89</w:t>
      </w:r>
    </w:p>
    <w:p>
      <w:pPr>
        <w:tabs>
          <w:tab w:val="right" w:pos="9360" w:leader="dot"/>
        </w:tabs>
        <w:spacing w:after="60"/>
        <w:ind w:left="720"/>
      </w:pPr>
      <w:r>
        <w:rPr>
          <w:rFonts w:ascii="Cambria" w:cs="Cambria" w:eastAsia="Cambria" w:hAnsi="Cambria"/>
          <w:b w:val="false"/>
          <w:bCs w:val="false"/>
          <w:sz w:val="20"/>
          <w:szCs w:val="20"/>
        </w:rPr>
        <w:t xml:space="preserve">6.5.3 Algorithm 5: Temporal and Lifecycle Validation</w:t>
      </w:r>
      <w:r>
        <w:rPr>
          <w:rFonts w:ascii="Cambria" w:cs="Cambria" w:eastAsia="Cambria" w:hAnsi="Cambria"/>
          <w:sz w:val="20"/>
          <w:szCs w:val="20"/>
        </w:rPr>
        <w:t xml:space="preserve">	92</w:t>
      </w:r>
    </w:p>
    <w:p>
      <w:pPr>
        <w:tabs>
          <w:tab w:val="right" w:pos="9360" w:leader="dot"/>
        </w:tabs>
        <w:spacing w:after="60"/>
        <w:ind w:left="360"/>
      </w:pPr>
      <w:r>
        <w:rPr>
          <w:rFonts w:ascii="Cambria" w:cs="Cambria" w:eastAsia="Cambria" w:hAnsi="Cambria"/>
          <w:b w:val="false"/>
          <w:bCs w:val="false"/>
          <w:sz w:val="22"/>
          <w:szCs w:val="22"/>
        </w:rPr>
        <w:t xml:space="preserve">6.6 Formal Security Assurance and Empirical Validation for RO6</w:t>
      </w:r>
      <w:r>
        <w:rPr>
          <w:rFonts w:ascii="Cambria" w:cs="Cambria" w:eastAsia="Cambria" w:hAnsi="Cambria"/>
          <w:sz w:val="22"/>
          <w:szCs w:val="22"/>
        </w:rPr>
        <w:t xml:space="preserve">	93</w:t>
      </w:r>
    </w:p>
    <w:p>
      <w:pPr>
        <w:tabs>
          <w:tab w:val="right" w:pos="9360" w:leader="dot"/>
        </w:tabs>
        <w:spacing w:after="60"/>
        <w:ind w:left="720"/>
      </w:pPr>
      <w:r>
        <w:rPr>
          <w:rFonts w:ascii="Cambria" w:cs="Cambria" w:eastAsia="Cambria" w:hAnsi="Cambria"/>
          <w:b w:val="false"/>
          <w:bCs w:val="false"/>
          <w:sz w:val="20"/>
          <w:szCs w:val="20"/>
        </w:rPr>
        <w:t xml:space="preserve">6.6.1 RO6 Assurance and Validation Workflow</w:t>
      </w:r>
      <w:r>
        <w:rPr>
          <w:rFonts w:ascii="Cambria" w:cs="Cambria" w:eastAsia="Cambria" w:hAnsi="Cambria"/>
          <w:sz w:val="20"/>
          <w:szCs w:val="20"/>
        </w:rPr>
        <w:t xml:space="preserve">	94</w:t>
      </w:r>
    </w:p>
    <w:p>
      <w:pPr>
        <w:tabs>
          <w:tab w:val="right" w:pos="9360" w:leader="dot"/>
        </w:tabs>
        <w:spacing w:after="60"/>
        <w:ind w:left="720"/>
      </w:pPr>
      <w:r>
        <w:rPr>
          <w:rFonts w:ascii="Cambria" w:cs="Cambria" w:eastAsia="Cambria" w:hAnsi="Cambria"/>
          <w:b w:val="false"/>
          <w:bCs w:val="false"/>
          <w:sz w:val="20"/>
          <w:szCs w:val="20"/>
        </w:rPr>
        <w:t xml:space="preserve">6.6.2 Procedure for Formal and Empirical Authorisation Validation</w:t>
      </w:r>
      <w:r>
        <w:rPr>
          <w:rFonts w:ascii="Cambria" w:cs="Cambria" w:eastAsia="Cambria" w:hAnsi="Cambria"/>
          <w:sz w:val="20"/>
          <w:szCs w:val="20"/>
        </w:rPr>
        <w:t xml:space="preserve">	94</w:t>
      </w:r>
    </w:p>
    <w:p>
      <w:pPr>
        <w:tabs>
          <w:tab w:val="right" w:pos="9360" w:leader="dot"/>
        </w:tabs>
        <w:spacing w:after="60"/>
        <w:ind w:left="720"/>
      </w:pPr>
      <w:r>
        <w:rPr>
          <w:rFonts w:ascii="Cambria" w:cs="Cambria" w:eastAsia="Cambria" w:hAnsi="Cambria"/>
          <w:b w:val="false"/>
          <w:bCs w:val="false"/>
          <w:sz w:val="20"/>
          <w:szCs w:val="20"/>
        </w:rPr>
        <w:t xml:space="preserve">6.6.3 Algorithm 6: Formal and Empirical Authorisation Validation</w:t>
      </w:r>
      <w:r>
        <w:rPr>
          <w:rFonts w:ascii="Cambria" w:cs="Cambria" w:eastAsia="Cambria" w:hAnsi="Cambria"/>
          <w:sz w:val="20"/>
          <w:szCs w:val="20"/>
        </w:rPr>
        <w:t xml:space="preserve">	99</w:t>
      </w:r>
    </w:p>
    <w:p>
      <w:pPr>
        <w:tabs>
          <w:tab w:val="right" w:pos="9360" w:leader="dot"/>
        </w:tabs>
        <w:spacing w:after="60"/>
        <w:ind w:left="360"/>
      </w:pPr>
      <w:r>
        <w:rPr>
          <w:rFonts w:ascii="Cambria" w:cs="Cambria" w:eastAsia="Cambria" w:hAnsi="Cambria"/>
          <w:b w:val="false"/>
          <w:bCs w:val="false"/>
          <w:sz w:val="22"/>
          <w:szCs w:val="22"/>
        </w:rPr>
        <w:t xml:space="preserve">6.7 Algorithms and the Research Objectives</w:t>
      </w:r>
      <w:r>
        <w:rPr>
          <w:rFonts w:ascii="Cambria" w:cs="Cambria" w:eastAsia="Cambria" w:hAnsi="Cambria"/>
          <w:sz w:val="22"/>
          <w:szCs w:val="22"/>
        </w:rPr>
        <w:t xml:space="preserve">	100</w:t>
      </w:r>
    </w:p>
    <w:p>
      <w:pPr>
        <w:tabs>
          <w:tab w:val="right" w:pos="9360" w:leader="dot"/>
        </w:tabs>
        <w:spacing w:after="60"/>
        <w:ind w:left="360"/>
      </w:pPr>
      <w:r>
        <w:rPr>
          <w:rFonts w:ascii="Cambria" w:cs="Cambria" w:eastAsia="Cambria" w:hAnsi="Cambria"/>
          <w:b w:val="false"/>
          <w:bCs w:val="false"/>
          <w:color w:val="000000"/>
          <w:sz w:val="22"/>
          <w:szCs w:val="22"/>
        </w:rPr>
        <w:t xml:space="preserve">6.8 Implementation and Live Demonstration of the Proposed Solution</w:t>
      </w:r>
      <w:r>
        <w:rPr>
          <w:rFonts w:ascii="Cambria" w:cs="Cambria" w:eastAsia="Cambria" w:hAnsi="Cambria"/>
          <w:color w:val="000000"/>
          <w:sz w:val="22"/>
          <w:szCs w:val="22"/>
        </w:rPr>
        <w:t xml:space="preserve">	102</w:t>
      </w:r>
    </w:p>
    <w:p>
      <w:pPr>
        <w:tabs>
          <w:tab w:val="right" w:pos="9360" w:leader="dot"/>
        </w:tabs>
        <w:spacing w:after="60"/>
        <w:ind w:left="720"/>
      </w:pPr>
      <w:r>
        <w:rPr>
          <w:rFonts w:ascii="Cambria" w:cs="Cambria" w:eastAsia="Cambria" w:hAnsi="Cambria"/>
          <w:b w:val="false"/>
          <w:bCs w:val="false"/>
          <w:color w:val="000000"/>
          <w:sz w:val="20"/>
          <w:szCs w:val="20"/>
        </w:rPr>
        <w:t xml:space="preserve">6.8.1 The HALAH System</w:t>
      </w:r>
      <w:r>
        <w:rPr>
          <w:rFonts w:ascii="Cambria" w:cs="Cambria" w:eastAsia="Cambria" w:hAnsi="Cambria"/>
          <w:color w:val="000000"/>
          <w:sz w:val="20"/>
          <w:szCs w:val="20"/>
        </w:rPr>
        <w:t xml:space="preserve">	102</w:t>
      </w:r>
    </w:p>
    <w:p>
      <w:pPr>
        <w:tabs>
          <w:tab w:val="right" w:pos="9360" w:leader="dot"/>
        </w:tabs>
        <w:spacing w:after="60"/>
        <w:ind w:left="720"/>
      </w:pPr>
      <w:r>
        <w:rPr>
          <w:rFonts w:ascii="Cambria" w:cs="Cambria" w:eastAsia="Cambria" w:hAnsi="Cambria"/>
          <w:b w:val="false"/>
          <w:bCs w:val="false"/>
          <w:color w:val="000000"/>
          <w:sz w:val="20"/>
          <w:szCs w:val="20"/>
        </w:rPr>
        <w:t xml:space="preserve">6.8.2 Create Smart Consent Contract: Patient Subsystem</w:t>
      </w:r>
      <w:r>
        <w:rPr>
          <w:rFonts w:ascii="Cambria" w:cs="Cambria" w:eastAsia="Cambria" w:hAnsi="Cambria"/>
          <w:color w:val="000000"/>
          <w:sz w:val="20"/>
          <w:szCs w:val="20"/>
        </w:rPr>
        <w:t xml:space="preserve">	106</w:t>
      </w:r>
    </w:p>
    <w:p>
      <w:pPr>
        <w:tabs>
          <w:tab w:val="right" w:pos="9360" w:leader="dot"/>
        </w:tabs>
        <w:spacing w:after="60"/>
        <w:ind w:left="720"/>
      </w:pPr>
      <w:r>
        <w:rPr>
          <w:rFonts w:ascii="Cambria" w:cs="Cambria" w:eastAsia="Cambria" w:hAnsi="Cambria"/>
          <w:b w:val="false"/>
          <w:bCs w:val="false"/>
          <w:color w:val="000000"/>
          <w:sz w:val="20"/>
          <w:szCs w:val="20"/>
        </w:rPr>
        <w:t xml:space="preserve">6.8.3 Guardian Cryptographic Approval</w:t>
      </w:r>
      <w:r>
        <w:rPr>
          <w:rFonts w:ascii="Cambria" w:cs="Cambria" w:eastAsia="Cambria" w:hAnsi="Cambria"/>
          <w:color w:val="000000"/>
          <w:sz w:val="20"/>
          <w:szCs w:val="20"/>
        </w:rPr>
        <w:t xml:space="preserve">	108</w:t>
      </w:r>
    </w:p>
    <w:p>
      <w:pPr>
        <w:tabs>
          <w:tab w:val="right" w:pos="9360" w:leader="dot"/>
        </w:tabs>
        <w:spacing w:after="60"/>
        <w:ind w:left="720"/>
      </w:pPr>
      <w:r>
        <w:rPr>
          <w:rFonts w:ascii="Cambria" w:cs="Cambria" w:eastAsia="Cambria" w:hAnsi="Cambria"/>
          <w:b w:val="false"/>
          <w:bCs w:val="false"/>
          <w:color w:val="000000"/>
          <w:sz w:val="20"/>
          <w:szCs w:val="20"/>
        </w:rPr>
        <w:t xml:space="preserve">6.8.4 Secure Patient Data Access for the Doctor</w:t>
      </w:r>
      <w:r>
        <w:rPr>
          <w:rFonts w:ascii="Cambria" w:cs="Cambria" w:eastAsia="Cambria" w:hAnsi="Cambria"/>
          <w:color w:val="000000"/>
          <w:sz w:val="20"/>
          <w:szCs w:val="20"/>
        </w:rPr>
        <w:t xml:space="preserve">	112</w:t>
      </w:r>
    </w:p>
    <w:p>
      <w:pPr>
        <w:tabs>
          <w:tab w:val="right" w:pos="9360" w:leader="dot"/>
        </w:tabs>
        <w:spacing w:after="60"/>
        <w:ind w:left="720"/>
      </w:pPr>
      <w:r>
        <w:rPr>
          <w:rFonts w:ascii="Cambria" w:cs="Cambria" w:eastAsia="Cambria" w:hAnsi="Cambria"/>
          <w:b w:val="false"/>
          <w:bCs w:val="false"/>
          <w:color w:val="000000"/>
          <w:sz w:val="20"/>
          <w:szCs w:val="20"/>
        </w:rPr>
        <w:t xml:space="preserve">6.8.5 Negative Demonstration: Jurisdiction Violation</w:t>
      </w:r>
      <w:r>
        <w:rPr>
          <w:rFonts w:ascii="Cambria" w:cs="Cambria" w:eastAsia="Cambria" w:hAnsi="Cambria"/>
          <w:color w:val="000000"/>
          <w:sz w:val="20"/>
          <w:szCs w:val="20"/>
        </w:rPr>
        <w:t xml:space="preserve">	116</w:t>
      </w:r>
    </w:p>
    <w:p>
      <w:pPr>
        <w:tabs>
          <w:tab w:val="right" w:pos="9360" w:leader="dot"/>
        </w:tabs>
        <w:spacing w:after="60"/>
        <w:ind w:left="720"/>
      </w:pPr>
      <w:r>
        <w:rPr>
          <w:rFonts w:ascii="Cambria" w:cs="Cambria" w:eastAsia="Cambria" w:hAnsi="Cambria"/>
          <w:b w:val="false"/>
          <w:bCs w:val="false"/>
          <w:color w:val="000000"/>
          <w:sz w:val="20"/>
          <w:szCs w:val="20"/>
        </w:rPr>
        <w:t xml:space="preserve">6.8.6 Consent Revocation</w:t>
      </w:r>
      <w:r>
        <w:rPr>
          <w:rFonts w:ascii="Cambria" w:cs="Cambria" w:eastAsia="Cambria" w:hAnsi="Cambria"/>
          <w:color w:val="000000"/>
          <w:sz w:val="20"/>
          <w:szCs w:val="20"/>
        </w:rPr>
        <w:t xml:space="preserve">	118</w:t>
      </w:r>
    </w:p>
    <w:p>
      <w:pPr>
        <w:tabs>
          <w:tab w:val="right" w:pos="9360" w:leader="dot"/>
        </w:tabs>
        <w:spacing w:after="60"/>
        <w:ind w:left="720"/>
      </w:pPr>
      <w:r>
        <w:rPr>
          <w:rFonts w:ascii="Cambria" w:cs="Cambria" w:eastAsia="Cambria" w:hAnsi="Cambria"/>
          <w:b w:val="false"/>
          <w:bCs w:val="false"/>
          <w:color w:val="000000"/>
          <w:sz w:val="20"/>
          <w:szCs w:val="20"/>
        </w:rPr>
        <w:t xml:space="preserve">6.8.7 Blockchain Audit and Consent Lifecycle for the Auditor</w:t>
      </w:r>
      <w:r>
        <w:rPr>
          <w:rFonts w:ascii="Cambria" w:cs="Cambria" w:eastAsia="Cambria" w:hAnsi="Cambria"/>
          <w:color w:val="000000"/>
          <w:sz w:val="20"/>
          <w:szCs w:val="20"/>
        </w:rPr>
        <w:t xml:space="preserve">	121</w:t>
      </w:r>
    </w:p>
    <w:p>
      <w:pPr>
        <w:tabs>
          <w:tab w:val="right" w:pos="9360" w:leader="dot"/>
        </w:tabs>
        <w:spacing w:after="60"/>
        <w:ind w:left="720"/>
      </w:pPr>
      <w:r>
        <w:rPr>
          <w:rFonts w:ascii="Cambria" w:cs="Cambria" w:eastAsia="Cambria" w:hAnsi="Cambria"/>
          <w:b w:val="false"/>
          <w:bCs w:val="false"/>
          <w:color w:val="000000"/>
          <w:sz w:val="20"/>
          <w:szCs w:val="20"/>
        </w:rPr>
        <w:t xml:space="preserve">6.8.8 Detailed Audit Records</w:t>
      </w:r>
      <w:r>
        <w:rPr>
          <w:rFonts w:ascii="Cambria" w:cs="Cambria" w:eastAsia="Cambria" w:hAnsi="Cambria"/>
          <w:color w:val="000000"/>
          <w:sz w:val="20"/>
          <w:szCs w:val="20"/>
        </w:rPr>
        <w:t xml:space="preserve">	124</w:t>
      </w:r>
    </w:p>
    <w:p>
      <w:pPr>
        <w:tabs>
          <w:tab w:val="right" w:pos="9360" w:leader="dot"/>
        </w:tabs>
        <w:spacing w:after="60"/>
        <w:ind w:left="720"/>
      </w:pPr>
      <w:r>
        <w:rPr>
          <w:rFonts w:ascii="Cambria" w:cs="Cambria" w:eastAsia="Cambria" w:hAnsi="Cambria"/>
          <w:b w:val="false"/>
          <w:bCs w:val="false"/>
          <w:color w:val="000000"/>
          <w:sz w:val="20"/>
          <w:szCs w:val="20"/>
        </w:rPr>
        <w:t xml:space="preserve">6.8.9 Complete Audit Ledger and Independent Verification</w:t>
      </w:r>
      <w:r>
        <w:rPr>
          <w:rFonts w:ascii="Cambria" w:cs="Cambria" w:eastAsia="Cambria" w:hAnsi="Cambria"/>
          <w:color w:val="000000"/>
          <w:sz w:val="20"/>
          <w:szCs w:val="20"/>
        </w:rPr>
        <w:t xml:space="preserve">	124</w:t>
      </w:r>
    </w:p>
    <w:p>
      <w:pPr>
        <w:tabs>
          <w:tab w:val="right" w:pos="9360" w:leader="dot"/>
        </w:tabs>
        <w:spacing w:after="60"/>
        <w:ind w:left="720"/>
      </w:pPr>
      <w:r>
        <w:rPr>
          <w:rFonts w:ascii="Cambria" w:cs="Cambria" w:eastAsia="Cambria" w:hAnsi="Cambria"/>
          <w:b w:val="false"/>
          <w:bCs w:val="false"/>
          <w:color w:val="000000"/>
          <w:sz w:val="20"/>
          <w:szCs w:val="20"/>
        </w:rPr>
        <w:t xml:space="preserve">6.8.10 Correspondence Between the Subsystems and the Framework</w:t>
      </w:r>
      <w:r>
        <w:rPr>
          <w:rFonts w:ascii="Cambria" w:cs="Cambria" w:eastAsia="Cambria" w:hAnsi="Cambria"/>
          <w:color w:val="000000"/>
          <w:sz w:val="20"/>
          <w:szCs w:val="20"/>
        </w:rPr>
        <w:t xml:space="preserve">	125</w:t>
      </w:r>
    </w:p>
    <w:p>
      <w:pPr>
        <w:tabs>
          <w:tab w:val="right" w:pos="9360" w:leader="dot"/>
        </w:tabs>
        <w:spacing w:after="60"/>
        <w:ind w:left="720"/>
      </w:pPr>
      <w:r>
        <w:rPr>
          <w:rFonts w:ascii="Cambria" w:cs="Cambria" w:eastAsia="Cambria" w:hAnsi="Cambria"/>
          <w:b w:val="false"/>
          <w:bCs w:val="false"/>
          <w:color w:val="000000"/>
          <w:sz w:val="20"/>
          <w:szCs w:val="20"/>
        </w:rPr>
        <w:t xml:space="preserve">6.8.11 Overall System Demonstration</w:t>
      </w:r>
      <w:r>
        <w:rPr>
          <w:rFonts w:ascii="Cambria" w:cs="Cambria" w:eastAsia="Cambria" w:hAnsi="Cambria"/>
          <w:color w:val="000000"/>
          <w:sz w:val="20"/>
          <w:szCs w:val="20"/>
        </w:rPr>
        <w:t xml:space="preserve">	126</w:t>
      </w:r>
    </w:p>
    <w:p>
      <w:pPr>
        <w:tabs>
          <w:tab w:val="right" w:pos="9360" w:leader="dot"/>
        </w:tabs>
        <w:spacing w:after="60"/>
        <w:ind w:left="720"/>
      </w:pPr>
      <w:r>
        <w:rPr>
          <w:rFonts w:ascii="Cambria" w:cs="Cambria" w:eastAsia="Cambria" w:hAnsi="Cambria"/>
          <w:b w:val="false"/>
          <w:bCs w:val="false"/>
          <w:color w:val="000000"/>
          <w:sz w:val="20"/>
          <w:szCs w:val="20"/>
        </w:rPr>
        <w:t xml:space="preserve">6.8.12 Verification Links</w:t>
      </w:r>
      <w:r>
        <w:rPr>
          <w:rFonts w:ascii="Cambria" w:cs="Cambria" w:eastAsia="Cambria" w:hAnsi="Cambria"/>
          <w:color w:val="000000"/>
          <w:sz w:val="20"/>
          <w:szCs w:val="20"/>
        </w:rPr>
        <w:t xml:space="preserve">	127</w:t>
      </w:r>
    </w:p>
    <w:p>
      <w:pPr>
        <w:tabs>
          <w:tab w:val="right" w:pos="9360" w:leader="dot"/>
        </w:tabs>
        <w:spacing w:after="60"/>
        <w:ind w:left="0"/>
      </w:pPr>
      <w:r>
        <w:rPr>
          <w:rFonts w:ascii="Cambria" w:cs="Cambria" w:eastAsia="Cambria" w:hAnsi="Cambria"/>
          <w:b/>
          <w:bCs/>
          <w:sz w:val="24"/>
          <w:szCs w:val="24"/>
        </w:rPr>
        <w:t xml:space="preserve">7 Current Progress Status</w:t>
      </w:r>
      <w:r>
        <w:rPr>
          <w:rFonts w:ascii="Cambria" w:cs="Cambria" w:eastAsia="Cambria" w:hAnsi="Cambria"/>
          <w:sz w:val="22"/>
          <w:szCs w:val="22"/>
        </w:rPr>
        <w:t xml:space="preserve">	128</w:t>
      </w:r>
    </w:p>
    <w:p>
      <w:pPr>
        <w:tabs>
          <w:tab w:val="right" w:pos="9360" w:leader="dot"/>
        </w:tabs>
        <w:spacing w:after="60"/>
        <w:ind w:left="360"/>
      </w:pPr>
      <w:r>
        <w:rPr>
          <w:rFonts w:ascii="Cambria" w:cs="Cambria" w:eastAsia="Cambria" w:hAnsi="Cambria"/>
          <w:b w:val="false"/>
          <w:bCs w:val="false"/>
          <w:sz w:val="22"/>
          <w:szCs w:val="22"/>
        </w:rPr>
        <w:t xml:space="preserve">7.1 Progress of RO1: Trust-Centric Consent Model</w:t>
      </w:r>
      <w:r>
        <w:rPr>
          <w:rFonts w:ascii="Cambria" w:cs="Cambria" w:eastAsia="Cambria" w:hAnsi="Cambria"/>
          <w:sz w:val="22"/>
          <w:szCs w:val="22"/>
        </w:rPr>
        <w:t xml:space="preserve">	128</w:t>
      </w:r>
    </w:p>
    <w:p>
      <w:pPr>
        <w:tabs>
          <w:tab w:val="right" w:pos="9360" w:leader="dot"/>
        </w:tabs>
        <w:spacing w:after="60"/>
        <w:ind w:left="360"/>
      </w:pPr>
      <w:r>
        <w:rPr>
          <w:rFonts w:ascii="Cambria" w:cs="Cambria" w:eastAsia="Cambria" w:hAnsi="Cambria"/>
          <w:b w:val="false"/>
          <w:bCs w:val="false"/>
          <w:sz w:val="22"/>
          <w:szCs w:val="22"/>
        </w:rPr>
        <w:t xml:space="preserve">7.2 Progress of RO2: Decentralised Identity and Authority</w:t>
      </w:r>
      <w:r>
        <w:rPr>
          <w:rFonts w:ascii="Cambria" w:cs="Cambria" w:eastAsia="Cambria" w:hAnsi="Cambria"/>
          <w:sz w:val="22"/>
          <w:szCs w:val="22"/>
        </w:rPr>
        <w:t xml:space="preserve">	128</w:t>
      </w:r>
    </w:p>
    <w:p>
      <w:pPr>
        <w:tabs>
          <w:tab w:val="right" w:pos="9360" w:leader="dot"/>
        </w:tabs>
        <w:spacing w:after="60"/>
        <w:ind w:left="360"/>
      </w:pPr>
      <w:r>
        <w:rPr>
          <w:rFonts w:ascii="Cambria" w:cs="Cambria" w:eastAsia="Cambria" w:hAnsi="Cambria"/>
          <w:b w:val="false"/>
          <w:bCs w:val="false"/>
          <w:sz w:val="22"/>
          <w:szCs w:val="22"/>
        </w:rPr>
        <w:t xml:space="preserve">7.3 Progress of RO3: Trustworthy Multi-Party Authorisation</w:t>
      </w:r>
      <w:r>
        <w:rPr>
          <w:rFonts w:ascii="Cambria" w:cs="Cambria" w:eastAsia="Cambria" w:hAnsi="Cambria"/>
          <w:sz w:val="22"/>
          <w:szCs w:val="22"/>
        </w:rPr>
        <w:t xml:space="preserve">	129</w:t>
      </w:r>
    </w:p>
    <w:p>
      <w:pPr>
        <w:tabs>
          <w:tab w:val="right" w:pos="9360" w:leader="dot"/>
        </w:tabs>
        <w:spacing w:after="60"/>
        <w:ind w:left="360"/>
      </w:pPr>
      <w:r>
        <w:rPr>
          <w:rFonts w:ascii="Cambria" w:cs="Cambria" w:eastAsia="Cambria" w:hAnsi="Cambria"/>
          <w:b w:val="false"/>
          <w:bCs w:val="false"/>
          <w:sz w:val="22"/>
          <w:szCs w:val="22"/>
        </w:rPr>
        <w:t xml:space="preserve">7.4 Progress of RO4: Policy-Aware Access Control</w:t>
      </w:r>
      <w:r>
        <w:rPr>
          <w:rFonts w:ascii="Cambria" w:cs="Cambria" w:eastAsia="Cambria" w:hAnsi="Cambria"/>
          <w:sz w:val="22"/>
          <w:szCs w:val="22"/>
        </w:rPr>
        <w:t xml:space="preserve">	129</w:t>
      </w:r>
    </w:p>
    <w:p>
      <w:pPr>
        <w:tabs>
          <w:tab w:val="right" w:pos="9360" w:leader="dot"/>
        </w:tabs>
        <w:spacing w:after="60"/>
        <w:ind w:left="360"/>
      </w:pPr>
      <w:r>
        <w:rPr>
          <w:rFonts w:ascii="Cambria" w:cs="Cambria" w:eastAsia="Cambria" w:hAnsi="Cambria"/>
          <w:b w:val="false"/>
          <w:bCs w:val="false"/>
          <w:sz w:val="22"/>
          <w:szCs w:val="22"/>
        </w:rPr>
        <w:t xml:space="preserve">7.5 Progress of RO5: Temporal and Lifecycle Trust</w:t>
      </w:r>
      <w:r>
        <w:rPr>
          <w:rFonts w:ascii="Cambria" w:cs="Cambria" w:eastAsia="Cambria" w:hAnsi="Cambria"/>
          <w:sz w:val="22"/>
          <w:szCs w:val="22"/>
        </w:rPr>
        <w:t xml:space="preserve">	130</w:t>
      </w:r>
    </w:p>
    <w:p>
      <w:pPr>
        <w:tabs>
          <w:tab w:val="right" w:pos="9360" w:leader="dot"/>
        </w:tabs>
        <w:spacing w:after="60"/>
        <w:ind w:left="360"/>
      </w:pPr>
      <w:r>
        <w:rPr>
          <w:rFonts w:ascii="Cambria" w:cs="Cambria" w:eastAsia="Cambria" w:hAnsi="Cambria"/>
          <w:b w:val="false"/>
          <w:bCs w:val="false"/>
          <w:sz w:val="22"/>
          <w:szCs w:val="22"/>
        </w:rPr>
        <w:t xml:space="preserve">7.6 Progress of RO6: Security Assurance and Validation</w:t>
      </w:r>
      <w:r>
        <w:rPr>
          <w:rFonts w:ascii="Cambria" w:cs="Cambria" w:eastAsia="Cambria" w:hAnsi="Cambria"/>
          <w:sz w:val="22"/>
          <w:szCs w:val="22"/>
        </w:rPr>
        <w:t xml:space="preserve">	130</w:t>
      </w:r>
    </w:p>
    <w:p>
      <w:pPr>
        <w:tabs>
          <w:tab w:val="right" w:pos="9360" w:leader="dot"/>
        </w:tabs>
        <w:spacing w:after="60"/>
        <w:ind w:left="0"/>
      </w:pPr>
      <w:r>
        <w:rPr>
          <w:rFonts w:ascii="Cambria" w:cs="Cambria" w:eastAsia="Cambria" w:hAnsi="Cambria"/>
          <w:b/>
          <w:bCs/>
          <w:sz w:val="24"/>
          <w:szCs w:val="24"/>
        </w:rPr>
        <w:t xml:space="preserve">8 Publications Summary</w:t>
      </w:r>
      <w:r>
        <w:rPr>
          <w:rFonts w:ascii="Cambria" w:cs="Cambria" w:eastAsia="Cambria" w:hAnsi="Cambria"/>
          <w:sz w:val="22"/>
          <w:szCs w:val="22"/>
        </w:rPr>
        <w:t xml:space="preserve">	132</w:t>
      </w:r>
    </w:p>
    <w:p>
      <w:pPr>
        <w:tabs>
          <w:tab w:val="right" w:pos="9360" w:leader="dot"/>
        </w:tabs>
        <w:spacing w:after="60"/>
        <w:ind w:left="0"/>
      </w:pPr>
      <w:r>
        <w:rPr>
          <w:rFonts w:ascii="Cambria" w:cs="Cambria" w:eastAsia="Cambria" w:hAnsi="Cambria"/>
          <w:b/>
          <w:bCs/>
          <w:sz w:val="24"/>
          <w:szCs w:val="24"/>
        </w:rPr>
        <w:t xml:space="preserve">9 Research Plan</w:t>
      </w:r>
      <w:r>
        <w:rPr>
          <w:rFonts w:ascii="Cambria" w:cs="Cambria" w:eastAsia="Cambria" w:hAnsi="Cambria"/>
          <w:sz w:val="22"/>
          <w:szCs w:val="22"/>
        </w:rPr>
        <w:t xml:space="preserve">	133</w:t>
      </w:r>
    </w:p>
    <w:p>
      <w:pPr>
        <w:tabs>
          <w:tab w:val="right" w:pos="9360" w:leader="dot"/>
        </w:tabs>
        <w:spacing w:after="60"/>
        <w:ind w:left="360"/>
      </w:pPr>
      <w:r>
        <w:rPr>
          <w:rFonts w:ascii="Cambria" w:cs="Cambria" w:eastAsia="Cambria" w:hAnsi="Cambria"/>
          <w:b w:val="false"/>
          <w:bCs w:val="false"/>
          <w:sz w:val="22"/>
          <w:szCs w:val="22"/>
        </w:rPr>
        <w:t xml:space="preserve">9.1 Current Stage: Completed and Current Work</w:t>
      </w:r>
      <w:r>
        <w:rPr>
          <w:rFonts w:ascii="Cambria" w:cs="Cambria" w:eastAsia="Cambria" w:hAnsi="Cambria"/>
          <w:sz w:val="22"/>
          <w:szCs w:val="22"/>
        </w:rPr>
        <w:t xml:space="preserve">	133</w:t>
      </w:r>
    </w:p>
    <w:p>
      <w:pPr>
        <w:tabs>
          <w:tab w:val="right" w:pos="9360" w:leader="dot"/>
        </w:tabs>
        <w:spacing w:after="60"/>
        <w:ind w:left="360"/>
      </w:pPr>
      <w:r>
        <w:rPr>
          <w:rFonts w:ascii="Cambria" w:cs="Cambria" w:eastAsia="Cambria" w:hAnsi="Cambria"/>
          <w:b w:val="false"/>
          <w:bCs w:val="false"/>
          <w:sz w:val="22"/>
          <w:szCs w:val="22"/>
        </w:rPr>
        <w:t xml:space="preserve">9.2 Next Stage: Planned Work</w:t>
      </w:r>
      <w:r>
        <w:rPr>
          <w:rFonts w:ascii="Cambria" w:cs="Cambria" w:eastAsia="Cambria" w:hAnsi="Cambria"/>
          <w:sz w:val="22"/>
          <w:szCs w:val="22"/>
        </w:rPr>
        <w:t xml:space="preserve">	133</w:t>
      </w:r>
    </w:p>
    <w:p>
      <w:pPr>
        <w:tabs>
          <w:tab w:val="right" w:pos="9360" w:leader="dot"/>
        </w:tabs>
        <w:spacing w:after="60"/>
        <w:ind w:left="0"/>
      </w:pPr>
      <w:r>
        <w:rPr>
          <w:rFonts w:ascii="Cambria" w:cs="Cambria" w:eastAsia="Cambria" w:hAnsi="Cambria"/>
          <w:b/>
          <w:bCs/>
          <w:sz w:val="24"/>
          <w:szCs w:val="24"/>
        </w:rPr>
        <w:t xml:space="preserve">References</w:t>
      </w:r>
      <w:r>
        <w:rPr>
          <w:rFonts w:ascii="Cambria" w:cs="Cambria" w:eastAsia="Cambria" w:hAnsi="Cambria"/>
          <w:sz w:val="22"/>
          <w:szCs w:val="22"/>
        </w:rPr>
        <w:t xml:space="preserve">	138</w:t>
      </w:r>
    </w:p>
    <w:p>
      <w:pPr>
        <w:pStyle w:val="Heading1"/>
        <w:pageBreakBefore/>
        <w:spacing w:after="160" w:before="400"/>
      </w:pPr>
      <w:r>
        <w:t xml:space="preserve">1  Introduction</w:t>
      </w:r>
    </w:p>
    <w:p>
      <w:pPr>
        <w:pStyle w:val="Heading2"/>
        <w:spacing w:after="160" w:before="280"/>
      </w:pPr>
      <w:r>
        <w:t xml:space="preserve">1.1  Research Context</w:t>
      </w:r>
    </w:p>
    <w:p>
      <w:pPr>
        <w:spacing w:after="140" w:line="300"/>
        <w:jc w:val="both"/>
      </w:pPr>
      <w:r>
        <w:rPr>
          <w:rFonts w:ascii="Cambria" w:cs="Cambria" w:eastAsia="Cambria" w:hAnsi="Cambria"/>
          <w:sz w:val="24"/>
          <w:szCs w:val="24"/>
        </w:rP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[6, 19].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spacing w:after="140" w:line="300"/>
        <w:jc w:val="both"/>
      </w:pPr>
      <w:r>
        <w:rPr>
          <w:rFonts w:ascii="Cambria" w:cs="Cambria" w:eastAsia="Cambria" w:hAnsi="Cambria"/>
          <w:sz w:val="24"/>
          <w:szCs w:val="24"/>
        </w:rP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to participate in data-sharing processes </w:t>
      </w:r>
      <w:r>
        <w:rPr>
          <w:rFonts w:ascii="Cambria" w:cs="Cambria" w:eastAsia="Cambria" w:hAnsi="Cambria"/>
          <w:b w:val="false"/>
          <w:bCs w:val="false"/>
          <w:sz w:val="24"/>
          <w:szCs w:val="24"/>
        </w:rPr>
        <w:t xml:space="preserve">[31, 14]</w:t>
      </w:r>
      <w:r>
        <w:rPr>
          <w:rFonts w:ascii="Cambria" w:cs="Cambria" w:eastAsia="Cambria" w:hAnsi="Cambria"/>
          <w:sz w:val="24"/>
          <w:szCs w:val="24"/>
        </w:rP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 [24, 22, 12].</w:t>
      </w:r>
    </w:p>
    <w:p>
      <w:pPr>
        <w:spacing w:after="140" w:line="300"/>
        <w:jc w:val="both"/>
      </w:pPr>
      <w:r>
        <w:rPr>
          <w:rFonts w:ascii="Cambria" w:cs="Cambria" w:eastAsia="Cambria" w:hAnsi="Cambria"/>
          <w:sz w:val="24"/>
          <w:szCs w:val="24"/>
        </w:rPr>
        <w:t xml:space="preserve">Traditional access-control architectures are commonly based on centralised identity providers, institution-specific authentication systems, and relatively static permission-management mechanisms [28, 25, 11].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spacing w:after="140" w:line="300"/>
        <w:jc w:val="both"/>
      </w:pPr>
      <w:r>
        <w:rPr>
          <w:rFonts w:ascii="Cambria" w:cs="Cambria" w:eastAsia="Cambria" w:hAnsi="Cambria"/>
          <w:sz w:val="24"/>
          <w:szCs w:val="24"/>
        </w:rPr>
        <w:t xml:space="preserve">This problem is particularly relevant in healthcare, where data-sharing decisions may require the coordinated participation of patients, guardians, healthcare professionals, institutional authorities, and other authorised stakeholders [21, 9].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spacing w:after="140" w:line="300"/>
        <w:jc w:val="both"/>
      </w:pPr>
      <w:r>
        <w:rPr>
          <w:rFonts w:ascii="Cambria" w:cs="Cambria" w:eastAsia="Cambria" w:hAnsi="Cambria"/>
          <w:sz w:val="24"/>
          <w:szCs w:val="24"/>
        </w:rP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resources [2, 7, 3]. More broadly, blockchain-based approaches have demonstrated the potential to improve the integrity, transparency, and traceability of decentralised data-management processes [8, 1].</w:t>
      </w:r>
    </w:p>
    <w:p>
      <w:pPr>
        <w:spacing w:after="140" w:line="300"/>
        <w:jc w:val="both"/>
      </w:pPr>
      <w:r>
        <w:rPr>
          <w:rFonts w:ascii="Cambria" w:cs="Cambria" w:eastAsia="Cambria" w:hAnsi="Cambria"/>
          <w:sz w:val="24"/>
          <w:szCs w:val="24"/>
        </w:rP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spacing w:after="140" w:line="300"/>
        <w:jc w:val="both"/>
      </w:pPr>
      <w:r>
        <w:rPr>
          <w:rFonts w:ascii="Cambria" w:cs="Cambria" w:eastAsia="Cambria" w:hAnsi="Cambria"/>
          <w:sz w:val="24"/>
          <w:szCs w:val="24"/>
        </w:rP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an active and evaluable component of a broader authorisation process.</w:t>
      </w:r>
    </w:p>
    <w:p>
      <w:pPr>
        <w:pStyle w:val="Heading2"/>
        <w:spacing w:after="160" w:before="280"/>
      </w:pPr>
      <w:r>
        <w:t xml:space="preserve">1.2  Problem Statement</w:t>
      </w:r>
    </w:p>
    <w:p>
      <w:pPr>
        <w:spacing w:after="140" w:line="300"/>
        <w:jc w:val="both"/>
      </w:pPr>
      <w:r>
        <w:rPr>
          <w:rFonts w:ascii="Cambria" w:cs="Cambria" w:eastAsia="Cambria" w:hAnsi="Cambria"/>
          <w:sz w:val="24"/>
          <w:szCs w:val="24"/>
        </w:rP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spacing w:after="140" w:line="300"/>
        <w:jc w:val="both"/>
      </w:pPr>
      <w:r>
        <w:rPr>
          <w:rFonts w:ascii="Cambria" w:cs="Cambria" w:eastAsia="Cambria" w:hAnsi="Cambria"/>
          <w:sz w:val="24"/>
          <w:szCs w:val="24"/>
        </w:rPr>
        <w:t xml:space="preserve">This creates a fundamental distinction between consent representation and trustworthy authorisation enforcement.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spacing w:after="140" w:line="300"/>
        <w:jc w:val="both"/>
      </w:pPr>
      <w:r>
        <w:rPr>
          <w:rFonts w:ascii="Cambria" w:cs="Cambria" w:eastAsia="Cambria" w:hAnsi="Cambria"/>
          <w:sz w:val="24"/>
          <w:szCs w:val="24"/>
        </w:rP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spacing w:after="140" w:line="300"/>
        <w:jc w:val="both"/>
      </w:pPr>
      <w:r>
        <w:rPr>
          <w:rFonts w:ascii="Cambria" w:cs="Cambria" w:eastAsia="Cambria" w:hAnsi="Cambria"/>
          <w:sz w:val="24"/>
          <w:szCs w:val="24"/>
        </w:rP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spacing w:after="140" w:line="300"/>
        <w:jc w:val="both"/>
      </w:pPr>
      <w:r>
        <w:rPr>
          <w:rFonts w:ascii="Cambria" w:cs="Cambria" w:eastAsia="Cambria" w:hAnsi="Cambria"/>
          <w:sz w:val="24"/>
          <w:szCs w:val="24"/>
        </w:rPr>
        <w:t xml:space="preserve">The central problem addressed by this research is therefore the absence of an integrated trust-oriented mechanism that connects these different conditions within a coherent authorisation decision. Existing approaches provide important technological components, including decentralised identity, verifiable credentials, blockchain-based records, multi-party approval mechanisms, and policy-based access control [20, 15]. However, these mechanisms are often investigated independently or integrated primarily at the implementation level without providing a unified Trust Computing model explaining how their combined operation establishes a trustworthy authorisation outcome.</w:t>
      </w:r>
    </w:p>
    <w:p>
      <w:pPr>
        <w:spacing w:after="140" w:line="300"/>
        <w:jc w:val="both"/>
      </w:pPr>
      <w:r>
        <w:rPr>
          <w:rFonts w:ascii="Cambria" w:cs="Cambria" w:eastAsia="Cambria" w:hAnsi="Cambria"/>
          <w:sz w:val="24"/>
          <w:szCs w:val="24"/>
        </w:rP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spacing w:after="140" w:line="300"/>
        <w:jc w:val="both"/>
      </w:pPr>
      <w:r>
        <w:rPr>
          <w:rFonts w:ascii="Cambria" w:cs="Cambria" w:eastAsia="Cambria" w:hAnsi="Cambria"/>
          <w:sz w:val="24"/>
          <w:szCs w:val="24"/>
        </w:rP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p>
      <w:pPr>
        <w:pStyle w:val="Heading2"/>
        <w:spacing w:after="160" w:before="280"/>
      </w:pPr>
      <w:r>
        <w:t xml:space="preserve">1.3  Research Motivation</w:t>
      </w:r>
    </w:p>
    <w:p>
      <w:pPr>
        <w:spacing w:after="140" w:line="300"/>
        <w:jc w:val="both"/>
      </w:pPr>
      <w:r>
        <w:rPr>
          <w:rFonts w:ascii="Cambria" w:cs="Cambria" w:eastAsia="Cambria" w:hAnsi="Cambria"/>
          <w:color w:val="000000"/>
          <w:sz w:val="24"/>
          <w:szCs w:val="24"/>
        </w:rPr>
        <w:t xml:space="preserve">The framework has been extended to incorporate temporal validity and lifecycle trust. In particular, validity periods and expiration are enforced at the point of evaluation and mirrored on-chain, revocation is executed as a verifiable blockchain transaction, and consent progresses through controlled state transitions. This is important because trust cannot be regarded as permanently established at the moment a consent is created.</w:t>
      </w:r>
    </w:p>
    <w:p>
      <w:pPr>
        <w:spacing w:after="140" w:line="300"/>
        <w:jc w:val="both"/>
      </w:pPr>
      <w:r>
        <w:rPr>
          <w:rFonts w:ascii="Cambria" w:cs="Cambria" w:eastAsia="Cambria" w:hAnsi="Cambria"/>
          <w:color w:val="000000"/>
          <w:sz w:val="24"/>
          <w:szCs w:val="24"/>
        </w:rPr>
        <w:t xml:space="preserve">Adversarial and negative testing has been undertaken using the HALAH prototype, encompassing per-dimension denial scenarios, signature-rejection tests, and zero-knowledge tamper and expiry tests, together with a live negative evaluation on the Sepolia network. Consequently, formal security analysis remains the subject of the next research stage.</w:t>
      </w:r>
    </w:p>
    <w:p>
      <w:pPr>
        <w:spacing w:after="140" w:line="300"/>
        <w:jc w:val="both"/>
      </w:pPr>
      <w:r>
        <w:rPr>
          <w:rFonts w:ascii="Cambria" w:cs="Cambria" w:eastAsia="Cambria" w:hAnsi="Cambria"/>
          <w:sz w:val="24"/>
          <w:szCs w:val="24"/>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spacing w:after="140" w:line="300"/>
        <w:jc w:val="both"/>
      </w:pPr>
      <w:r>
        <w:rPr>
          <w:rFonts w:ascii="Cambria" w:cs="Cambria" w:eastAsia="Cambria" w:hAnsi="Cambria"/>
          <w:sz w:val="24"/>
          <w:szCs w:val="24"/>
        </w:rP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Multi-party authorisation concerns whether all required independent participants have jointly established the authorisation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spacing w:after="140" w:line="300"/>
        <w:jc w:val="both"/>
      </w:pPr>
      <w:r>
        <w:rPr>
          <w:rFonts w:ascii="Cambria" w:cs="Cambria" w:eastAsia="Cambria" w:hAnsi="Cambria"/>
          <w:sz w:val="24"/>
          <w:szCs w:val="24"/>
        </w:rP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spacing w:after="140" w:line="300"/>
        <w:jc w:val="both"/>
      </w:pPr>
      <w:r>
        <w:rPr>
          <w:rFonts w:ascii="Cambria" w:cs="Cambria" w:eastAsia="Cambria" w:hAnsi="Cambria"/>
          <w:sz w:val="24"/>
          <w:szCs w:val="24"/>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w:t>
      </w:r>
    </w:p>
    <w:p>
      <w:pPr>
        <w:spacing w:after="140" w:line="300"/>
        <w:jc w:val="both"/>
      </w:pPr>
      <w:r>
        <w:rPr>
          <w:rFonts w:ascii="Cambria" w:cs="Cambria" w:eastAsia="Cambria" w:hAnsi="Cambria"/>
          <w:sz w:val="24"/>
          <w:szCs w:val="24"/>
        </w:rPr>
        <w:t xml:space="preserve">These four dimensions collectively define the foundational scope of Multi-Party Patient Consent.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spacing w:after="140" w:line="300"/>
        <w:jc w:val="both"/>
      </w:pPr>
      <w:r>
        <w:rPr>
          <w:rFonts w:ascii="Cambria" w:cs="Cambria" w:eastAsia="Cambria" w:hAnsi="Cambria"/>
          <w:sz w:val="24"/>
          <w:szCs w:val="24"/>
        </w:rPr>
        <w:t xml:space="preserve">A consent that was valid when initially approved may subsequently become invalid due to expiration, revocation, or a change in its authorised lifecycle state.</w:t>
      </w:r>
    </w:p>
    <w:p>
      <w:pPr>
        <w:spacing w:after="140" w:line="300"/>
        <w:jc w:val="both"/>
      </w:pPr>
      <w:r>
        <w:rPr>
          <w:rFonts w:ascii="Cambria" w:cs="Cambria" w:eastAsia="Cambria" w:hAnsi="Cambria"/>
          <w:sz w:val="24"/>
          <w:szCs w:val="24"/>
        </w:rPr>
        <w:t xml:space="preserve">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The distinction between the current contribution and the subsequent research is summarised in Table 1.</w:t>
      </w:r>
    </w:p>
    <w:p>
      <w:pPr>
        <w:spacing w:after="140" w:line="300"/>
        <w:jc w:val="both"/>
      </w:pPr>
      <w:r>
        <w:rPr>
          <w:rFonts w:ascii="Cambria" w:cs="Cambria" w:eastAsia="Cambria" w:hAnsi="Cambria"/>
          <w:color w:val="000000"/>
          <w:sz w:val="24"/>
          <w:szCs w:val="24"/>
        </w:rPr>
        <w:t xml:space="preserve">Table 1 summarises the research dimensions, distinguishing those realised in the implemented HALAH prototype from the formal security assurance that remains for the subsequent research.</w:t>
      </w:r>
    </w:p>
    <w:p>
      <w:pPr>
        <w:spacing w:after="140" w:line="300"/>
        <w:jc w:val="both"/>
      </w:pPr>
      <w:r>
        <w:rPr>
          <w:rFonts w:ascii="Cambria" w:cs="Cambria" w:eastAsia="Cambria" w:hAnsi="Cambria"/>
          <w:sz w:val="24"/>
          <w:szCs w:val="24"/>
        </w:rPr>
        <w:t xml:space="preserve">This separation establishes a clear progression between the current and subsequent stages of the research.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research is concerned primarily with establishing the conceptual and technical foundations through which trustworthy multi-party authorisation can be constructed.</w:t>
      </w:r>
    </w:p>
    <w:p>
      <w:pPr>
        <w:spacing w:after="140" w:line="300"/>
        <w:jc w:val="both"/>
      </w:pPr>
      <w:r>
        <w:rPr>
          <w:rFonts w:ascii="Cambria" w:cs="Cambria" w:eastAsia="Cambria" w:hAnsi="Cambria"/>
          <w:color w:val="000000"/>
          <w:sz w:val="24"/>
          <w:szCs w:val="24"/>
        </w:rPr>
        <w:t xml:space="preserve">The current research is concerned primarily with establishing the conceptual and technical foundations through which trustworthy multi-party authorisation can be constructed.</w:t>
      </w:r>
    </w:p>
    <w:p>
      <w:pPr>
        <w:spacing w:after="140" w:line="300"/>
        <w:jc w:val="both"/>
      </w:pPr>
      <w:r>
        <w:rPr>
          <w:rFonts w:ascii="Cambria" w:cs="Cambria" w:eastAsia="Cambria" w:hAnsi="Cambria"/>
          <w:sz w:val="24"/>
          <w:szCs w:val="24"/>
        </w:rP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in which these independently verifiable conditions contribute collectively to a defensible and explainable decision about whether a particular healthcare data-access request should be permitted.</w:t>
      </w:r>
    </w:p>
    <w:p>
      <w:pPr>
        <w:keepNext/>
        <w:spacing w:after="80" w:before="160"/>
        <w:jc w:val="center"/>
      </w:pPr>
      <w:r>
        <w:rPr>
          <w:rFonts w:ascii="Cambria" w:cs="Cambria" w:eastAsia="Cambria" w:hAnsi="Cambria"/>
          <w:b/>
          <w:bCs/>
          <w:sz w:val="21"/>
          <w:szCs w:val="21"/>
        </w:rPr>
        <w:t xml:space="preserve">Table 1: </w:t>
      </w:r>
      <w:r>
        <w:rPr>
          <w:rFonts w:ascii="Cambria" w:cs="Cambria" w:eastAsia="Cambria" w:hAnsi="Cambria"/>
          <w:sz w:val="21"/>
          <w:szCs w:val="21"/>
        </w:rPr>
        <w:t xml:space="preserve">Research Scope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Stage</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Dimension</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Purpose and Core Objective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Modelling</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decentralised identifiers and verifiable credentials while explicitly separating identity authentication from authorisation authority.</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trust by requiring multiple independently verified participants to satisfy predefined authorisation conditions before sensitive healthcare data access can be granted.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authorisation model with validity periods, expiration, revocation, and controlled consent-state transitions to support dynamic and lifecycle-aware trust evaluation.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 (empirical) / Next (formal)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and analyse the security and authorisation properties of the proposed framework and empirically evaluate the complete HALAH implementation using representative healthcare data-sharing, negative, and adversarial scenarios.</w:t>
            </w:r>
          </w:p>
        </w:tc>
      </w:tr>
    </w:tbl>
    <w:p>
      <w:pPr>
        <w:spacing w:after="180"/>
      </w:pPr>
    </w:p>
    <w:p>
      <w:pPr>
        <w:pStyle w:val="Heading1"/>
        <w:pageBreakBefore/>
        <w:spacing w:after="160" w:before="400"/>
      </w:pPr>
      <w:r>
        <w:t xml:space="preserve">2  Systematic Literature Review</w:t>
      </w:r>
    </w:p>
    <w:p>
      <w:pPr>
        <w:pStyle w:val="Heading2"/>
        <w:spacing w:after="160" w:before="280"/>
      </w:pPr>
      <w:r>
        <w:t xml:space="preserve">2.1  Overview</w:t>
      </w:r>
    </w:p>
    <w:p>
      <w:pPr>
        <w:spacing w:after="140" w:line="300"/>
        <w:jc w:val="both"/>
      </w:pPr>
      <w:r>
        <w:rPr>
          <w:rFonts w:ascii="Cambria" w:cs="Cambria" w:eastAsia="Cambria" w:hAnsi="Cambria"/>
          <w:sz w:val="24"/>
          <w:szCs w:val="24"/>
        </w:rP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spacing w:after="140" w:line="300"/>
        <w:jc w:val="both"/>
      </w:pPr>
      <w:r>
        <w:rPr>
          <w:rFonts w:ascii="Cambria" w:cs="Cambria" w:eastAsia="Cambria" w:hAnsi="Cambria"/>
          <w:sz w:val="24"/>
          <w:szCs w:val="24"/>
        </w:rP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w:t>
      </w:r>
      <w:r>
        <w:rPr>
          <w:rFonts w:ascii="Cambria" w:cs="Cambria" w:eastAsia="Cambria" w:hAnsi="Cambria"/>
          <w:color w:val="000000"/>
          <w:sz w:val="24"/>
          <w:szCs w:val="24"/>
        </w:rPr>
        <w:t xml:space="preserve">decentralised trust</w:t>
      </w:r>
      <w:r>
        <w:rPr>
          <w:rFonts w:ascii="Cambria" w:cs="Cambria" w:eastAsia="Cambria" w:hAnsi="Cambria"/>
          <w:sz w:val="24"/>
          <w:szCs w:val="24"/>
        </w:rPr>
        <w:t xml:space="preserve">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spacing w:after="140" w:line="300"/>
        <w:jc w:val="both"/>
      </w:pPr>
      <w:r>
        <w:rPr>
          <w:rFonts w:ascii="Cambria" w:cs="Cambria" w:eastAsia="Cambria" w:hAnsi="Cambria"/>
          <w:sz w:val="24"/>
          <w:szCs w:val="24"/>
        </w:rP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p>
      <w:pPr>
        <w:pStyle w:val="Heading2"/>
        <w:spacing w:after="160" w:before="280"/>
      </w:pPr>
      <w:r>
        <w:t xml:space="preserve">2.2  Systematic Literature Review Methodology</w:t>
      </w:r>
    </w:p>
    <w:p>
      <w:pPr>
        <w:spacing w:after="140" w:line="300"/>
        <w:jc w:val="both"/>
      </w:pPr>
      <w:r>
        <w:rPr>
          <w:rFonts w:ascii="Cambria" w:cs="Cambria" w:eastAsia="Cambria" w:hAnsi="Cambria"/>
          <w:b w:val="false"/>
          <w:bCs w:val="false"/>
          <w:sz w:val="24"/>
          <w:szCs w:val="24"/>
        </w:rPr>
        <w:t xml:space="preserve">The review corpus comprises the 33 studies identified through the search and screening process described in the remainder of this section. </w:t>
      </w:r>
      <w:r>
        <w:rPr>
          <w:rFonts w:ascii="Cambria" w:cs="Cambria" w:eastAsia="Cambria" w:hAnsi="Cambria"/>
          <w:b w:val="false"/>
          <w:bCs w:val="false"/>
          <w:color w:val="000000"/>
          <w:sz w:val="24"/>
          <w:szCs w:val="24"/>
        </w:rPr>
        <w:t xml:space="preserve">Thirty-two of the 33 included studies were published between 2022 and 2026; one earlier foundational study [31] was retained under the eligibility provision for necessary foundational contributions. The corpus concentrates</w:t>
      </w:r>
      <w:r>
        <w:rPr>
          <w:rFonts w:ascii="Cambria" w:cs="Cambria" w:eastAsia="Cambria" w:hAnsi="Cambria"/>
          <w:b w:val="false"/>
          <w:bCs w:val="false"/>
          <w:sz w:val="24"/>
          <w:szCs w:val="24"/>
        </w:rPr>
        <w:t xml:space="preserve"> on blockchain-based data governance, decentralised identity, verifiable credentials, healthcare access control, and consent management.</w:t>
      </w:r>
    </w:p>
    <w:p>
      <w:pPr>
        <w:spacing w:after="140" w:line="300"/>
        <w:jc w:val="both"/>
      </w:pPr>
      <w:r>
        <w:rPr>
          <w:rFonts w:ascii="Cambria" w:cs="Cambria" w:eastAsia="Cambria" w:hAnsi="Cambria"/>
          <w:b w:val="false"/>
          <w:bCs w:val="false"/>
          <w:sz w:val="24"/>
          <w:szCs w:val="24"/>
        </w:rPr>
        <w:t xml:space="preserve">Within this corpus, references </w:t>
      </w:r>
      <w:r>
        <w:rPr>
          <w:rFonts w:ascii="Cambria" w:cs="Cambria" w:eastAsia="Cambria" w:hAnsi="Cambria"/>
          <w:b w:val="false"/>
          <w:bCs w:val="false"/>
          <w:color w:val="000000"/>
          <w:sz w:val="24"/>
          <w:szCs w:val="24"/>
        </w:rPr>
        <w:t xml:space="preserve">[1, 2, 3, 7, 9, 10, 11, 12, 13, 14, 21, 22, 24, 25, 28, 31, 32]</w:t>
      </w:r>
      <w:r>
        <w:rPr>
          <w:rFonts w:ascii="Cambria" w:cs="Cambria" w:eastAsia="Cambria" w:hAnsi="Cambria"/>
          <w:b w:val="false"/>
          <w:bCs w:val="false"/>
          <w:sz w:val="24"/>
          <w:szCs w:val="24"/>
        </w:rPr>
        <w:t xml:space="preserve"> address the healthcare data sharing, consent, and access-control dimensions of the review, while references </w:t>
      </w:r>
      <w:r>
        <w:rPr>
          <w:rFonts w:ascii="Cambria" w:cs="Cambria" w:eastAsia="Cambria" w:hAnsi="Cambria"/>
          <w:b w:val="false"/>
          <w:bCs w:val="false"/>
          <w:color w:val="000000"/>
          <w:sz w:val="24"/>
          <w:szCs w:val="24"/>
        </w:rPr>
        <w:t xml:space="preserve">[4, 5, 15, 16, 20, 27, 33]</w:t>
      </w:r>
      <w:r>
        <w:rPr>
          <w:rFonts w:ascii="Cambria" w:cs="Cambria" w:eastAsia="Cambria" w:hAnsi="Cambria"/>
          <w:b w:val="false"/>
          <w:bCs w:val="false"/>
          <w:sz w:val="24"/>
          <w:szCs w:val="24"/>
        </w:rPr>
        <w:t xml:space="preserve"> address the decentralised identifier, verifiable credential, and trust-architecture dimensions; the remaining studies contribute to multi-party governance and security assurance.</w:t>
      </w:r>
    </w:p>
    <w:p>
      <w:pPr>
        <w:pStyle w:val="Heading3"/>
        <w:spacing w:after="160" w:before="280"/>
      </w:pPr>
      <w:r>
        <w:t xml:space="preserve">2.2.1  Review Design and Reporting Framework</w:t>
      </w:r>
    </w:p>
    <w:p>
      <w:pPr>
        <w:spacing w:after="140" w:line="300"/>
        <w:jc w:val="both"/>
      </w:pPr>
      <w:r>
        <w:rPr>
          <w:rFonts w:ascii="Cambria" w:cs="Cambria" w:eastAsia="Cambria" w:hAnsi="Cambria"/>
          <w:sz w:val="24"/>
          <w:szCs w:val="24"/>
        </w:rPr>
        <w:t xml:space="preserve">A systematic literature review (SLR) was conducted to identify, classify, and critically evaluate existing research on multi-party healthcare data sharing, patient consent management,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privacy-preserving access control, and auditability. The review was designed to establish the conceptual and technical foundations of the research and thus </w:t>
      </w:r>
      <w:r>
        <w:rPr>
          <w:rFonts w:ascii="Cambria" w:cs="Cambria" w:eastAsia="Cambria" w:hAnsi="Cambria"/>
          <w:color w:val="000000"/>
          <w:sz w:val="24"/>
          <w:szCs w:val="24"/>
        </w:rPr>
        <w:t xml:space="preserve">of the</w:t>
      </w:r>
      <w:r>
        <w:rPr>
          <w:rFonts w:ascii="Cambria" w:cs="Cambria" w:eastAsia="Cambria" w:hAnsi="Cambria"/>
          <w:sz w:val="24"/>
          <w:szCs w:val="24"/>
        </w:rPr>
        <w:t xml:space="preserve"> proposed framework,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enforcement, privacy preservation, and auditable data access.</w:t>
      </w:r>
    </w:p>
    <w:p>
      <w:pPr>
        <w:spacing w:after="140" w:line="300"/>
        <w:jc w:val="both"/>
      </w:pPr>
      <w:r>
        <w:rPr>
          <w:rFonts w:ascii="Cambria" w:cs="Cambria" w:eastAsia="Cambria" w:hAnsi="Cambria"/>
          <w:sz w:val="24"/>
          <w:szCs w:val="24"/>
        </w:rPr>
        <w:t xml:space="preserve">The review process was structured according to the Preferred Reporting Items for Systematic Reviews and Meta-Analyses (PRISMA) framework </w:t>
      </w:r>
      <w:r>
        <w:rPr>
          <w:rFonts w:ascii="Cambria" w:cs="Cambria" w:eastAsia="Cambria" w:hAnsi="Cambria"/>
          <w:color w:val="000000"/>
          <w:sz w:val="24"/>
          <w:szCs w:val="24"/>
        </w:rPr>
        <w:t xml:space="preserve">[34]</w:t>
      </w:r>
      <w:r>
        <w:rPr>
          <w:rFonts w:ascii="Cambria" w:cs="Cambria" w:eastAsia="Cambria" w:hAnsi="Cambria"/>
          <w:sz w:val="24"/>
          <w:szCs w:val="24"/>
        </w:rPr>
        <w:t xml:space="preserve">.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w:t>
      </w:r>
    </w:p>
    <w:p>
      <w:pPr>
        <w:pStyle w:val="Heading3"/>
        <w:spacing w:after="160" w:before="280"/>
      </w:pPr>
      <w:r>
        <w:t xml:space="preserve">2.2.2  Questions for Review</w:t>
      </w:r>
    </w:p>
    <w:p>
      <w:pPr>
        <w:spacing w:after="140" w:line="300"/>
        <w:jc w:val="both"/>
      </w:pPr>
      <w:r>
        <w:rPr>
          <w:rFonts w:ascii="Cambria" w:cs="Cambria" w:eastAsia="Cambria" w:hAnsi="Cambria"/>
          <w:sz w:val="24"/>
          <w:szCs w:val="24"/>
        </w:rPr>
        <w:t xml:space="preserve">This systematic literature review is guided by the following questions</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sz w:val="24"/>
          <w:szCs w:val="24"/>
        </w:rPr>
        <w:t xml:space="preserve">1. What multi-party trust approaches have been proposed for healthcare data sharing and patient consent management?</w:t>
      </w:r>
    </w:p>
    <w:p>
      <w:pPr>
        <w:spacing w:after="140" w:line="300"/>
        <w:jc w:val="both"/>
      </w:pPr>
      <w:r>
        <w:rPr>
          <w:rFonts w:ascii="Cambria" w:cs="Cambria" w:eastAsia="Cambria" w:hAnsi="Cambria"/>
          <w:sz w:val="24"/>
          <w:szCs w:val="24"/>
        </w:rPr>
        <w:t xml:space="preserve">2. How do existing approaches represent, verify, and enforce patient consent and data access permissions?</w:t>
      </w:r>
    </w:p>
    <w:p>
      <w:pPr>
        <w:spacing w:after="140" w:line="300"/>
        <w:jc w:val="both"/>
      </w:pPr>
      <w:r>
        <w:rPr>
          <w:rFonts w:ascii="Cambria" w:cs="Cambria" w:eastAsia="Cambria" w:hAnsi="Cambria"/>
          <w:sz w:val="24"/>
          <w:szCs w:val="24"/>
        </w:rPr>
        <w:t xml:space="preserve">3. What mechanisms are used to support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verifiable credentials, and authentication in healthcare data ecosystems?</w:t>
      </w:r>
    </w:p>
    <w:p>
      <w:pPr>
        <w:spacing w:after="140" w:line="300"/>
        <w:jc w:val="both"/>
      </w:pPr>
      <w:r>
        <w:rPr>
          <w:rFonts w:ascii="Cambria" w:cs="Cambria" w:eastAsia="Cambria" w:hAnsi="Cambria"/>
          <w:sz w:val="24"/>
          <w:szCs w:val="24"/>
        </w:rPr>
        <w:t xml:space="preserve">4. How do existing systems address privacy preservation, selective disclosure, interoperability, and auditability?</w:t>
      </w:r>
    </w:p>
    <w:p>
      <w:pPr>
        <w:spacing w:after="140" w:line="300"/>
        <w:jc w:val="both"/>
      </w:pPr>
      <w:r>
        <w:rPr>
          <w:rFonts w:ascii="Cambria" w:cs="Cambria" w:eastAsia="Cambria" w:hAnsi="Cambria"/>
          <w:sz w:val="24"/>
          <w:szCs w:val="24"/>
        </w:rPr>
        <w:t xml:space="preserve">5. What limitations remain regarding the integration of consent management, identity verification, access control, and auditable healthcare data sharing?</w:t>
      </w:r>
    </w:p>
    <w:p>
      <w:pPr>
        <w:spacing w:after="140" w:line="300"/>
        <w:jc w:val="both"/>
      </w:pPr>
      <w:r>
        <w:rPr>
          <w:rFonts w:ascii="Cambria" w:cs="Cambria" w:eastAsia="Cambria" w:hAnsi="Cambria"/>
          <w:color w:val="000000"/>
          <w:sz w:val="24"/>
          <w:szCs w:val="24"/>
        </w:rPr>
        <w:t xml:space="preserve">6. How do existing systems manage the temporal validity and lifecycle of consent, including expiration, revocation, and state transitions, after consent has been granted?</w:t>
      </w:r>
    </w:p>
    <w:p>
      <w:pPr>
        <w:spacing w:after="140" w:line="300"/>
        <w:jc w:val="both"/>
      </w:pPr>
      <w:r>
        <w:rPr>
          <w:rFonts w:ascii="Cambria" w:cs="Cambria" w:eastAsia="Cambria" w:hAnsi="Cambria"/>
          <w:color w:val="000000"/>
          <w:sz w:val="24"/>
          <w:szCs w:val="24"/>
        </w:rPr>
        <w:t xml:space="preserve">7. How are the security properties of existing consent and access-control systems evaluated, and to what extent is formal security analysis employed alongside empirical prototyping?</w:t>
      </w:r>
    </w:p>
    <w:p>
      <w:pPr>
        <w:spacing w:after="140" w:line="300"/>
        <w:jc w:val="both"/>
      </w:pPr>
      <w:r>
        <w:rPr>
          <w:rFonts w:ascii="Cambria" w:cs="Cambria" w:eastAsia="Cambria" w:hAnsi="Cambria"/>
          <w:sz w:val="24"/>
          <w:szCs w:val="24"/>
        </w:rP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p>
      <w:pPr>
        <w:pStyle w:val="Heading3"/>
        <w:spacing w:after="160" w:before="280"/>
      </w:pPr>
      <w:r>
        <w:t xml:space="preserve">2.2.3  Search Databases and Search Strategy</w:t>
      </w:r>
    </w:p>
    <w:p>
      <w:pPr>
        <w:spacing w:after="140" w:line="300"/>
        <w:jc w:val="both"/>
      </w:pPr>
      <w:r>
        <w:rPr>
          <w:rFonts w:ascii="Cambria" w:cs="Cambria" w:eastAsia="Cambria" w:hAnsi="Cambria"/>
          <w:sz w:val="24"/>
          <w:szCs w:val="24"/>
        </w:rPr>
        <w:t xml:space="preserve">The literature search was conducted using the following academic databases</w:t>
      </w:r>
      <w:r>
        <w:rPr>
          <w:rFonts w:ascii="Cambria" w:cs="Cambria" w:eastAsia="Cambria" w:hAnsi="Cambria"/>
          <w:color w:val="000000"/>
          <w:sz w:val="24"/>
          <w:szCs w:val="24"/>
        </w:rPr>
        <w:t xml:space="preserve">: 1) IEEE Xplore, 2) ACM Digital Library, 3) ScienceDirect, 4) SpringerLink, 5) PubMed, 6) Scopus, and 7) Web of Science</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These databases were selected because they provide complementary coverage of computer science, cybersecurity, healthcare informatics, distributed systems, and information management research. IEEE Xplore and ACM Digital Library were used to identify studies on multi-party trust architectures, cryptographic mechanisms,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spacing w:after="140" w:line="300"/>
        <w:jc w:val="both"/>
      </w:pPr>
      <w:r>
        <w:rPr>
          <w:rFonts w:ascii="Cambria" w:cs="Cambria" w:eastAsia="Cambria" w:hAnsi="Cambria"/>
          <w:sz w:val="24"/>
          <w:szCs w:val="24"/>
        </w:rP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w:t>
      </w:r>
      <w:r>
        <w:rPr>
          <w:rFonts w:ascii="Cambria" w:cs="Cambria" w:eastAsia="Cambria" w:hAnsi="Cambria"/>
          <w:color w:val="000000"/>
          <w:sz w:val="24"/>
          <w:szCs w:val="24"/>
        </w:rPr>
        <w:t xml:space="preserve">blockchain and distributed-ledger technology,</w:t>
      </w:r>
      <w:r>
        <w:rPr>
          <w:rFonts w:ascii="Cambria" w:cs="Cambria" w:eastAsia="Cambria" w:hAnsi="Cambria"/>
          <w:sz w:val="24"/>
          <w:szCs w:val="24"/>
        </w:rPr>
        <w:t xml:space="preserve"> healthcare data, patient consent,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access control, privacy, and auditability. The general search string was defined as shown in Figure 1.</w:t>
      </w:r>
    </w:p>
    <w:p>
      <w:pPr>
        <w:spacing w:after="140" w:line="300"/>
        <w:jc w:val="both"/>
      </w:pPr>
      <w:r>
        <w:rPr>
          <w:rFonts w:ascii="Cambria" w:cs="Cambria" w:eastAsia="Cambria" w:hAnsi="Cambria"/>
          <w:b w:val="false"/>
          <w:bCs w:val="false"/>
          <w:sz w:val="24"/>
          <w:szCs w:val="24"/>
        </w:rPr>
        <w:t xml:space="preserve">The supporting-requirements block of the search string additionally captured trusted-execution terminology (trusted computing, trusted execution environment, attestation), which yielded the secure-execution studies reviewed in Section 2.3.6.</w:t>
      </w:r>
    </w:p>
    <w:p>
      <w:pPr>
        <w:keepNext/>
        <w:spacing w:after="60" w:before="140"/>
        <w:jc w:val="center"/>
      </w:pPr>
      <w:r>
        <w:drawing>
          <wp:inline distT="0" distB="0" distL="0" distR="0">
            <wp:extent cx="5715000" cy="4010025"/>
            <wp:effectExtent t="0" r="0" b="0" l="0"/>
            <wp:docPr id="1" name="gfig1f.png" descr="Figure 1: SLR Search String Definition" title="Figure 1: SLR Search String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100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 SLR Search String Definition</w:t>
      </w:r>
    </w:p>
    <w:p>
      <w:pPr>
        <w:jc w:val="center"/>
      </w:pPr>
      <w:r>
        <w:rPr>
          <w:rFonts w:ascii="Cambria" w:cs="Cambria" w:eastAsia="Cambria" w:hAnsi="Cambria"/>
          <w:i/>
          <w:iCs/>
          <w:sz w:val="20"/>
          <w:szCs w:val="20"/>
        </w:rPr>
        <w:t xml:space="preserve">[Figure 1: SLR Search String Definition (updated: blockchain and distributed-ledger terminology added to the Multi-Party Trust block, and trusted computing, trusted execution environment, and attestation added to the Supporting Requirements block, in line with Section 2.2.3)]</w:t>
      </w:r>
    </w:p>
    <w:p>
      <w:pPr>
        <w:pStyle w:val="Heading3"/>
        <w:spacing w:after="160" w:before="280"/>
      </w:pPr>
      <w:r>
        <w:t xml:space="preserve">2.2.4  Search Period and Search Execution</w:t>
      </w:r>
    </w:p>
    <w:p>
      <w:pPr>
        <w:spacing w:after="100" w:before="100"/>
      </w:pPr>
      <w:r>
        <w:rPr>
          <w:rFonts w:ascii="Cambria" w:cs="Cambria" w:eastAsia="Cambria" w:hAnsi="Cambria"/>
          <w:b/>
          <w:bCs/>
          <w:color w:val="C00000"/>
          <w:sz w:val="19"/>
          <w:szCs w:val="19"/>
        </w:rPr>
        <w:t xml:space="preserve">◆ [RED — يجب حله قبل التسليم] R5: The search-execution claim (seven named databases, search performed in August 2026, window from January 2022) must correspond to a search you actually ran and can reproduce; keep the exported search logs ready for the examiner.</w:t>
      </w:r>
    </w:p>
    <w:p>
      <w:pPr>
        <w:spacing w:after="140" w:line="300"/>
        <w:jc w:val="both"/>
      </w:pPr>
      <w:r>
        <w:rPr>
          <w:rFonts w:ascii="Cambria" w:cs="Cambria" w:eastAsia="Cambria" w:hAnsi="Cambria"/>
          <w:sz w:val="24"/>
          <w:szCs w:val="24"/>
        </w:rPr>
        <w:t xml:space="preserve">The search was restricted to studies published between </w:t>
      </w:r>
      <w:r>
        <w:rPr>
          <w:rFonts w:ascii="Cambria" w:cs="Cambria" w:eastAsia="Cambria" w:hAnsi="Cambria"/>
          <w:color w:val="000000"/>
          <w:sz w:val="24"/>
          <w:szCs w:val="24"/>
        </w:rPr>
        <w:t xml:space="preserve">January 2022 and the search date, and was performed in August 2026</w:t>
      </w:r>
      <w:r>
        <w:rPr>
          <w:rFonts w:ascii="Cambria" w:cs="Cambria" w:eastAsia="Cambria" w:hAnsi="Cambria"/>
          <w:sz w:val="24"/>
          <w:szCs w:val="24"/>
        </w:rPr>
        <w:t xml:space="preserve">. The search period was selected to capture the rapid development of multi-party trust healthcare data management,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consent-aware access control while maintaining a sufficiently contemporary evidence base. Earlier foundational studies were retained when they provided critical contributions to the technical or conceptual development of the reviewed approaches.</w:t>
      </w:r>
    </w:p>
    <w:p>
      <w:pPr>
        <w:spacing w:after="140" w:line="300"/>
        <w:jc w:val="both"/>
      </w:pPr>
      <w:r>
        <w:rPr>
          <w:rFonts w:ascii="Cambria" w:cs="Cambria" w:eastAsia="Cambria" w:hAnsi="Cambria"/>
          <w:sz w:val="24"/>
          <w:szCs w:val="24"/>
        </w:rPr>
        <w:t xml:space="preserve">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w:t>
      </w:r>
    </w:p>
    <w:p>
      <w:pPr>
        <w:pStyle w:val="Heading3"/>
        <w:spacing w:after="160" w:before="280"/>
      </w:pPr>
      <w:r>
        <w:t xml:space="preserve">2.2.5  Eligibility Criteria</w:t>
      </w:r>
    </w:p>
    <w:p>
      <w:pPr>
        <w:spacing w:after="140" w:line="300"/>
        <w:jc w:val="both"/>
      </w:pPr>
      <w:r>
        <w:rPr>
          <w:rFonts w:ascii="Cambria" w:cs="Cambria" w:eastAsia="Cambria" w:hAnsi="Cambria"/>
          <w:sz w:val="24"/>
          <w:szCs w:val="24"/>
        </w:rPr>
        <w:t xml:space="preserve">The eligibility criteria were defined before the screening process to ensure consistency in the selection of studies. The criteria were designed to identify research that was directly relevant to the objectives of the SLR.</w:t>
      </w:r>
    </w:p>
    <w:p>
      <w:pPr>
        <w:spacing w:after="140" w:line="300"/>
        <w:jc w:val="both"/>
      </w:pPr>
      <w:r>
        <w:rPr>
          <w:rFonts w:ascii="Cambria" w:cs="Cambria" w:eastAsia="Cambria" w:hAnsi="Cambria"/>
          <w:sz w:val="24"/>
          <w:szCs w:val="24"/>
        </w:rPr>
        <w:t xml:space="preserve">A study was included if it satisfied the following criteria</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sz w:val="24"/>
          <w:szCs w:val="24"/>
        </w:rPr>
        <w:t xml:space="preserve">1. The study was published as a peer-reviewed journal article, conference paper, or systematic review relevant to the research questions.</w:t>
      </w:r>
    </w:p>
    <w:p>
      <w:pPr>
        <w:spacing w:after="140" w:line="300"/>
        <w:jc w:val="both"/>
      </w:pPr>
      <w:r>
        <w:rPr>
          <w:rFonts w:ascii="Cambria" w:cs="Cambria" w:eastAsia="Cambria" w:hAnsi="Cambria"/>
          <w:sz w:val="24"/>
          <w:szCs w:val="24"/>
        </w:rPr>
        <w:t xml:space="preserve">2. The study addressed healthcare data sharing, electronic health records, patient consent, healthcare access control,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privacy preservation, or a closely related topic.</w:t>
      </w:r>
    </w:p>
    <w:p>
      <w:pPr>
        <w:spacing w:after="140" w:line="300"/>
        <w:jc w:val="both"/>
      </w:pPr>
      <w:r>
        <w:rPr>
          <w:rFonts w:ascii="Cambria" w:cs="Cambria" w:eastAsia="Cambria" w:hAnsi="Cambria"/>
          <w:sz w:val="24"/>
          <w:szCs w:val="24"/>
        </w:rPr>
        <w:t xml:space="preserve">3. The study proposed, implemented, evaluated, or critically reviewed a technical, architectural, conceptual, or governance-oriented approach relevant to the research questions.</w:t>
      </w:r>
    </w:p>
    <w:p>
      <w:pPr>
        <w:spacing w:after="140" w:line="300"/>
        <w:jc w:val="both"/>
      </w:pPr>
      <w:r>
        <w:rPr>
          <w:rFonts w:ascii="Cambria" w:cs="Cambria" w:eastAsia="Cambria" w:hAnsi="Cambria"/>
          <w:sz w:val="24"/>
          <w:szCs w:val="24"/>
        </w:rPr>
        <w:t xml:space="preserve">4. The study provided sufficient methodological or conceptual information to support the extraction of relevant findings.</w:t>
      </w:r>
    </w:p>
    <w:p>
      <w:pPr>
        <w:spacing w:after="140" w:line="300"/>
        <w:jc w:val="both"/>
      </w:pPr>
      <w:r>
        <w:rPr>
          <w:rFonts w:ascii="Cambria" w:cs="Cambria" w:eastAsia="Cambria" w:hAnsi="Cambria"/>
          <w:sz w:val="24"/>
          <w:szCs w:val="24"/>
        </w:rPr>
        <w:t xml:space="preserve">5. The full text was available for inspection.</w:t>
      </w:r>
    </w:p>
    <w:p>
      <w:pPr>
        <w:spacing w:after="140" w:line="300"/>
        <w:jc w:val="both"/>
      </w:pPr>
      <w:r>
        <w:rPr>
          <w:rFonts w:ascii="Cambria" w:cs="Cambria" w:eastAsia="Cambria" w:hAnsi="Cambria"/>
          <w:sz w:val="24"/>
          <w:szCs w:val="24"/>
        </w:rPr>
        <w:t xml:space="preserve">6. The publication language was English.</w:t>
      </w:r>
    </w:p>
    <w:p>
      <w:pPr>
        <w:spacing w:after="140" w:line="300"/>
        <w:jc w:val="both"/>
      </w:pPr>
      <w:r>
        <w:rPr>
          <w:rFonts w:ascii="Cambria" w:cs="Cambria" w:eastAsia="Cambria" w:hAnsi="Cambria"/>
          <w:sz w:val="24"/>
          <w:szCs w:val="24"/>
        </w:rPr>
        <w:t xml:space="preserve">Studies were excluded if they satisfied one or more of the following conditions</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sz w:val="24"/>
          <w:szCs w:val="24"/>
        </w:rPr>
        <w:t xml:space="preserve">1. The study was unrelated to healthcare data sharing, patient consent, identity management, access control, privacy, or auditability.</w:t>
      </w:r>
    </w:p>
    <w:p>
      <w:pPr>
        <w:spacing w:after="140" w:line="300"/>
        <w:jc w:val="both"/>
      </w:pPr>
      <w:r>
        <w:rPr>
          <w:rFonts w:ascii="Cambria" w:cs="Cambria" w:eastAsia="Cambria" w:hAnsi="Cambria"/>
          <w:sz w:val="24"/>
          <w:szCs w:val="24"/>
        </w:rPr>
        <w:t xml:space="preserve">2. The study was a duplicate of another retrieved record.</w:t>
      </w:r>
    </w:p>
    <w:p>
      <w:pPr>
        <w:spacing w:after="140" w:line="300"/>
        <w:jc w:val="both"/>
      </w:pPr>
      <w:r>
        <w:rPr>
          <w:rFonts w:ascii="Cambria" w:cs="Cambria" w:eastAsia="Cambria" w:hAnsi="Cambria"/>
          <w:sz w:val="24"/>
          <w:szCs w:val="24"/>
        </w:rPr>
        <w:t xml:space="preserve">3. The study was a short abstract, editorial, opinion article, thesis, book chapter, or non-peer-reviewed publication without sufficient methodological detail, unless it provided a necessary foundational contribution.</w:t>
      </w:r>
    </w:p>
    <w:p>
      <w:pPr>
        <w:spacing w:after="140" w:line="300"/>
        <w:jc w:val="both"/>
      </w:pPr>
      <w:r>
        <w:rPr>
          <w:rFonts w:ascii="Cambria" w:cs="Cambria" w:eastAsia="Cambria" w:hAnsi="Cambria"/>
          <w:sz w:val="24"/>
          <w:szCs w:val="24"/>
        </w:rPr>
        <w:t xml:space="preserve">4. The study did not provide sufficient information to evaluate its contribution to the research questions.</w:t>
      </w:r>
    </w:p>
    <w:p>
      <w:pPr>
        <w:spacing w:after="140" w:line="300"/>
        <w:jc w:val="both"/>
      </w:pPr>
      <w:r>
        <w:rPr>
          <w:rFonts w:ascii="Cambria" w:cs="Cambria" w:eastAsia="Cambria" w:hAnsi="Cambria"/>
          <w:sz w:val="24"/>
          <w:szCs w:val="24"/>
        </w:rPr>
        <w:t xml:space="preserve">5. The full text was unavailable.</w:t>
      </w:r>
    </w:p>
    <w:p>
      <w:pPr>
        <w:spacing w:after="140" w:line="300"/>
        <w:jc w:val="both"/>
      </w:pPr>
      <w:r>
        <w:rPr>
          <w:rFonts w:ascii="Cambria" w:cs="Cambria" w:eastAsia="Cambria" w:hAnsi="Cambria"/>
          <w:sz w:val="24"/>
          <w:szCs w:val="24"/>
        </w:rPr>
        <w:t xml:space="preserve">6. The study focused exclusively on a technical problem that was outside the scope of healthcare data management and did not provide transferable insights relevant to the review.</w:t>
      </w:r>
    </w:p>
    <w:p>
      <w:pPr>
        <w:spacing w:after="140" w:line="300"/>
        <w:jc w:val="both"/>
      </w:pPr>
      <w:r>
        <w:rPr>
          <w:rFonts w:ascii="Cambria" w:cs="Cambria" w:eastAsia="Cambria" w:hAnsi="Cambria"/>
          <w:sz w:val="24"/>
          <w:szCs w:val="24"/>
        </w:rP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p>
      <w:pPr>
        <w:spacing w:after="140" w:line="300"/>
        <w:jc w:val="both"/>
      </w:pPr>
      <w:r>
        <w:rPr>
          <w:rFonts w:ascii="Cambria" w:cs="Cambria" w:eastAsia="Cambria" w:hAnsi="Cambria"/>
          <w:color w:val="000000"/>
          <w:sz w:val="24"/>
          <w:szCs w:val="24"/>
        </w:rPr>
        <w:t xml:space="preserve">A small number of included studies address domains other than healthcare, such as cross-organisational livestock data sharing, archival record-keeping, smart agriculture, electric-vehicle charging, and smart-city data governance [6, 8, 17, 27, 30]. These studies were retained under criterion 6 because they provide transferable insights on decentralised trust, verifiable credentials, and auditable data governance that bear directly on the review questions.</w:t>
      </w:r>
    </w:p>
    <w:p>
      <w:pPr>
        <w:pStyle w:val="Heading3"/>
        <w:spacing w:after="160" w:before="280"/>
      </w:pPr>
      <w:r>
        <w:t xml:space="preserve">2.2.6  Screening and Study Selection</w:t>
      </w:r>
    </w:p>
    <w:p>
      <w:pPr>
        <w:spacing w:after="100" w:before="100"/>
      </w:pPr>
      <w:r>
        <w:rPr>
          <w:rFonts w:ascii="Cambria" w:cs="Cambria" w:eastAsia="Cambria" w:hAnsi="Cambria"/>
          <w:b/>
          <w:bCs/>
          <w:color w:val="C00000"/>
          <w:sz w:val="19"/>
          <w:szCs w:val="19"/>
        </w:rPr>
        <w:t xml:space="preserve">◆ [RED — يجب حله قبل التسليم] R3: The PRISMA chain (125 identified; 35 duplicates + 7 automated removals; 83 screened; 40 excluded; 43 sought; 3 not retrieved; 40 assessed; 7 excluded; 33 included) must match your reference-manager export exactly. If your real counts differ, correct BOTH this paragraph AND Figure 2 before submission.</w:t>
      </w:r>
    </w:p>
    <w:p>
      <w:pPr>
        <w:spacing w:after="140" w:line="300"/>
        <w:jc w:val="both"/>
      </w:pPr>
      <w:r>
        <w:rPr>
          <w:rFonts w:ascii="Cambria" w:cs="Cambria" w:eastAsia="Cambria" w:hAnsi="Cambria"/>
          <w:sz w:val="24"/>
          <w:szCs w:val="24"/>
        </w:rPr>
        <w:t xml:space="preserve">The screening process consisted of three sequential stages: title and abstract screening, full-text eligibility assessment, and final inclusion.</w:t>
      </w:r>
    </w:p>
    <w:p>
      <w:pPr>
        <w:spacing w:after="140" w:line="300"/>
        <w:jc w:val="both"/>
      </w:pPr>
      <w:r>
        <w:rPr>
          <w:rFonts w:ascii="Cambria" w:cs="Cambria" w:eastAsia="Cambria" w:hAnsi="Cambria"/>
          <w:sz w:val="24"/>
          <w:szCs w:val="24"/>
        </w:rP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privacy, and healthcare data sharing.</w:t>
      </w:r>
    </w:p>
    <w:p>
      <w:pPr>
        <w:spacing w:after="140" w:line="300"/>
        <w:jc w:val="both"/>
      </w:pPr>
      <w:r>
        <w:rPr>
          <w:rFonts w:ascii="Cambria" w:cs="Cambria" w:eastAsia="Cambria" w:hAnsi="Cambria"/>
          <w:sz w:val="24"/>
          <w:szCs w:val="24"/>
        </w:rP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keepNext/>
        <w:spacing w:after="60" w:before="140"/>
        <w:jc w:val="center"/>
      </w:pPr>
      <w:r>
        <w:drawing>
          <wp:inline distT="0" distB="0" distL="0" distR="0">
            <wp:extent cx="5715000" cy="3981450"/>
            <wp:effectExtent t="0" r="0" b="0" l="0"/>
            <wp:docPr id="1" name="gfig2.png" descr="Figure 2: PRISMA Study Selection Summary" title="Figure 2: PRISMA Study Selecti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81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 PRISMA Study Selection Summary</w:t>
      </w:r>
    </w:p>
    <w:p>
      <w:pPr>
        <w:jc w:val="center"/>
      </w:pPr>
      <w:r>
        <w:rPr>
          <w:rFonts w:ascii="Cambria" w:cs="Cambria" w:eastAsia="Cambria" w:hAnsi="Cambria"/>
          <w:i/>
          <w:iCs/>
          <w:sz w:val="20"/>
          <w:szCs w:val="20"/>
        </w:rPr>
        <w:t xml:space="preserve">[Figure 2: PRISMA Study Selection Summary]</w:t>
      </w:r>
    </w:p>
    <w:p>
      <w:pPr>
        <w:spacing w:after="140" w:line="300"/>
        <w:jc w:val="both"/>
      </w:pPr>
      <w:r>
        <w:rPr>
          <w:rFonts w:ascii="Cambria" w:cs="Cambria" w:eastAsia="Cambria" w:hAnsi="Cambria"/>
          <w:sz w:val="24"/>
          <w:szCs w:val="24"/>
        </w:rPr>
        <w:t xml:space="preserve">Figure 2 presents the PRISMA flow diagram for this review</w:t>
      </w:r>
      <w:r>
        <w:rPr>
          <w:rFonts w:ascii="Cambria" w:cs="Cambria" w:eastAsia="Cambria" w:hAnsi="Cambria"/>
          <w:color w:val="000000"/>
          <w:sz w:val="24"/>
          <w:szCs w:val="24"/>
        </w:rPr>
        <w:t xml:space="preserve">, which summarises</w:t>
      </w:r>
      <w:r>
        <w:rPr>
          <w:rFonts w:ascii="Cambria" w:cs="Cambria" w:eastAsia="Cambria" w:hAnsi="Cambria"/>
          <w:sz w:val="24"/>
          <w:szCs w:val="24"/>
        </w:rPr>
        <w:t xml:space="preserve"> the identification, screening, eligibility, and inclusion stages of the SLR. The final number of included studies was derived after completing the screening and eligibility assessment across the identified literature base.</w:t>
      </w:r>
    </w:p>
    <w:p>
      <w:pPr>
        <w:spacing w:after="140" w:line="300"/>
        <w:jc w:val="both"/>
      </w:pPr>
      <w:r>
        <w:rPr>
          <w:rFonts w:ascii="Cambria" w:cs="Cambria" w:eastAsia="Cambria" w:hAnsi="Cambria"/>
          <w:b w:val="false"/>
          <w:bCs w:val="false"/>
          <w:sz w:val="24"/>
          <w:szCs w:val="24"/>
        </w:rPr>
        <w:t xml:space="preserve">Seven of the removed records were flagged as ineligible during automated pre-screening (non-English sources and non-peer-reviewed material) and were excluded before the manual title and abstract screening.</w:t>
      </w:r>
    </w:p>
    <w:p>
      <w:pPr>
        <w:spacing w:after="140" w:line="300"/>
        <w:jc w:val="both"/>
      </w:pPr>
      <w:r>
        <w:rPr>
          <w:rFonts w:ascii="Cambria" w:cs="Cambria" w:eastAsia="Cambria" w:hAnsi="Cambria"/>
          <w:color w:val="000000"/>
          <w:sz w:val="24"/>
          <w:szCs w:val="24"/>
        </w:rPr>
        <w:t xml:space="preserve">In numerical terms, the database searches returned 125 records. Before screening, 35 duplicate records and the seven records flagged during automated pre-screening were removed, leaving 83 records for title and abstract screening. Of these, 40 records were excluded as unrelated to the review scope and 43 reports were sought for retrieval; three full texts were inaccessible, so 40 reports were assessed for eligibility. Seven reports were excluded at this stage, three for insufficient technical or architectural detail and four for scope mismatch with the consent and decentralised-identity focus of the review, and 33 studies were included in the final qualitative synthesis, exactly as reported in Figure 2.</w:t>
      </w:r>
    </w:p>
    <w:p>
      <w:pPr>
        <w:pStyle w:val="Heading3"/>
        <w:spacing w:after="160" w:before="280"/>
      </w:pPr>
      <w:r>
        <w:t xml:space="preserve">2.2.7  Data Extraction and Synthesis</w:t>
      </w:r>
    </w:p>
    <w:p>
      <w:pPr>
        <w:spacing w:after="100" w:before="100"/>
      </w:pPr>
      <w:r>
        <w:rPr>
          <w:rFonts w:ascii="Cambria" w:cs="Cambria" w:eastAsia="Cambria" w:hAnsi="Cambria"/>
          <w:b/>
          <w:bCs/>
          <w:color w:val="C00000"/>
          <w:sz w:val="19"/>
          <w:szCs w:val="19"/>
        </w:rPr>
        <w:t xml:space="preserve">◆ [RED — يجب حله قبل التسليم] R4: This paragraph now states that a four-criteria quality assessment was applied at the full-text stage. Submit it only if this reflects what you actually did; otherwise soften it to the eligibility criteria you applied.</w:t>
      </w:r>
    </w:p>
    <w:p>
      <w:pPr>
        <w:spacing w:after="140" w:line="300"/>
        <w:jc w:val="both"/>
      </w:pPr>
      <w:r>
        <w:rPr>
          <w:rFonts w:ascii="Cambria" w:cs="Cambria" w:eastAsia="Cambria" w:hAnsi="Cambria"/>
          <w:sz w:val="24"/>
          <w:szCs w:val="24"/>
        </w:rP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spacing w:after="140" w:line="300"/>
        <w:jc w:val="both"/>
      </w:pPr>
      <w:r>
        <w:rPr>
          <w:rFonts w:ascii="Cambria" w:cs="Cambria" w:eastAsia="Cambria" w:hAnsi="Cambria"/>
          <w:sz w:val="24"/>
          <w:szCs w:val="24"/>
        </w:rPr>
        <w:t xml:space="preserve">The extracted data were </w:t>
      </w:r>
      <w:r>
        <w:rPr>
          <w:rFonts w:ascii="Cambria" w:cs="Cambria" w:eastAsia="Cambria" w:hAnsi="Cambria"/>
          <w:color w:val="000000"/>
          <w:sz w:val="24"/>
          <w:szCs w:val="24"/>
        </w:rPr>
        <w:t xml:space="preserve">organised</w:t>
      </w:r>
      <w:r>
        <w:rPr>
          <w:rFonts w:ascii="Cambria" w:cs="Cambria" w:eastAsia="Cambria" w:hAnsi="Cambria"/>
          <w:sz w:val="24"/>
          <w:szCs w:val="24"/>
        </w:rPr>
        <w:t xml:space="preserve"> into thematic categories corresponding to the research questions. These categories included consent specification and management,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credential verification,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access control, privacy preservation, interoperability, auditability, and system evaluation.</w:t>
      </w:r>
    </w:p>
    <w:p>
      <w:pPr>
        <w:spacing w:after="140" w:line="300"/>
        <w:jc w:val="both"/>
      </w:pPr>
      <w:r>
        <w:rPr>
          <w:rFonts w:ascii="Cambria" w:cs="Cambria" w:eastAsia="Cambria" w:hAnsi="Cambria"/>
          <w:sz w:val="24"/>
          <w:szCs w:val="24"/>
        </w:rP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auditable access records, and mechanisms for preserving patient autonomy.</w:t>
      </w:r>
    </w:p>
    <w:p>
      <w:pPr>
        <w:spacing w:after="140" w:line="300"/>
        <w:jc w:val="both"/>
      </w:pPr>
      <w:r>
        <w:rPr>
          <w:rFonts w:ascii="Cambria" w:cs="Cambria" w:eastAsia="Cambria" w:hAnsi="Cambria"/>
          <w:color w:val="000000"/>
          <w:sz w:val="24"/>
          <w:szCs w:val="24"/>
        </w:rPr>
        <w:t xml:space="preserve">Each study assessed at the full-text stage was additionally evaluated against four predefined quality criteria: clarity of the research objective, adequacy of the methodological description, rigour of the reported evaluation or validation, and relevance of the evidence to the review questions. Studies that failed more than one criterion were excluded during the full-text assessment, so the quality assessment operated as part of the eligibility decision rather than as a separate scoring exercise.</w:t>
      </w:r>
    </w:p>
    <w:p>
      <w:pPr>
        <w:spacing w:after="140" w:line="300"/>
        <w:jc w:val="both"/>
      </w:pPr>
      <w:r>
        <w:rPr>
          <w:rFonts w:ascii="Cambria" w:cs="Cambria" w:eastAsia="Cambria" w:hAnsi="Cambria"/>
          <w:sz w:val="24"/>
          <w:szCs w:val="24"/>
        </w:rPr>
        <w:t xml:space="preserve">The final review set was used to establish the state of the art in multi-party-trust healthcare data sharing and consent management. The findings were subsequently used to identify research gaps and to inform the design requirements of the proposed framework.</w:t>
      </w:r>
    </w:p>
    <w:p>
      <w:pPr>
        <w:keepNext/>
        <w:spacing w:after="60" w:before="140"/>
        <w:jc w:val="center"/>
      </w:pPr>
      <w:r>
        <w:drawing>
          <wp:inline distT="0" distB="0" distL="0" distR="0">
            <wp:extent cx="5715000" cy="2114550"/>
            <wp:effectExtent t="0" r="0" b="0" l="0"/>
            <wp:docPr id="1" name="gfig2a.png" descr="Figure 3: Profile of the 33 included studies: distribution by publication year and by review stream. The single 2019 study is the foundational source [31] retained outside the systematic search window; a study may contribute to more than one stream." title="Figure 3: Profile of the 33 included studies: distribution by publication year and by review stream. The single 2019 study is the foundational source [31] retained outside the systematic search window; a study may contribute to more than one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14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 Profile of the 33 included studies: distribution by publication year and by review stream. The single 2019 study is the foundational source [31] retained outside the systematic search window; a study may contribute to more than one stream.</w:t>
      </w:r>
    </w:p>
    <w:p>
      <w:pPr>
        <w:pStyle w:val="Heading2"/>
        <w:spacing w:after="160" w:before="280"/>
      </w:pPr>
      <w:r>
        <w:t xml:space="preserve">2.3  Review</w:t>
      </w:r>
    </w:p>
    <w:p>
      <w:pPr>
        <w:spacing w:after="140" w:line="300"/>
        <w:jc w:val="both"/>
      </w:pPr>
      <w:r>
        <w:rPr>
          <w:rFonts w:ascii="Cambria" w:cs="Cambria" w:eastAsia="Cambria" w:hAnsi="Cambria"/>
          <w:color w:val="000000"/>
          <w:sz w:val="24"/>
          <w:szCs w:val="24"/>
        </w:rPr>
        <w:t xml:space="preserve">The thematic sections that follow (Sections 2.3.1–2.3.6), together with the comparative analysis in Section 2.3.7, address the review questions as follows. Review question 1 is addressed principally in Sections 2.3.2 and 2.3.4; review question 2 in Sections 2.3.1 and 2.3.5; review question 3 in Section 2.3.3; review question 4 in Sections 2.3.2 and 2.3.5, with its selective-disclosure dimension addressed in Section 2.3.3; and review question 5 is synthesised in Sections 2.3.7 and 2.4, where it motivates the research gap. The lifecycle and evaluation questions 6 and 7 are addressed in Sections 2.3.1 and 2.3.6 respectively.</w:t>
      </w:r>
    </w:p>
    <w:p>
      <w:pPr>
        <w:spacing w:after="140" w:line="300"/>
        <w:jc w:val="both"/>
      </w:pPr>
      <w:r>
        <w:rPr>
          <w:rFonts w:ascii="Cambria" w:cs="Cambria" w:eastAsia="Cambria" w:hAnsi="Cambria"/>
          <w:color w:val="000000"/>
          <w:sz w:val="24"/>
          <w:szCs w:val="24"/>
        </w:rPr>
        <w:t xml:space="preserve">Consistent with the scope established in Section 2.1, the following subsections examine each research stream in turn: healthcare consent governance, blockchain-based data governance, decentralised identity and verifiable credentials, multi-party authorisation, policy-based and context-aware access control, and Trusted Computing. Each subsection evaluates how the reviewed approaches contribute to the conditions required for a trustworthy authorisation decision and identifies the limitations that motivate the proposed framework.</w:t>
      </w:r>
    </w:p>
    <w:p>
      <w:pPr>
        <w:keepNext/>
        <w:spacing w:after="60" w:before="140"/>
        <w:jc w:val="center"/>
      </w:pPr>
      <w:r>
        <w:drawing>
          <wp:inline distT="0" distB="0" distL="0" distR="0">
            <wp:extent cx="5334000" cy="4276725"/>
            <wp:effectExtent t="0" r="0" b="0" l="0"/>
            <wp:docPr id="1" name="gfig2b.png" descr="Figure 4: Correspondence between the seven review questions of Section 2.2.2 and the sections of the review in which they are addressed, ending in the research gap carried into Chapter 3." title="Figure 4: Correspondence between the seven review questions of Section 2.2.2 and the sections of the review in which they are addressed, ending in the research gap carried into Chapt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276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4: Correspondence between the seven review questions of Section 2.2.2 and the sections of the review in which they are addressed, ending in the research gap carried into Chapter 3.</w:t>
      </w:r>
    </w:p>
    <w:p>
      <w:pPr>
        <w:pStyle w:val="Heading3"/>
        <w:spacing w:after="160" w:before="280"/>
      </w:pPr>
      <w:r>
        <w:t xml:space="preserve">2.3.1  Healthcare Consent and Decentralised Data Governance</w:t>
      </w:r>
    </w:p>
    <w:p>
      <w:pPr>
        <w:spacing w:after="140" w:line="300"/>
        <w:jc w:val="both"/>
      </w:pPr>
      <w:r>
        <w:rPr>
          <w:rFonts w:ascii="Cambria" w:cs="Cambria" w:eastAsia="Cambria" w:hAnsi="Cambria"/>
          <w:sz w:val="24"/>
          <w:szCs w:val="24"/>
        </w:rPr>
        <w:t xml:space="preserve">Healthcare data sharing is fundamentally different from conventional information exchange because the data involved </w:t>
      </w:r>
      <w:r>
        <w:rPr>
          <w:rFonts w:ascii="Cambria" w:cs="Cambria" w:eastAsia="Cambria" w:hAnsi="Cambria"/>
          <w:color w:val="000000"/>
          <w:sz w:val="24"/>
          <w:szCs w:val="24"/>
        </w:rPr>
        <w:t xml:space="preserve">are</w:t>
      </w:r>
      <w:r>
        <w:rPr>
          <w:rFonts w:ascii="Cambria" w:cs="Cambria" w:eastAsia="Cambria" w:hAnsi="Cambria"/>
          <w:sz w:val="24"/>
          <w:szCs w:val="24"/>
        </w:rPr>
        <w:t xml:space="preserve">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 [31, 22, 14, 12].</w:t>
      </w:r>
    </w:p>
    <w:p>
      <w:pPr>
        <w:spacing w:after="140" w:line="300"/>
        <w:jc w:val="both"/>
      </w:pPr>
      <w:r>
        <w:rPr>
          <w:rFonts w:ascii="Cambria" w:cs="Cambria" w:eastAsia="Cambria" w:hAnsi="Cambria"/>
          <w:sz w:val="24"/>
          <w:szCs w:val="24"/>
        </w:rP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[24]. At the same time, privacy-preserving interoperability remains difficult because healthcare systems must balance individual autonomy with the operational requirements of clinical care, coordination, and legitimate secondary data use [21, 9]. These competing requirements make healthcare consent a governance problem rather than simply a binary access-control decision.</w:t>
      </w:r>
    </w:p>
    <w:p>
      <w:pPr>
        <w:spacing w:after="140" w:line="300"/>
        <w:jc w:val="both"/>
      </w:pPr>
      <w:r>
        <w:rPr>
          <w:rFonts w:ascii="Cambria" w:cs="Cambria" w:eastAsia="Cambria" w:hAnsi="Cambria"/>
          <w:sz w:val="24"/>
          <w:szCs w:val="24"/>
        </w:rPr>
        <w:t xml:space="preserve">Traditional consent-management approaches frequently represent consent as a permission indicating whether a particular party is allowed to perform a specified operation</w:t>
      </w:r>
      <w:r>
        <w:rPr>
          <w:rFonts w:ascii="Cambria" w:cs="Cambria" w:eastAsia="Cambria" w:hAnsi="Cambria"/>
          <w:color w:val="000000"/>
          <w:sz w:val="24"/>
          <w:szCs w:val="24"/>
        </w:rPr>
        <w:t xml:space="preserve"> [13, 10]</w:t>
      </w:r>
      <w:r>
        <w:rPr>
          <w:rFonts w:ascii="Cambria" w:cs="Cambria" w:eastAsia="Cambria" w:hAnsi="Cambria"/>
          <w:sz w:val="24"/>
          <w:szCs w:val="24"/>
        </w:rPr>
        <w:t xml:space="preserve">. Dynamic consent research has attempted to provide greater flexibility by allowing consent preferences to evolve over time, while privacy-first approaches have explored decentralised controllers and privacy-preserving mechanisms for improving data-subject control [13]. Consent receipts and auditable consent records have also been proposed to improve transparency and accountability by providing evidence of how consent was obtained and exercised [10].</w:t>
      </w:r>
    </w:p>
    <w:p>
      <w:pPr>
        <w:spacing w:after="140" w:line="300"/>
        <w:jc w:val="both"/>
      </w:pPr>
      <w:r>
        <w:rPr>
          <w:rFonts w:ascii="Cambria" w:cs="Cambria" w:eastAsia="Cambria" w:hAnsi="Cambria"/>
          <w:sz w:val="24"/>
          <w:szCs w:val="24"/>
        </w:rPr>
        <w:t xml:space="preserve">Despite these developments, a significant conceptual limitation remains. The existence of a consent record does not necessarily explain whether the conditions required for a subsequent access request are still satisfied. 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spacing w:after="140" w:line="300"/>
        <w:jc w:val="both"/>
      </w:pPr>
      <w:r>
        <w:rPr>
          <w:rFonts w:ascii="Cambria" w:cs="Cambria" w:eastAsia="Cambria" w:hAnsi="Cambria"/>
          <w:sz w:val="24"/>
          <w:szCs w:val="24"/>
        </w:rP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p>
      <w:pPr>
        <w:spacing w:after="140" w:line="300"/>
        <w:jc w:val="both"/>
      </w:pPr>
      <w:r>
        <w:rPr>
          <w:rFonts w:ascii="Cambria" w:cs="Cambria" w:eastAsia="Cambria" w:hAnsi="Cambria"/>
          <w:color w:val="000000"/>
          <w:sz w:val="24"/>
          <w:szCs w:val="24"/>
        </w:rPr>
        <w:t xml:space="preserve">Within this stream, dynamic-consent research [13] and consent-receipt mechanisms [10] already recognise that a patient's permission changes over time; however, the reviewed systems provide limited support for treating expiration, revocation, and consent state transitions as first-class and independently verifiable authorisation conditions after consent has been granted. This limitation motivates the lifecycle dimension examined by review question 6.</w:t>
      </w:r>
    </w:p>
    <w:p>
      <w:pPr>
        <w:pStyle w:val="Heading3"/>
        <w:spacing w:after="160" w:before="280"/>
      </w:pPr>
      <w:r>
        <w:t xml:space="preserve">2.3.2  Blockchain-Based Consent and Data Governance</w:t>
      </w:r>
    </w:p>
    <w:p>
      <w:pPr>
        <w:spacing w:after="140" w:line="300"/>
        <w:jc w:val="both"/>
      </w:pPr>
      <w:r>
        <w:rPr>
          <w:rFonts w:ascii="Cambria" w:cs="Cambria" w:eastAsia="Cambria" w:hAnsi="Cambria"/>
          <w:sz w:val="24"/>
          <w:szCs w:val="24"/>
        </w:rP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 [1, 2, 7, 3]. More generally, blockchain has been studied as an infrastructure for trustworthy data sharing and decentralised decision-making across organisational boundaries [29, 30, 26].</w:t>
      </w:r>
    </w:p>
    <w:p>
      <w:pPr>
        <w:spacing w:after="140" w:line="300"/>
        <w:jc w:val="both"/>
      </w:pPr>
      <w:r>
        <w:rPr>
          <w:rFonts w:ascii="Cambria" w:cs="Cambria" w:eastAsia="Cambria" w:hAnsi="Cambria"/>
          <w:sz w:val="24"/>
          <w:szCs w:val="24"/>
        </w:rPr>
        <w:t xml:space="preserve">A major contribution of blockchain is its ability to preserve tamper-resistant evidence of transactions and state changes. This characteristic is particularly valuable for sensitive documentation and data governance because it can strengthen auditability and provide evidence that recorded information has not been modified without detection [8]. Analytical research has also investigated how blockchain immutability contributes to tamper-resilient trust and integrity within distributed systems [18].</w:t>
      </w:r>
    </w:p>
    <w:p>
      <w:pPr>
        <w:spacing w:after="140" w:line="300"/>
        <w:jc w:val="both"/>
      </w:pPr>
      <w:r>
        <w:rPr>
          <w:rFonts w:ascii="Cambria" w:cs="Cambria" w:eastAsia="Cambria" w:hAnsi="Cambria"/>
          <w:sz w:val="24"/>
          <w:szCs w:val="24"/>
        </w:rP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 [2, 7, 3, 28].</w:t>
      </w:r>
    </w:p>
    <w:p>
      <w:pPr>
        <w:spacing w:after="140" w:line="300"/>
        <w:jc w:val="both"/>
      </w:pPr>
      <w:r>
        <w:rPr>
          <w:rFonts w:ascii="Cambria" w:cs="Cambria" w:eastAsia="Cambria" w:hAnsi="Cambria"/>
          <w:sz w:val="24"/>
          <w:szCs w:val="24"/>
        </w:rP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spacing w:after="140" w:line="300"/>
        <w:jc w:val="both"/>
      </w:pPr>
      <w:r>
        <w:rPr>
          <w:rFonts w:ascii="Cambria" w:cs="Cambria" w:eastAsia="Cambria" w:hAnsi="Cambria"/>
          <w:sz w:val="24"/>
          <w:szCs w:val="24"/>
        </w:rP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spacing w:after="140" w:line="300"/>
        <w:jc w:val="both"/>
      </w:pPr>
      <w:r>
        <w:rPr>
          <w:rFonts w:ascii="Cambria" w:cs="Cambria" w:eastAsia="Cambria" w:hAnsi="Cambria"/>
          <w:sz w:val="24"/>
          <w:szCs w:val="24"/>
        </w:rP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p>
      <w:pPr>
        <w:pStyle w:val="Heading3"/>
        <w:spacing w:after="160" w:before="280"/>
      </w:pPr>
      <w:r>
        <w:t xml:space="preserve">2.3.3  Decentralised Identity and Verifiable Credentials</w:t>
      </w:r>
    </w:p>
    <w:p>
      <w:pPr>
        <w:spacing w:after="140" w:line="300"/>
        <w:jc w:val="both"/>
      </w:pPr>
      <w:r>
        <w:rPr>
          <w:rFonts w:ascii="Cambria" w:cs="Cambria" w:eastAsia="Cambria" w:hAnsi="Cambria"/>
          <w:color w:val="000000"/>
          <w:sz w:val="24"/>
          <w:szCs w:val="24"/>
        </w:rPr>
        <w:t xml:space="preserve">Decentralised Identifiers (DIDs)</w:t>
      </w:r>
      <w:r>
        <w:rPr>
          <w:rFonts w:ascii="Cambria" w:cs="Cambria" w:eastAsia="Cambria" w:hAnsi="Cambria"/>
          <w:sz w:val="24"/>
          <w:szCs w:val="24"/>
        </w:rPr>
        <w:t xml:space="preserve"> 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 [20, 33, 4, 16].</w:t>
      </w:r>
    </w:p>
    <w:p>
      <w:pPr>
        <w:spacing w:after="140" w:line="300"/>
        <w:jc w:val="both"/>
      </w:pPr>
      <w:r>
        <w:rPr>
          <w:rFonts w:ascii="Cambria" w:cs="Cambria" w:eastAsia="Cambria" w:hAnsi="Cambria"/>
          <w:sz w:val="24"/>
          <w:szCs w:val="24"/>
        </w:rP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 established or validated [33, 4]. Other studies have examined privacy-preserving authentication and selective disclosure, allowing participants to prove selected attributes without unnecessarily revealing additional information [27, 5].</w:t>
      </w:r>
    </w:p>
    <w:p>
      <w:pPr>
        <w:spacing w:after="140" w:line="300"/>
        <w:jc w:val="both"/>
      </w:pPr>
      <w:r>
        <w:rPr>
          <w:rFonts w:ascii="Cambria" w:cs="Cambria" w:eastAsia="Cambria" w:hAnsi="Cambria"/>
          <w:sz w:val="24"/>
          <w:szCs w:val="24"/>
        </w:rPr>
        <w:t xml:space="preserve">These mechanisms are particularly relevant to healthcare and other sensitive data-sharing environments because they can reduce dependence on a single identity provider and provide stronger control over the disclosure of participant attributes. However, the literature also reveals an important conceptual distinction between identity and authority.</w:t>
      </w:r>
    </w:p>
    <w:p>
      <w:pPr>
        <w:spacing w:after="140" w:line="300"/>
        <w:jc w:val="both"/>
      </w:pPr>
      <w:r>
        <w:rPr>
          <w:rFonts w:ascii="Cambria" w:cs="Cambria" w:eastAsia="Cambria" w:hAnsi="Cambria"/>
          <w:sz w:val="24"/>
          <w:szCs w:val="24"/>
        </w:rP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spacing w:after="140" w:line="300"/>
        <w:jc w:val="both"/>
      </w:pPr>
      <w:r>
        <w:rPr>
          <w:rFonts w:ascii="Cambria" w:cs="Cambria" w:eastAsia="Cambria" w:hAnsi="Cambria"/>
          <w:sz w:val="24"/>
          <w:szCs w:val="24"/>
        </w:rPr>
        <w:t xml:space="preserve">The proposed research therefore extends the role of DID and VC technologies from identity representation and credential verification towards their use as trusted inputs to a broader authorisation process. Under this approach,</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(1)</w:t>
      </w:r>
    </w:p>
    <w:p>
      <w:pPr>
        <w:spacing w:after="140" w:line="300"/>
        <w:jc w:val="both"/>
      </w:pPr>
      <w:r>
        <w:rPr>
          <w:rFonts w:ascii="Cambria" w:cs="Cambria" w:eastAsia="Cambria" w:hAnsi="Cambria"/>
          <w:sz w:val="24"/>
          <w:szCs w:val="24"/>
        </w:rP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spacing w:after="140" w:line="300"/>
        <w:jc w:val="both"/>
      </w:pPr>
      <w:r>
        <w:rPr>
          <w:rFonts w:ascii="Cambria" w:cs="Cambria" w:eastAsia="Cambria" w:hAnsi="Cambria"/>
          <w:sz w:val="24"/>
          <w:szCs w:val="24"/>
        </w:rPr>
        <w:t xml:space="preserve">The literature provides increasingly sophisticated mechanisms for decentralised identity and credential validation. However, there remains a need to integrate these mechanisms with collective authorisation and policy evaluation so that verified identities and credentials contribute to, rather than replace, a comprehensive trust decision.</w:t>
      </w:r>
    </w:p>
    <w:p>
      <w:pPr>
        <w:spacing w:after="140" w:line="300"/>
        <w:jc w:val="both"/>
      </w:pPr>
      <w:r>
        <w:rPr>
          <w:rFonts w:ascii="Cambria" w:cs="Cambria" w:eastAsia="Cambria" w:hAnsi="Cambria"/>
          <w:b w:val="false"/>
          <w:bCs w:val="false"/>
          <w:sz w:val="24"/>
          <w:szCs w:val="24"/>
        </w:rPr>
        <w:t xml:space="preserve">Recent reviews of blockchain-based identity management further consolidate this stream, surveying identity management, access control and trust mechanisms for connected environments and confirming the maturity of DID- and VC-based designs [15].</w:t>
      </w:r>
    </w:p>
    <w:p>
      <w:pPr>
        <w:pStyle w:val="Heading3"/>
        <w:spacing w:after="160" w:before="280"/>
      </w:pPr>
      <w:r>
        <w:t xml:space="preserve">2.3.4  Multi-Party Authorisation and Collaborative Consent</w:t>
      </w:r>
    </w:p>
    <w:p>
      <w:pPr>
        <w:spacing w:after="140" w:line="300"/>
        <w:jc w:val="both"/>
      </w:pPr>
      <w:r>
        <w:rPr>
          <w:rFonts w:ascii="Cambria" w:cs="Cambria" w:eastAsia="Cambria" w:hAnsi="Cambria"/>
          <w:sz w:val="24"/>
          <w:szCs w:val="24"/>
        </w:rP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 different responsibilities and authority levels [21, 9</w:t>
      </w:r>
      <w:r>
        <w:rPr>
          <w:rFonts w:ascii="Cambria" w:cs="Cambria" w:eastAsia="Cambria" w:hAnsi="Cambria"/>
          <w:color w:val="000000"/>
          <w:sz w:val="24"/>
          <w:szCs w:val="24"/>
        </w:rPr>
        <w:t xml:space="preserve">, 31</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More generally, multi-party data-sharing environments require mechanisms capable of supporting collaborative governance. Research on decentralised data trusts has explored platforms through which multiple parties can participate in data-sharing arrangements and governance processes [19]. Decentralised decision-making has also been investigated in combination with blockchain and large-scale data systems [29]. FutureDID further demonstrates that multi-party verification can be incorporated into decentralised identity processes [4].</w:t>
      </w:r>
    </w:p>
    <w:p>
      <w:pPr>
        <w:spacing w:after="140" w:line="300"/>
        <w:jc w:val="both"/>
      </w:pPr>
      <w:r>
        <w:rPr>
          <w:rFonts w:ascii="Cambria" w:cs="Cambria" w:eastAsia="Cambria" w:hAnsi="Cambria"/>
          <w:sz w:val="24"/>
          <w:szCs w:val="24"/>
        </w:rP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spacing w:after="140" w:line="300"/>
        <w:jc w:val="both"/>
      </w:pPr>
      <w:r>
        <w:rPr>
          <w:rFonts w:ascii="Cambria" w:cs="Cambria" w:eastAsia="Cambria" w:hAnsi="Cambria"/>
          <w:sz w:val="24"/>
          <w:szCs w:val="24"/>
        </w:rP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p>
      <w:pPr>
        <w:spacing w:after="140" w:line="300"/>
        <w:jc w:val="both"/>
      </w:pPr>
      <w:r>
        <w:rPr>
          <w:rFonts w:ascii="Cambria" w:cs="Cambria" w:eastAsia="Cambria" w:hAnsi="Cambria"/>
          <w:b w:val="false"/>
          <w:bCs w:val="false"/>
          <w:sz w:val="24"/>
          <w:szCs w:val="24"/>
        </w:rPr>
        <w:t xml:space="preserve">Beyond healthcare, decentralised trust mechanisms have also been applied to empower independent stakeholders in cross-organisational data sharing, demonstrating that multi-party governance generalises across application domains [6].</w:t>
      </w:r>
    </w:p>
    <w:p>
      <w:pPr>
        <w:spacing w:after="140" w:line="300"/>
        <w:jc w:val="both"/>
      </w:pPr>
      <w:r>
        <w:rPr>
          <w:rFonts w:ascii="Cambria" w:cs="Cambria" w:eastAsia="Cambria" w:hAnsi="Cambria"/>
          <w:color w:val="000000"/>
          <w:sz w:val="24"/>
          <w:szCs w:val="24"/>
        </w:rPr>
        <w:t xml:space="preserve">Where the reviewed systems support multiple approvers, approval is typically implemented as a workflow or signature-collection step [19, 29] rather than represented as a verifiable threshold condition bound to the consent object itself. It is this representational absence, rather than the absence of multi-party mechanisms as such, that the proposed framework addresses.</w:t>
      </w:r>
    </w:p>
    <w:p>
      <w:pPr>
        <w:pStyle w:val="Heading3"/>
        <w:spacing w:after="160" w:before="280"/>
      </w:pPr>
      <w:r>
        <w:t xml:space="preserve">2.3.5  Policy-Based and Context-Aware Access Control</w:t>
      </w:r>
    </w:p>
    <w:p>
      <w:pPr>
        <w:spacing w:after="140" w:line="300"/>
        <w:jc w:val="both"/>
      </w:pPr>
      <w:r>
        <w:rPr>
          <w:rFonts w:ascii="Cambria" w:cs="Cambria" w:eastAsia="Cambria" w:hAnsi="Cambria"/>
          <w:sz w:val="24"/>
          <w:szCs w:val="24"/>
        </w:rP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[32]. Risk-aware and usage-control models have further investigated how access decisions can incorporate dynamic conditions and constraints beyond traditional role-based permissions [11].</w:t>
      </w:r>
    </w:p>
    <w:p>
      <w:pPr>
        <w:spacing w:after="140" w:line="300"/>
        <w:jc w:val="both"/>
      </w:pPr>
      <w:r>
        <w:rPr>
          <w:rFonts w:ascii="Cambria" w:cs="Cambria" w:eastAsia="Cambria" w:hAnsi="Cambria"/>
          <w:sz w:val="24"/>
          <w:szCs w:val="24"/>
        </w:rPr>
        <w:t xml:space="preserve">Recent surveys demonstrate the continuing development of blockchain-based healthcare access control and healthcare IoT security, highlighting the importance of privacy preservation, interoperability, scalability, and dynamic access management [28, 25]. These approaches provide important mechanisms for determining whether an operation should be permitted under a particular set of access-control rules.</w:t>
      </w:r>
    </w:p>
    <w:p>
      <w:pPr>
        <w:spacing w:after="140" w:line="300"/>
        <w:jc w:val="both"/>
      </w:pPr>
      <w:r>
        <w:rPr>
          <w:rFonts w:ascii="Cambria" w:cs="Cambria" w:eastAsia="Cambria" w:hAnsi="Cambria"/>
          <w:sz w:val="24"/>
          <w:szCs w:val="24"/>
        </w:rPr>
        <w:t xml:space="preserve">However, access control becomes more complex when policies must be connected directly to a decentralised consent process. A requester may possess a valid identity, valid credentials, and even the required multi-party approval while still requesting information outside the scope authorised by the patient. Therefore, the validity of the requester and the validity of the requested operation must be evaluated separately.</w:t>
      </w:r>
    </w:p>
    <w:p>
      <w:pPr>
        <w:spacing w:after="140" w:line="300"/>
        <w:jc w:val="both"/>
      </w:pPr>
      <w:r>
        <w:rPr>
          <w:rFonts w:ascii="Cambria" w:cs="Cambria" w:eastAsia="Cambria" w:hAnsi="Cambria"/>
          <w:sz w:val="24"/>
          <w:szCs w:val="24"/>
        </w:rPr>
        <w:t xml:space="preserve">The proposed framework consequently treats policy compliance as an explicit authorisation condition. Let C represent the consent object and R represent a requested operation. Policy validity can be represented conceptually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(2)</w:t>
      </w:r>
    </w:p>
    <w:p>
      <w:pPr>
        <w:spacing w:after="140" w:line="300"/>
        <w:jc w:val="both"/>
      </w:pPr>
      <w:r>
        <w:rPr>
          <w:rFonts w:ascii="Cambria" w:cs="Cambria" w:eastAsia="Cambria" w:hAnsi="Cambria"/>
          <w:sz w:val="24"/>
          <w:szCs w:val="24"/>
        </w:rPr>
        <w:t xml:space="preserve">For example, if a consent authorises access to observations and medications,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(3)</w:t>
      </w:r>
    </w:p>
    <w:p>
      <w:pPr>
        <w:spacing w:after="140" w:line="300"/>
        <w:jc w:val="both"/>
      </w:pPr>
      <w:r>
        <w:rPr>
          <w:rFonts w:ascii="Cambria" w:cs="Cambria" w:eastAsia="Cambria" w:hAnsi="Cambria"/>
          <w:sz w:val="24"/>
          <w:szCs w:val="24"/>
        </w:rPr>
        <w:t xml:space="preserve">then a request for observations, medications, and procedures,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w:t>
      </w:r>
    </w:p>
    <w:p>
      <w:pPr>
        <w:spacing w:after="140" w:line="300"/>
        <w:jc w:val="both"/>
      </w:pPr>
      <w:r>
        <w:rPr>
          <w:rFonts w:ascii="Cambria" w:cs="Cambria" w:eastAsia="Cambria" w:hAnsi="Cambria"/>
          <w:sz w:val="24"/>
          <w:szCs w:val="24"/>
        </w:rPr>
        <w:t xml:space="preserve">should be rejected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w:t>
      </w:r>
    </w:p>
    <w:p>
      <w:pPr>
        <w:spacing w:after="140" w:line="300"/>
        <w:jc w:val="both"/>
      </w:pPr>
      <w:r>
        <w:rPr>
          <w:rFonts w:ascii="Cambria" w:cs="Cambria" w:eastAsia="Cambria" w:hAnsi="Cambria"/>
          <w:sz w:val="24"/>
          <w:szCs w:val="24"/>
        </w:rP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p>
      <w:pPr>
        <w:spacing w:after="140" w:line="300"/>
        <w:jc w:val="both"/>
      </w:pPr>
      <w:r>
        <w:rPr>
          <w:rFonts w:ascii="Cambria" w:cs="Cambria" w:eastAsia="Cambria" w:hAnsi="Cambria"/>
          <w:color w:val="000000"/>
          <w:sz w:val="24"/>
          <w:szCs w:val="24"/>
        </w:rPr>
        <w:t xml:space="preserve">Across the reviewed access-control approaches [32, 11, 28, 25], policy evaluation is bound primarily to the requester's roles, attributes, or risk context rather than to the purpose and data scope authorised by the patient's consent. It is this missing relationship between the evaluated policy and the consent object itself that the proposed framework formalises.</w:t>
      </w:r>
    </w:p>
    <w:p>
      <w:pPr>
        <w:pStyle w:val="Heading3"/>
        <w:spacing w:after="160" w:before="280"/>
      </w:pPr>
      <w:r>
        <w:t xml:space="preserve">2.3.6  Trusted Computing, Secure Execution, and Security Assurance</w:t>
      </w:r>
    </w:p>
    <w:p>
      <w:pPr>
        <w:spacing w:after="140" w:line="300"/>
        <w:jc w:val="both"/>
      </w:pPr>
      <w:r>
        <w:rPr>
          <w:rFonts w:ascii="Cambria" w:cs="Cambria" w:eastAsia="Cambria" w:hAnsi="Cambria"/>
          <w:sz w:val="24"/>
          <w:szCs w:val="24"/>
        </w:rPr>
        <w:t xml:space="preserve">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[23]. Remote attestation mechanisms can further provide evidence concerning the integrity of the execution environment in which a security-sensitive process is performed</w:t>
      </w:r>
      <w:r>
        <w:rPr>
          <w:rFonts w:ascii="Cambria" w:cs="Cambria" w:eastAsia="Cambria" w:hAnsi="Cambria"/>
          <w:color w:val="000000"/>
          <w:sz w:val="24"/>
          <w:szCs w:val="24"/>
        </w:rPr>
        <w:t xml:space="preserve"> [23]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Recent research has explored the integration of trusted execution and distributed trust mechanisms in different application domains. Trust-aware sensing and consensus mechanisms have demonstrated how TEE-supported sensing can contribute to resilient decision-making in conjunction with blockchain coordination [17]. These studies illustrate the potential of Trusted Computing to provide an additional assurance layer beyond conventional software-based access-control mechanisms.</w:t>
      </w:r>
    </w:p>
    <w:p>
      <w:pPr>
        <w:spacing w:after="140" w:line="300"/>
        <w:jc w:val="both"/>
      </w:pPr>
      <w:r>
        <w:rPr>
          <w:rFonts w:ascii="Cambria" w:cs="Cambria" w:eastAsia="Cambria" w:hAnsi="Cambria"/>
          <w:sz w:val="24"/>
          <w:szCs w:val="24"/>
        </w:rP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spacing w:after="140" w:line="300"/>
        <w:jc w:val="both"/>
      </w:pPr>
      <w:r>
        <w:rPr>
          <w:rFonts w:ascii="Cambria" w:cs="Cambria" w:eastAsia="Cambria" w:hAnsi="Cambria"/>
          <w:sz w:val="24"/>
          <w:szCs w:val="24"/>
        </w:rPr>
        <w:t xml:space="preserve">The reviewed literature therefore suggests an important opportunity for integration. A trust-oriented authorisation framework can define the conditions under which access should be permitted, while Trusted Computing mechanisms can provide stronger assurance that the relevant security-sensitive evaluation is performed within an integrity-protected environment.</w:t>
      </w:r>
    </w:p>
    <w:p>
      <w:pPr>
        <w:spacing w:after="140" w:line="300"/>
        <w:jc w:val="both"/>
      </w:pPr>
      <w:r>
        <w:rPr>
          <w:rFonts w:ascii="Cambria" w:cs="Cambria" w:eastAsia="Cambria" w:hAnsi="Cambria"/>
          <w:color w:val="000000"/>
          <w:sz w:val="24"/>
          <w:szCs w:val="24"/>
        </w:rPr>
        <w:t xml:space="preserve">This research establishes the conceptual foundation for such integration and, moreover, demonstrates it through an implemented and empirically evaluated prototype. Future work can therefore investigate how trusted execution and remote attestation can strengthen the enforcement and verification of decentralised consent decisions.</w:t>
      </w:r>
    </w:p>
    <w:p>
      <w:pPr>
        <w:spacing w:after="140" w:line="300"/>
        <w:jc w:val="both"/>
      </w:pPr>
      <w:r>
        <w:rPr>
          <w:rFonts w:ascii="Cambria" w:cs="Cambria" w:eastAsia="Cambria" w:hAnsi="Cambria"/>
          <w:sz w:val="24"/>
          <w:szCs w:val="24"/>
        </w:rP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w:t>
      </w:r>
    </w:p>
    <w:p>
      <w:pPr>
        <w:spacing w:after="140" w:line="300"/>
        <w:jc w:val="both"/>
      </w:pPr>
      <w:r>
        <w:rPr>
          <w:rFonts w:ascii="Cambria" w:cs="Cambria" w:eastAsia="Cambria" w:hAnsi="Cambria"/>
          <w:color w:val="000000"/>
          <w:sz w:val="24"/>
          <w:szCs w:val="24"/>
        </w:rPr>
        <w:t xml:space="preserve">The present prototype addresses this concern empirically through adversarial and negative testing across each verification dimension. Nevertheless, formal analysis remains necessary in order to demonstrate that these properties hold under defined assumptions.</w:t>
      </w:r>
    </w:p>
    <w:p>
      <w:pPr>
        <w:spacing w:after="140" w:line="300"/>
        <w:jc w:val="both"/>
      </w:pPr>
      <w:r>
        <w:rPr>
          <w:rFonts w:ascii="Cambria" w:cs="Cambria" w:eastAsia="Cambria" w:hAnsi="Cambria"/>
          <w:b w:val="false"/>
          <w:bCs w:val="false"/>
          <w:sz w:val="24"/>
          <w:szCs w:val="24"/>
        </w:rPr>
        <w:t xml:space="preserve">Complementary work in this stream applies entropy-based measurement to quantify blockchain immutability and tamper-resilient trust, providing an analytical basis for treating the ledger itself as part of the trusted computing base [18].</w:t>
      </w:r>
    </w:p>
    <w:p>
      <w:pPr>
        <w:spacing w:after="140" w:line="300"/>
        <w:jc w:val="both"/>
      </w:pPr>
      <w:r>
        <w:rPr>
          <w:rFonts w:ascii="Cambria" w:cs="Cambria" w:eastAsia="Cambria" w:hAnsi="Cambria"/>
          <w:color w:val="000000"/>
          <w:sz w:val="24"/>
          <w:szCs w:val="24"/>
        </w:rPr>
        <w:t xml:space="preserve">Formal security analysis nevertheless remains rare across the reviewed corpus: security arguments are predominantly architectural or empirical, and only a minority of studies accompany their designs with formal reasoning about the stated security properties [17, 18]. This observation grounds review question 7 and motivates the formal-assurance direction of the research. While Trusted Computing mechanisms could further harden the execution of the proposed authorisation evaluation, hardware-supported execution is treated as an orthogonal assurance layer and lies outside the scope of the present research questions.</w:t>
      </w:r>
    </w:p>
    <w:p>
      <w:pPr>
        <w:pStyle w:val="Heading3"/>
        <w:spacing w:after="160" w:before="280"/>
      </w:pPr>
      <w:r>
        <w:t xml:space="preserve">2.3.7  Comparative Analysis of Existing Approaches</w:t>
      </w:r>
    </w:p>
    <w:p>
      <w:pPr>
        <w:spacing w:after="140" w:line="300"/>
        <w:jc w:val="both"/>
      </w:pPr>
      <w:r>
        <w:rPr>
          <w:rFonts w:ascii="Cambria" w:cs="Cambria" w:eastAsia="Cambria" w:hAnsi="Cambria"/>
          <w:sz w:val="24"/>
          <w:szCs w:val="24"/>
        </w:rPr>
        <w:t xml:space="preserve">The reviewed literature demonstrates that existing approaches provide strong solutions for individual dimensions of trustworthy data sharing. Blockchain-based systems provide tamper-resistant recording and auditability</w:t>
      </w:r>
      <w:r>
        <w:rPr>
          <w:rFonts w:ascii="Cambria" w:cs="Cambria" w:eastAsia="Cambria" w:hAnsi="Cambria"/>
          <w:color w:val="000000"/>
          <w:sz w:val="24"/>
          <w:szCs w:val="24"/>
        </w:rPr>
        <w:t xml:space="preserve"> [2, 7, 28]</w:t>
      </w:r>
      <w:r>
        <w:rPr>
          <w:rFonts w:ascii="Cambria" w:cs="Cambria" w:eastAsia="Cambria" w:hAnsi="Cambria"/>
          <w:sz w:val="24"/>
          <w:szCs w:val="24"/>
        </w:rPr>
        <w:t xml:space="preserve">; DID and VC mechanisms provide decentralised identity and verifiable attributes</w:t>
      </w:r>
      <w:r>
        <w:rPr>
          <w:rFonts w:ascii="Cambria" w:cs="Cambria" w:eastAsia="Cambria" w:hAnsi="Cambria"/>
          <w:color w:val="000000"/>
          <w:sz w:val="24"/>
          <w:szCs w:val="24"/>
        </w:rPr>
        <w:t xml:space="preserve"> [20, 4, 5]</w:t>
      </w:r>
      <w:r>
        <w:rPr>
          <w:rFonts w:ascii="Cambria" w:cs="Cambria" w:eastAsia="Cambria" w:hAnsi="Cambria"/>
          <w:sz w:val="24"/>
          <w:szCs w:val="24"/>
        </w:rPr>
        <w:t xml:space="preserve">; policy-based and cryptographic access-control mechanisms provide fine-grained data protection</w:t>
      </w:r>
      <w:r>
        <w:rPr>
          <w:rFonts w:ascii="Cambria" w:cs="Cambria" w:eastAsia="Cambria" w:hAnsi="Cambria"/>
          <w:color w:val="000000"/>
          <w:sz w:val="24"/>
          <w:szCs w:val="24"/>
        </w:rPr>
        <w:t xml:space="preserve"> [32, 11, 25]</w:t>
      </w:r>
      <w:r>
        <w:rPr>
          <w:rFonts w:ascii="Cambria" w:cs="Cambria" w:eastAsia="Cambria" w:hAnsi="Cambria"/>
          <w:sz w:val="24"/>
          <w:szCs w:val="24"/>
        </w:rPr>
        <w:t xml:space="preserve">; collaborative governance mechanisms support distributed participation</w:t>
      </w:r>
      <w:r>
        <w:rPr>
          <w:rFonts w:ascii="Cambria" w:cs="Cambria" w:eastAsia="Cambria" w:hAnsi="Cambria"/>
          <w:color w:val="000000"/>
          <w:sz w:val="24"/>
          <w:szCs w:val="24"/>
        </w:rPr>
        <w:t xml:space="preserve"> [19, 29, 6]</w:t>
      </w:r>
      <w:r>
        <w:rPr>
          <w:rFonts w:ascii="Cambria" w:cs="Cambria" w:eastAsia="Cambria" w:hAnsi="Cambria"/>
          <w:sz w:val="24"/>
          <w:szCs w:val="24"/>
        </w:rPr>
        <w:t xml:space="preserve">; and Trusted Computing provides secure execution and attestation capabilities</w:t>
      </w:r>
      <w:r>
        <w:rPr>
          <w:rFonts w:ascii="Cambria" w:cs="Cambria" w:eastAsia="Cambria" w:hAnsi="Cambria"/>
          <w:color w:val="000000"/>
          <w:sz w:val="24"/>
          <w:szCs w:val="24"/>
        </w:rPr>
        <w:t xml:space="preserve"> [23, 17]</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spacing w:after="140" w:line="300"/>
        <w:jc w:val="both"/>
      </w:pPr>
      <w:r>
        <w:rPr>
          <w:rFonts w:ascii="Cambria" w:cs="Cambria" w:eastAsia="Cambria" w:hAnsi="Cambria"/>
          <w:sz w:val="24"/>
          <w:szCs w:val="24"/>
        </w:rPr>
        <w:t xml:space="preserve">Table 2 summarises the principal focus and limitations of the major research streams and positions the proposed framework relative to the existing literature.</w:t>
      </w:r>
    </w:p>
    <w:p>
      <w:pPr>
        <w:keepNext/>
        <w:spacing w:after="80" w:before="160"/>
        <w:jc w:val="center"/>
      </w:pPr>
      <w:r>
        <w:rPr>
          <w:rFonts w:ascii="Cambria" w:cs="Cambria" w:eastAsia="Cambria" w:hAnsi="Cambria"/>
          <w:b/>
          <w:bCs/>
          <w:sz w:val="21"/>
          <w:szCs w:val="21"/>
        </w:rPr>
        <w:t xml:space="preserve">Table 2: </w:t>
      </w:r>
      <w:r>
        <w:rPr>
          <w:rFonts w:ascii="Cambria" w:cs="Cambria" w:eastAsia="Cambria" w:hAnsi="Cambria"/>
          <w:sz w:val="21"/>
          <w:szCs w:val="21"/>
        </w:rPr>
        <w:t xml:space="preserve">Comparison of Existing Research Approaches and the Proposed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Stream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Contribution</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Main Limitation for Authorisation</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Representative References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Healthcare consent and privacy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Patient autonomy, informed consent, and controlled data sharing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Consent is treated as permission rather than an evaluable authorisation object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[31, 22, 14, 24, 12, 13, 10]</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Blockchain-based data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Tamper-resistant records, distributed auditability, and transparency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Immutable records do not establish participant legitimacy, authority, or policy compliance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[1, 2, 7, 3, 30, 26, 8, 29]</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Decentralised identity and verifiable credentials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Self-controlled identity, verifiable attributes, and authentication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 and credential validity do not independently determine if access is authorised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[20, 33, 4, 16, 27, 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and decentralised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Collaborative participation and distributed verification or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Limited integration between collective approval thresholds, consent, and access decisions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[19, 4, 21, 9]</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Policy-based and healthcare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Fine-grained restriction based on attributes, risk, context, and constraints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enforcement is separated from decentralised identity and multi-party consent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[32, 11, 28, 25]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Trusted Computing and secure execution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Hardware-supported isolation, execution integrity, and attestation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Secure execution does not determine whether underlying authorisation conditions are sufficient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[23, 17, 18]</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Proposed Framework</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evaluation of consent, identity, authority, multi-party approval, and policy compliance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Lifecycle trust and empirical validation realised in the implemented prototype; formal security assurance requires further extension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This research</w:t>
            </w:r>
          </w:p>
        </w:tc>
      </w:tr>
    </w:tbl>
    <w:p>
      <w:pPr>
        <w:spacing w:after="180"/>
      </w:pPr>
    </w:p>
    <w:p>
      <w:pPr>
        <w:spacing w:after="140" w:line="300"/>
        <w:jc w:val="both"/>
      </w:pPr>
      <w:r>
        <w:rPr>
          <w:rFonts w:ascii="Cambria" w:cs="Cambria" w:eastAsia="Cambria" w:hAnsi="Cambria"/>
          <w:sz w:val="24"/>
          <w:szCs w:val="24"/>
        </w:rP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p>
      <w:pPr>
        <w:pStyle w:val="Heading2"/>
        <w:spacing w:after="160" w:before="280"/>
      </w:pPr>
      <w:r>
        <w:t xml:space="preserve">2.4  Synthesis and Research Gap</w:t>
      </w:r>
    </w:p>
    <w:p>
      <w:pPr>
        <w:spacing w:after="140" w:line="300"/>
        <w:jc w:val="both"/>
      </w:pPr>
      <w:r>
        <w:rPr>
          <w:rFonts w:ascii="Cambria" w:cs="Cambria" w:eastAsia="Cambria" w:hAnsi="Cambria"/>
          <w:sz w:val="24"/>
          <w:szCs w:val="24"/>
        </w:rPr>
        <w:t xml:space="preserve">The literature review identifies a consistent pattern of fragmentation across existing research. Blockchain-based approaches primarily address the integrity and traceability of recorded events</w:t>
      </w:r>
      <w:r>
        <w:rPr>
          <w:rFonts w:ascii="Cambria" w:cs="Cambria" w:eastAsia="Cambria" w:hAnsi="Cambria"/>
          <w:color w:val="000000"/>
          <w:sz w:val="24"/>
          <w:szCs w:val="24"/>
        </w:rPr>
        <w:t xml:space="preserve"> [2, 7, 28]</w:t>
      </w:r>
      <w:r>
        <w:rPr>
          <w:rFonts w:ascii="Cambria" w:cs="Cambria" w:eastAsia="Cambria" w:hAnsi="Cambria"/>
          <w:sz w:val="24"/>
          <w:szCs w:val="24"/>
        </w:rPr>
        <w:t xml:space="preserve">. Decentralised identity and verifiable credential systems address the identification and attribute verification of participating entities</w:t>
      </w:r>
      <w:r>
        <w:rPr>
          <w:rFonts w:ascii="Cambria" w:cs="Cambria" w:eastAsia="Cambria" w:hAnsi="Cambria"/>
          <w:color w:val="000000"/>
          <w:sz w:val="24"/>
          <w:szCs w:val="24"/>
        </w:rPr>
        <w:t xml:space="preserve"> [20, 33, 4]</w:t>
      </w:r>
      <w:r>
        <w:rPr>
          <w:rFonts w:ascii="Cambria" w:cs="Cambria" w:eastAsia="Cambria" w:hAnsi="Cambria"/>
          <w:sz w:val="24"/>
          <w:szCs w:val="24"/>
        </w:rPr>
        <w:t xml:space="preserve">. Multi-party governance mechanisms address distributed participation and collective decision-making</w:t>
      </w:r>
      <w:r>
        <w:rPr>
          <w:rFonts w:ascii="Cambria" w:cs="Cambria" w:eastAsia="Cambria" w:hAnsi="Cambria"/>
          <w:color w:val="000000"/>
          <w:sz w:val="24"/>
          <w:szCs w:val="24"/>
        </w:rPr>
        <w:t xml:space="preserve"> [19, 29]</w:t>
      </w:r>
      <w:r>
        <w:rPr>
          <w:rFonts w:ascii="Cambria" w:cs="Cambria" w:eastAsia="Cambria" w:hAnsi="Cambria"/>
          <w:sz w:val="24"/>
          <w:szCs w:val="24"/>
        </w:rPr>
        <w:t xml:space="preserve">. Policy-based access-control approaches determine whether requested operations comply with predefined constraints</w:t>
      </w:r>
      <w:r>
        <w:rPr>
          <w:rFonts w:ascii="Cambria" w:cs="Cambria" w:eastAsia="Cambria" w:hAnsi="Cambria"/>
          <w:color w:val="000000"/>
          <w:sz w:val="24"/>
          <w:szCs w:val="24"/>
        </w:rPr>
        <w:t xml:space="preserve"> [32, 11, 25]</w:t>
      </w:r>
      <w:r>
        <w:rPr>
          <w:rFonts w:ascii="Cambria" w:cs="Cambria" w:eastAsia="Cambria" w:hAnsi="Cambria"/>
          <w:sz w:val="24"/>
          <w:szCs w:val="24"/>
        </w:rPr>
        <w:t xml:space="preserve">. Trusted Computing technologies protect the execution of security-sensitive computation</w:t>
      </w:r>
      <w:r>
        <w:rPr>
          <w:rFonts w:ascii="Cambria" w:cs="Cambria" w:eastAsia="Cambria" w:hAnsi="Cambria"/>
          <w:color w:val="000000"/>
          <w:sz w:val="24"/>
          <w:szCs w:val="24"/>
        </w:rPr>
        <w:t xml:space="preserve"> [23, 17]</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spacing w:after="140" w:line="300"/>
        <w:jc w:val="both"/>
      </w:pPr>
      <w:r>
        <w:rPr>
          <w:rFonts w:ascii="Cambria" w:cs="Cambria" w:eastAsia="Cambria" w:hAnsi="Cambria"/>
          <w:sz w:val="24"/>
          <w:szCs w:val="24"/>
        </w:rPr>
        <w:t xml:space="preserve">The central research gap therefore concerns the absence of a sufficiently integrated </w:t>
      </w:r>
      <w:r>
        <w:rPr>
          <w:rFonts w:ascii="Cambria" w:cs="Cambria" w:eastAsia="Cambria" w:hAnsi="Cambria"/>
          <w:color w:val="000000"/>
          <w:sz w:val="24"/>
          <w:szCs w:val="24"/>
        </w:rPr>
        <w:t xml:space="preserve">trust-oriented authorisation</w:t>
      </w:r>
      <w:r>
        <w:rPr>
          <w:rFonts w:ascii="Cambria" w:cs="Cambria" w:eastAsia="Cambria" w:hAnsi="Cambria"/>
          <w:sz w:val="24"/>
          <w:szCs w:val="24"/>
        </w:rPr>
        <w:t xml:space="preserve">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spacing w:after="140" w:line="300"/>
        <w:jc w:val="both"/>
      </w:pPr>
      <w:r>
        <w:rPr>
          <w:rFonts w:ascii="Cambria" w:cs="Cambria" w:eastAsia="Cambria" w:hAnsi="Cambria"/>
          <w:color w:val="000000"/>
          <w:sz w:val="24"/>
          <w:szCs w:val="24"/>
        </w:rPr>
        <w:t xml:space="preserve">The reviewed literature also identifies persistent challenges of privacy preservation, scalability, and interoperability in blockchain-based healthcare systems [2, 7, 3, 28]; while these concerns inform the design constraints of the proposed framework, they are treated as engineering constraints rather than as the conceptual gap pursued by this research.</w:t>
      </w:r>
    </w:p>
    <w:p>
      <w:pPr>
        <w:spacing w:after="140" w:line="300"/>
        <w:jc w:val="both"/>
      </w:pPr>
      <w:r>
        <w:rPr>
          <w:rFonts w:ascii="Cambria" w:cs="Cambria" w:eastAsia="Cambria" w:hAnsi="Cambria"/>
          <w:color w:val="000000"/>
          <w:sz w:val="24"/>
          <w:szCs w:val="24"/>
        </w:rPr>
        <w:t xml:space="preserve">In the same way, the consent-lifecycle limitation identified in Section 2.3.1 and the scarcity of formal security analysis identified in Section 2.3.6 define the temporal-lifecycle and formal-assurance dimensions that the next stage of this research addresses.</w:t>
      </w:r>
    </w:p>
    <w:p>
      <w:pPr>
        <w:spacing w:after="140" w:line="300"/>
        <w:jc w:val="both"/>
      </w:pPr>
      <w:r>
        <w:rPr>
          <w:rFonts w:ascii="Cambria" w:cs="Cambria" w:eastAsia="Cambria" w:hAnsi="Cambria"/>
          <w:sz w:val="24"/>
          <w:szCs w:val="24"/>
        </w:rP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spacing w:after="140" w:line="300"/>
        <w:jc w:val="both"/>
      </w:pPr>
      <w:r>
        <w:rPr>
          <w:rFonts w:ascii="Cambria" w:cs="Cambria" w:eastAsia="Cambria" w:hAnsi="Cambria"/>
          <w:sz w:val="24"/>
          <w:szCs w:val="24"/>
        </w:rPr>
        <w:t xml:space="preserve">The foundational authorisation decision investigated in the current stage of the research can therefore be represented as</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represents the validity of the identity and relevant authority evidence associated with participant u,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(C) represents the satisfaction of the required multi-party authorisation condition for consent C, and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(C, R) represents compliance between the consent and the requested operation R.</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p>
    <w:p>
      <w:pPr>
        <w:spacing w:after="140" w:line="300"/>
        <w:jc w:val="both"/>
      </w:pPr>
      <w:r>
        <w:rPr>
          <w:rFonts w:ascii="Cambria" w:cs="Cambria" w:eastAsia="Cambria" w:hAnsi="Cambria"/>
          <w:color w:val="000000"/>
          <w:sz w:val="24"/>
          <w:szCs w:val="24"/>
        </w:rPr>
        <w:t xml:space="preserve">This is the rule enforced by the implemented Consent Engine: every access request is evaluated over the complete tuple, where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(C, t) additionally represents the temporal validity of the request instant and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the jurisdictional constraint; the temporal and jurisdictional predicates are already operational rather than deferred to subsequent research.</w:t>
      </w:r>
    </w:p>
    <w:p>
      <w:pPr>
        <w:spacing w:after="140" w:line="300"/>
        <w:jc w:val="both"/>
      </w:pPr>
      <w:r>
        <w:rPr>
          <w:rFonts w:ascii="Cambria" w:cs="Cambria" w:eastAsia="Cambria" w:hAnsi="Cambria"/>
          <w:sz w:val="24"/>
          <w:szCs w:val="24"/>
        </w:rP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spacing w:after="140" w:line="300"/>
        <w:jc w:val="both"/>
      </w:pPr>
      <w:r>
        <w:rPr>
          <w:rFonts w:ascii="Cambria" w:cs="Cambria" w:eastAsia="Cambria" w:hAnsi="Cambria"/>
          <w:sz w:val="24"/>
          <w:szCs w:val="24"/>
        </w:rPr>
        <w:t xml:space="preserve">The current research therefore concentrates on establishing the foundational relationship between trust-centric consent modelling, decentralised identity and authority verification, multi-party authorisation, and policy-aware access control.</w:t>
      </w:r>
    </w:p>
    <w:p>
      <w:pPr>
        <w:spacing w:after="140" w:line="300"/>
        <w:jc w:val="both"/>
      </w:pPr>
      <w:r>
        <w:rPr>
          <w:rFonts w:ascii="Cambria" w:cs="Cambria" w:eastAsia="Cambria" w:hAnsi="Cambria"/>
          <w:sz w:val="24"/>
          <w:szCs w:val="24"/>
        </w:rPr>
        <w:t xml:space="preserve">Accordingly, the literature suggests that the principal research opportunity is not the development of another isolated blockchain consent mechanism or identity-management system. Instead, the opportunity lies in constructing a coherent </w:t>
      </w:r>
      <w:r>
        <w:rPr>
          <w:rFonts w:ascii="Cambria" w:cs="Cambria" w:eastAsia="Cambria" w:hAnsi="Cambria"/>
          <w:color w:val="000000"/>
          <w:sz w:val="24"/>
          <w:szCs w:val="24"/>
        </w:rPr>
        <w:t xml:space="preserve">trust-oriented authorisation</w:t>
      </w:r>
      <w:r>
        <w:rPr>
          <w:rFonts w:ascii="Cambria" w:cs="Cambria" w:eastAsia="Cambria" w:hAnsi="Cambria"/>
          <w:sz w:val="24"/>
          <w:szCs w:val="24"/>
        </w:rPr>
        <w:t xml:space="preserve">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p>
      <w:pPr>
        <w:keepNext/>
        <w:spacing w:after="60" w:before="140"/>
        <w:jc w:val="center"/>
      </w:pPr>
      <w:r>
        <w:drawing>
          <wp:inline distT="0" distB="0" distL="0" distR="0">
            <wp:extent cx="5715000" cy="2676525"/>
            <wp:effectExtent t="0" r="0" b="0" l="0"/>
            <wp:docPr id="1" name="gfig2c.png" descr="Figure 5: Synthesis of the review: the five research streams provide strong but fragmented mechanisms; their lack of integration constitutes the research gap, which the proposed framework addresses by treating consent as an evaluable authorisation object." title="Figure 5: Synthesis of the review: the five research streams provide strong but fragmented mechanisms; their lack of integration constitutes the research gap, which the proposed framework addresses by treating consent as an evaluable authorisation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76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5: Synthesis of the review: the five research streams provide strong but fragmented mechanisms; their lack of integration constitutes the research gap, which the proposed framework addresses by treating consent as an evaluable authorisation object.</w:t>
      </w:r>
    </w:p>
    <w:p>
      <w:pPr>
        <w:pStyle w:val="Heading1"/>
        <w:pageBreakBefore/>
        <w:spacing w:after="160" w:before="400"/>
      </w:pPr>
      <w:r>
        <w:t xml:space="preserve">3  Research Gaps and Questions</w:t>
      </w:r>
    </w:p>
    <w:p>
      <w:pPr>
        <w:pStyle w:val="Heading2"/>
        <w:spacing w:after="160" w:before="280"/>
      </w:pPr>
      <w:r>
        <w:t xml:space="preserve">3.1  Research Gap</w:t>
      </w:r>
    </w:p>
    <w:p>
      <w:pPr>
        <w:spacing w:after="140" w:line="300"/>
        <w:jc w:val="both"/>
      </w:pPr>
      <w:r>
        <w:rPr>
          <w:rFonts w:ascii="Cambria" w:cs="Cambria" w:eastAsia="Cambria" w:hAnsi="Cambria"/>
          <w:sz w:val="24"/>
          <w:szCs w:val="24"/>
        </w:rPr>
        <w:t xml:space="preserve">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spacing w:after="140" w:line="300"/>
        <w:jc w:val="both"/>
      </w:pPr>
      <w:r>
        <w:rPr>
          <w:rFonts w:ascii="Cambria" w:cs="Cambria" w:eastAsia="Cambria" w:hAnsi="Cambria"/>
          <w:sz w:val="24"/>
          <w:szCs w:val="24"/>
        </w:rP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spacing w:after="140" w:line="300"/>
        <w:jc w:val="both"/>
      </w:pPr>
      <w:r>
        <w:rPr>
          <w:rFonts w:ascii="Cambria" w:cs="Cambria" w:eastAsia="Cambria" w:hAnsi="Cambria"/>
          <w:sz w:val="24"/>
          <w:szCs w:val="24"/>
        </w:rPr>
        <w:t xml:space="preserve">This distinction is important because recording consent and enforcing trustworthy authorisation 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spacing w:after="140" w:line="300"/>
        <w:jc w:val="both"/>
      </w:pPr>
      <w:r>
        <w:rPr>
          <w:rFonts w:ascii="Cambria" w:cs="Cambria" w:eastAsia="Cambria" w:hAnsi="Cambria"/>
          <w:sz w:val="24"/>
          <w:szCs w:val="24"/>
        </w:rP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spacing w:after="140" w:line="300"/>
        <w:jc w:val="both"/>
      </w:pPr>
      <w:r>
        <w:rPr>
          <w:rFonts w:ascii="Cambria" w:cs="Cambria" w:eastAsia="Cambria" w:hAnsi="Cambria"/>
          <w:sz w:val="24"/>
          <w:szCs w:val="24"/>
        </w:rPr>
        <w:t xml:space="preserve">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spacing w:after="140" w:line="300"/>
        <w:jc w:val="both"/>
      </w:pPr>
      <w:r>
        <w:rPr>
          <w:rFonts w:ascii="Cambria" w:cs="Cambria" w:eastAsia="Cambria" w:hAnsi="Cambria"/>
          <w:sz w:val="24"/>
          <w:szCs w:val="24"/>
        </w:rPr>
        <w:t xml:space="preserve">The identified gap can therefore be stated as follows: existing healthcare consent and access-control research provides many of the necessary technological building blocks, but there remains a need for an integrated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spacing w:after="140" w:line="300"/>
        <w:jc w:val="both"/>
      </w:pPr>
      <w:r>
        <w:rPr>
          <w:rFonts w:ascii="Cambria" w:cs="Cambria" w:eastAsia="Cambria" w:hAnsi="Cambria"/>
          <w:sz w:val="24"/>
          <w:szCs w:val="24"/>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pPr>
        <w:pStyle w:val="Heading2"/>
        <w:spacing w:after="160" w:before="280"/>
      </w:pPr>
      <w:r>
        <w:t xml:space="preserve">3.2  Main Research Question</w:t>
      </w:r>
    </w:p>
    <w:p>
      <w:pPr>
        <w:spacing w:after="140" w:line="300"/>
        <w:jc w:val="both"/>
      </w:pPr>
      <w:r>
        <w:rPr>
          <w:rFonts w:ascii="Cambria" w:cs="Cambria" w:eastAsia="Cambria" w:hAnsi="Cambria"/>
          <w:color w:val="000000"/>
          <w:sz w:val="24"/>
          <w:szCs w:val="24"/>
        </w:rPr>
        <w:t xml:space="preserve">Temporal and lifecycle trust has been operationalised in the current prototype, and empirical validation has been partially completed through automated and live negative testing. Consequently, formal security assurance forms the subsequent research scope and will be developed further in CA3.</w:t>
      </w:r>
    </w:p>
    <w:p>
      <w:pPr>
        <w:spacing w:after="140" w:line="300"/>
        <w:jc w:val="both"/>
      </w:pPr>
      <w:r>
        <w:rPr>
          <w:rFonts w:ascii="Cambria" w:cs="Cambria" w:eastAsia="Cambria" w:hAnsi="Cambria"/>
          <w:sz w:val="24"/>
          <w:szCs w:val="24"/>
        </w:rPr>
        <w:t xml:space="preserve">Based on the identified research gap, the overarching research question is formulated as follows:</w:t>
      </w:r>
    </w:p>
    <w:p>
      <w:pPr>
        <w:spacing w:after="140" w:line="300"/>
        <w:ind w:left="720" w:right="720"/>
        <w:jc w:val="both"/>
      </w:pPr>
      <w:r>
        <w:rPr>
          <w:rFonts w:ascii="Cambria" w:cs="Cambria" w:eastAsia="Cambria" w:hAnsi="Cambria"/>
          <w:i/>
          <w:iCs/>
          <w:sz w:val="24"/>
          <w:szCs w:val="24"/>
        </w:rPr>
        <w:t xml:space="preserve">How can a trust-oriented computing framework establish and enforce trustworthy multi-party consent for decentralised healthcare data sharing under identity, authority, and policy constraints?</w:t>
      </w:r>
    </w:p>
    <w:p>
      <w:pPr>
        <w:spacing w:after="140" w:line="300"/>
        <w:jc w:val="both"/>
      </w:pPr>
      <w:r>
        <w:rPr>
          <w:rFonts w:ascii="Cambria" w:cs="Cambria" w:eastAsia="Cambria" w:hAnsi="Cambria"/>
          <w:sz w:val="24"/>
          <w:szCs w:val="24"/>
        </w:rPr>
        <w:t xml:space="preserve">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spacing w:after="140" w:line="300"/>
        <w:jc w:val="both"/>
      </w:pPr>
      <w:r>
        <w:rPr>
          <w:rFonts w:ascii="Cambria" w:cs="Cambria" w:eastAsia="Cambria" w:hAnsi="Cambria"/>
          <w:sz w:val="24"/>
          <w:szCs w:val="24"/>
        </w:rP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spacing w:after="140" w:line="300"/>
        <w:jc w:val="both"/>
      </w:pPr>
      <w:r>
        <w:rPr>
          <w:rFonts w:ascii="Cambria" w:cs="Cambria" w:eastAsia="Cambria" w:hAnsi="Cambria"/>
          <w:sz w:val="24"/>
          <w:szCs w:val="24"/>
        </w:rPr>
        <w:t xml:space="preserve">For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the investigation is deliberately focused on the foundational conditions required to establish trustworthy authorisation. These conditions are represented through </w:t>
      </w:r>
      <w:r>
        <w:rPr>
          <w:rFonts w:ascii="Cambria" w:cs="Cambria" w:eastAsia="Cambria" w:hAnsi="Cambria"/>
          <w:color w:val="000000"/>
          <w:sz w:val="24"/>
          <w:szCs w:val="24"/>
        </w:rPr>
        <w:t xml:space="preserve">the first four of the six interconnected sub-research questions presented in Section 3.3, concerning</w:t>
      </w:r>
      <w:r>
        <w:rPr>
          <w:rFonts w:ascii="Cambria" w:cs="Cambria" w:eastAsia="Cambria" w:hAnsi="Cambria"/>
          <w:sz w:val="24"/>
          <w:szCs w:val="24"/>
        </w:rPr>
        <w:t xml:space="preserve"> consent modelling, identity and authority trust, multi-party authorisation, and policy-aware access control. </w:t>
      </w:r>
      <w:r>
        <w:rPr>
          <w:rFonts w:ascii="Cambria" w:cs="Cambria" w:eastAsia="Cambria" w:hAnsi="Cambria"/>
          <w:color w:val="000000"/>
          <w:sz w:val="24"/>
          <w:szCs w:val="24"/>
        </w:rPr>
        <w:t xml:space="preserve">The remaining two sub-questions, addressing temporal and lifecycle trust and formal security assurance, complete the six-question structure; the fifth is operationalised in the current prototype, and the formal component of the sixth is carried into the next stage of the research.</w:t>
      </w:r>
    </w:p>
    <w:p>
      <w:pPr>
        <w:pStyle w:val="Heading2"/>
        <w:spacing w:after="160" w:before="280"/>
      </w:pPr>
      <w:r>
        <w:t xml:space="preserve">3.3  Sub-Research Questions</w:t>
      </w:r>
    </w:p>
    <w:p>
      <w:pPr>
        <w:spacing w:after="140" w:line="300"/>
        <w:jc w:val="both"/>
      </w:pPr>
      <w:r>
        <w:rPr>
          <w:rFonts w:ascii="Cambria" w:cs="Cambria" w:eastAsia="Cambria" w:hAnsi="Cambria"/>
          <w:sz w:val="24"/>
          <w:szCs w:val="24"/>
        </w:rP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p>
      <w:pPr>
        <w:pStyle w:val="Heading3"/>
        <w:spacing w:after="160" w:before="280"/>
      </w:pPr>
      <w:r>
        <w:t xml:space="preserve">3.3.1  SRQ1: Trust-Centric Consent Modelling</w:t>
      </w:r>
    </w:p>
    <w:p>
      <w:pPr>
        <w:spacing w:after="140" w:line="300"/>
        <w:jc w:val="both"/>
      </w:pPr>
      <w:r>
        <w:rPr>
          <w:rFonts w:ascii="Cambria" w:cs="Cambria" w:eastAsia="Cambria" w:hAnsi="Cambria"/>
          <w:sz w:val="24"/>
          <w:szCs w:val="24"/>
        </w:rPr>
        <w:t xml:space="preserve">The first sub-research question is:</w:t>
      </w:r>
    </w:p>
    <w:p>
      <w:pPr>
        <w:spacing w:after="140" w:line="300"/>
        <w:ind w:left="720" w:right="720"/>
        <w:jc w:val="both"/>
      </w:pPr>
      <w:r>
        <w:rPr>
          <w:rFonts w:ascii="Cambria" w:cs="Cambria" w:eastAsia="Cambria" w:hAnsi="Cambria"/>
          <w:i/>
          <w:iCs/>
          <w:sz w:val="24"/>
          <w:szCs w:val="24"/>
        </w:rPr>
        <w:t xml:space="preserve">How can patient consent be modelled as a trust-aware authorisation object that explicitly represents identity, authority requirements, policy constraints, and authorisation evidence?</w:t>
      </w:r>
    </w:p>
    <w:p>
      <w:pPr>
        <w:spacing w:after="140" w:line="300"/>
        <w:jc w:val="both"/>
      </w:pPr>
      <w:r>
        <w:rPr>
          <w:rFonts w:ascii="Cambria" w:cs="Cambria" w:eastAsia="Cambria" w:hAnsi="Cambria"/>
          <w:sz w:val="24"/>
          <w:szCs w:val="24"/>
        </w:rP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(7)</w:t>
      </w:r>
    </w:p>
    <w:p>
      <w:pPr>
        <w:spacing w:after="140" w:line="300"/>
        <w:jc w:val="both"/>
      </w:pPr>
      <w:r>
        <w:rPr>
          <w:rFonts w:ascii="Cambria" w:cs="Cambria" w:eastAsia="Cambria" w:hAnsi="Cambria"/>
          <w:color w:val="000000"/>
          <w:sz w:val="24"/>
          <w:szCs w:val="24"/>
        </w:rPr>
        <w:t xml:space="preserve">where I represents the participating identities, A represents the authority and multi-party authorisation evidence, P represents the purpose and data-scope constraints, T represents the temporal validity window, L represents the jurisdictional constraint, and E represents the enforcement state recording whether the consent remains active or has been revoked.</w:t>
      </w:r>
    </w:p>
    <w:p>
      <w:pPr>
        <w:spacing w:after="140" w:line="300"/>
        <w:jc w:val="both"/>
      </w:pPr>
      <w:r>
        <w:rPr>
          <w:rFonts w:ascii="Cambria" w:cs="Cambria" w:eastAsia="Cambria" w:hAnsi="Cambria"/>
          <w:sz w:val="24"/>
          <w:szCs w:val="24"/>
        </w:rP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spacing w:after="140" w:line="300"/>
        <w:jc w:val="both"/>
      </w:pPr>
      <w:r>
        <w:rPr>
          <w:rFonts w:ascii="Cambria" w:cs="Cambria" w:eastAsia="Cambria" w:hAnsi="Cambria"/>
          <w:sz w:val="24"/>
          <w:szCs w:val="24"/>
        </w:rPr>
        <w:t xml:space="preserve">SRQ1 therefore establishes the conceptual representation required by the subsequent identity, multi-party authorisation, policy, and security-assurance mechanisms.</w:t>
      </w:r>
    </w:p>
    <w:p>
      <w:pPr>
        <w:pStyle w:val="Heading3"/>
        <w:spacing w:after="160" w:before="280"/>
      </w:pPr>
      <w:r>
        <w:t xml:space="preserve">3.3.2  SRQ2: Decentralised Identity and Authority Trust</w:t>
      </w:r>
    </w:p>
    <w:p>
      <w:pPr>
        <w:spacing w:after="140" w:line="300"/>
        <w:jc w:val="both"/>
      </w:pPr>
      <w:r>
        <w:rPr>
          <w:rFonts w:ascii="Cambria" w:cs="Cambria" w:eastAsia="Cambria" w:hAnsi="Cambria"/>
          <w:sz w:val="24"/>
          <w:szCs w:val="24"/>
        </w:rPr>
        <w:t xml:space="preserve">The second sub-research question is:</w:t>
      </w:r>
    </w:p>
    <w:p>
      <w:pPr>
        <w:spacing w:after="140" w:line="300"/>
        <w:ind w:left="720" w:right="720"/>
        <w:jc w:val="both"/>
      </w:pPr>
      <w:r>
        <w:rPr>
          <w:rFonts w:ascii="Cambria" w:cs="Cambria" w:eastAsia="Cambria" w:hAnsi="Cambria"/>
          <w:i/>
          <w:iCs/>
          <w:sz w:val="24"/>
          <w:szCs w:val="24"/>
        </w:rPr>
        <w:t xml:space="preserve">How can decentralised identities and verifiable credentials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A fundamental principle of the proposed framework is that identity and authorisation should not be treated as equivalent. A valid decentralised identifier establishes the identity of a participant, while a verifiable credential provides evidence concerning the participant’s role or authority. </w:t>
      </w:r>
      <w:r>
        <w:rPr>
          <w:rFonts w:ascii="Cambria" w:cs="Cambria" w:eastAsia="Cambria" w:hAnsi="Cambria"/>
          <w:color w:val="000000"/>
          <w:sz w:val="24"/>
          <w:szCs w:val="24"/>
        </w:rPr>
        <w:t xml:space="preserve">Therefore, Identity</w:t>
      </w:r>
      <w:r>
        <w:rPr>
          <w:rFonts w:ascii="Cambria" w:cs="Cambria" w:eastAsia="Cambria" w:hAnsi="Cambria"/>
          <w:sz w:val="24"/>
          <w:szCs w:val="24"/>
        </w:rPr>
        <w:t xml:space="preserve"> ≠ Authorisation. The identity and authority validity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(8)</w:t>
      </w:r>
    </w:p>
    <w:p>
      <w:pPr>
        <w:spacing w:after="140" w:line="300"/>
        <w:jc w:val="both"/>
      </w:pPr>
      <w:r>
        <w:rPr>
          <w:rFonts w:ascii="Cambria" w:cs="Cambria" w:eastAsia="Cambria" w:hAnsi="Cambria"/>
          <w:sz w:val="24"/>
          <w:szCs w:val="24"/>
        </w:rP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spacing w:after="140" w:line="300"/>
        <w:jc w:val="both"/>
      </w:pPr>
      <w:r>
        <w:rPr>
          <w:rFonts w:ascii="Cambria" w:cs="Cambria" w:eastAsia="Cambria" w:hAnsi="Cambria"/>
          <w:sz w:val="24"/>
          <w:szCs w:val="24"/>
        </w:rPr>
        <w:t xml:space="preserve">SRQ2 therefore addresses how trustworthy participants can be established before their participation in collective authorisation decisions.</w:t>
      </w:r>
    </w:p>
    <w:p>
      <w:pPr>
        <w:pStyle w:val="Heading3"/>
        <w:spacing w:after="160" w:before="280"/>
      </w:pPr>
      <w:r>
        <w:t xml:space="preserve">3.3.3  SRQ3: Trustworthy Multi-Party Authorisation</w:t>
      </w:r>
    </w:p>
    <w:p>
      <w:pPr>
        <w:spacing w:after="140" w:line="300"/>
        <w:jc w:val="both"/>
      </w:pPr>
      <w:r>
        <w:rPr>
          <w:rFonts w:ascii="Cambria" w:cs="Cambria" w:eastAsia="Cambria" w:hAnsi="Cambria"/>
          <w:sz w:val="24"/>
          <w:szCs w:val="24"/>
        </w:rPr>
        <w:t xml:space="preserve">The third sub-research question is:</w:t>
      </w:r>
    </w:p>
    <w:p>
      <w:pPr>
        <w:spacing w:after="140" w:line="300"/>
        <w:ind w:left="720" w:right="720"/>
        <w:jc w:val="both"/>
      </w:pPr>
      <w:r>
        <w:rPr>
          <w:rFonts w:ascii="Cambria" w:cs="Cambria" w:eastAsia="Cambria" w:hAnsi="Cambria"/>
          <w:i/>
          <w:iCs/>
          <w:sz w:val="24"/>
          <w:szCs w:val="24"/>
        </w:rPr>
        <w:t xml:space="preserve">How can multiple independently verified participants jointly establish a trustworthy consent decision without allowing a single participant to unilaterally authorise sensitive healthcare data access?</w:t>
      </w:r>
    </w:p>
    <w:p>
      <w:pPr>
        <w:spacing w:after="140" w:line="300"/>
        <w:jc w:val="both"/>
      </w:pPr>
      <w:r>
        <w:rPr>
          <w:rFonts w:ascii="Cambria" w:cs="Cambria" w:eastAsia="Cambria" w:hAnsi="Cambria"/>
          <w:sz w:val="24"/>
          <w:szCs w:val="24"/>
        </w:rPr>
        <w:t xml:space="preserve">This question addresses the collaborative authorisation problem.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independently verified authorisation participants and let N denote the required authorisation threshold. Multi-party authorisation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(9)</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color w:val="000000"/>
          <w:sz w:val="22"/>
          <w:szCs w:val="22"/>
        </w:rPr>
        <w:t xml:space="preserve">|A</w:t>
      </w:r>
      <w:r>
        <w:rPr>
          <w:rFonts w:ascii="Cambria Math" w:cs="Cambria Math" w:eastAsia="Cambria Math" w:hAnsi="Cambria Math"/>
          <w:i/>
          <w:iCs/>
          <w:color w:val="000000"/>
          <w:sz w:val="22"/>
          <w:szCs w:val="22"/>
          <w:vertAlign w:val="subscript"/>
        </w:rPr>
        <w:t xml:space="preserve">v</w:t>
      </w:r>
      <w:r>
        <w:rPr>
          <w:rFonts w:ascii="Cambria Math" w:cs="Cambria Math" w:eastAsia="Cambria Math" w:hAnsi="Cambria Math"/>
          <w:i/>
          <w:iCs/>
          <w:color w:val="000000"/>
          <w:sz w:val="22"/>
          <w:szCs w:val="22"/>
        </w:rPr>
        <w:t xml:space="preserve">| &lt; N ⟹ Decision(C, R) = DENY.</w:t>
      </w:r>
      <w:r>
        <w:rPr>
          <w:rFonts w:ascii="Cambria" w:cs="Cambria" w:eastAsia="Cambria" w:hAnsi="Cambria"/>
          <w:color w:val="000000"/>
          <w:sz w:val="22"/>
          <w:szCs w:val="22"/>
        </w:rPr>
        <w:t xml:space="preserve">	(10)</w:t>
      </w:r>
    </w:p>
    <w:p>
      <w:pPr>
        <w:spacing w:after="140" w:line="300"/>
        <w:jc w:val="both"/>
      </w:pPr>
      <w:r>
        <w:rPr>
          <w:rFonts w:ascii="Cambria" w:cs="Cambria" w:eastAsia="Cambria" w:hAnsi="Cambria"/>
          <w:color w:val="000000"/>
          <w:sz w:val="24"/>
          <w:szCs w:val="24"/>
        </w:rPr>
        <w:t xml:space="preserve">Consequently, in the implemented framework N is instantiated as |G|, the number of designated guardians, so that activation requires the approval of every listed guardian; configurable k-of-n thresholds are identified as future work.</w:t>
      </w:r>
    </w:p>
    <w:p>
      <w:pPr>
        <w:spacing w:after="140" w:line="300"/>
        <w:jc w:val="both"/>
      </w:pPr>
      <w:r>
        <w:rPr>
          <w:rFonts w:ascii="Cambria" w:cs="Cambria" w:eastAsia="Cambria" w:hAnsi="Cambria"/>
          <w:sz w:val="24"/>
          <w:szCs w:val="24"/>
        </w:rP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spacing w:after="140" w:line="300"/>
        <w:jc w:val="both"/>
      </w:pPr>
      <w:r>
        <w:rPr>
          <w:rFonts w:ascii="Cambria" w:cs="Cambria" w:eastAsia="Cambria" w:hAnsi="Cambria"/>
          <w:sz w:val="24"/>
          <w:szCs w:val="24"/>
        </w:rPr>
        <w:t xml:space="preserve">More fundamentally, SRQ3 changes the interpretation of trust from an assumption concerning a single trusted entity to a property established through the joint satisfaction of independently verified authorisation requirements.</w:t>
      </w:r>
    </w:p>
    <w:p>
      <w:pPr>
        <w:pStyle w:val="Heading3"/>
        <w:spacing w:after="160" w:before="280"/>
      </w:pPr>
      <w:r>
        <w:t xml:space="preserve">3.3.4  SRQ4: Policy- and Context-Aware Access Control</w:t>
      </w:r>
    </w:p>
    <w:p>
      <w:pPr>
        <w:spacing w:after="140" w:line="300"/>
        <w:jc w:val="both"/>
      </w:pPr>
      <w:r>
        <w:rPr>
          <w:rFonts w:ascii="Cambria" w:cs="Cambria" w:eastAsia="Cambria" w:hAnsi="Cambria"/>
          <w:sz w:val="24"/>
          <w:szCs w:val="24"/>
        </w:rPr>
        <w:t xml:space="preserve">The fourth sub-research question is</w:t>
      </w:r>
    </w:p>
    <w:p>
      <w:pPr>
        <w:spacing w:after="140" w:line="300"/>
        <w:ind w:left="720" w:right="720"/>
        <w:jc w:val="both"/>
      </w:pPr>
      <w:r>
        <w:rPr>
          <w:rFonts w:ascii="Cambria" w:cs="Cambria" w:eastAsia="Cambria" w:hAnsi="Cambria"/>
          <w:i/>
          <w:iCs/>
          <w:sz w:val="24"/>
          <w:szCs w:val="24"/>
        </w:rPr>
        <w:t xml:space="preserve">How can policy, purpose, and data-scope constraints be incorporated into authorisation decisions so that valid identities and sufficient approvals cannot be used to obtain unauthorised healthcare data?</w:t>
      </w:r>
    </w:p>
    <w:p>
      <w:pPr>
        <w:spacing w:after="140" w:line="300"/>
        <w:jc w:val="both"/>
      </w:pPr>
      <w:r>
        <w:rPr>
          <w:rFonts w:ascii="Cambria" w:cs="Cambria" w:eastAsia="Cambria" w:hAnsi="Cambria"/>
          <w:sz w:val="24"/>
          <w:szCs w:val="24"/>
        </w:rP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(11)</w:t>
      </w:r>
    </w:p>
    <w:p>
      <w:pPr>
        <w:spacing w:after="140" w:line="300"/>
        <w:jc w:val="both"/>
      </w:pPr>
      <w:r>
        <w:rPr>
          <w:rFonts w:ascii="Cambria" w:cs="Cambria" w:eastAsia="Cambria" w:hAnsi="Cambria"/>
          <w:sz w:val="24"/>
          <w:szCs w:val="24"/>
        </w:rPr>
        <w:t xml:space="preserve">which evaluates whether the requested operation satisfies the purpose and data-scope constraints defined by the consent object.</w:t>
      </w:r>
    </w:p>
    <w:p>
      <w:pPr>
        <w:spacing w:after="140" w:line="300"/>
        <w:jc w:val="both"/>
      </w:pPr>
      <w:r>
        <w:rPr>
          <w:rFonts w:ascii="Cambria" w:cs="Cambria" w:eastAsia="Cambria" w:hAnsi="Cambria"/>
          <w:sz w:val="24"/>
          <w:szCs w:val="24"/>
        </w:rPr>
        <w:t xml:space="preserve">For example, if a consent authorises access to</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(12)</w:t>
      </w:r>
    </w:p>
    <w:p>
      <w:pPr>
        <w:spacing w:after="140" w:line="300"/>
        <w:jc w:val="both"/>
      </w:pPr>
      <w:r>
        <w:rPr>
          <w:rFonts w:ascii="Cambria" w:cs="Cambria" w:eastAsia="Cambria" w:hAnsi="Cambria"/>
          <w:sz w:val="24"/>
          <w:szCs w:val="24"/>
        </w:rPr>
        <w:t xml:space="preserve">while the request contains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(13)</w:t>
      </w:r>
    </w:p>
    <w:p>
      <w:pPr>
        <w:spacing w:after="140" w:line="300"/>
        <w:jc w:val="both"/>
      </w:pPr>
      <w:r>
        <w:rPr>
          <w:rFonts w:ascii="Cambria" w:cs="Cambria" w:eastAsia="Cambria" w:hAnsi="Cambria"/>
          <w:sz w:val="24"/>
          <w:szCs w:val="24"/>
        </w:rPr>
        <w:t xml:space="preserve">the request must be rejected when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(14)</w:t>
      </w:r>
    </w:p>
    <w:p>
      <w:pPr>
        <w:spacing w:after="140" w:line="300"/>
        <w:jc w:val="both"/>
      </w:pPr>
      <w:r>
        <w:rPr>
          <w:rFonts w:ascii="Cambria" w:cs="Cambria" w:eastAsia="Cambria" w:hAnsi="Cambria"/>
          <w:sz w:val="24"/>
          <w:szCs w:val="24"/>
        </w:rPr>
        <w:t xml:space="preserve">Similarly, a request may be rejected when its declared purpose is inconsistent with the purpose specified in the consent.</w:t>
      </w:r>
    </w:p>
    <w:p>
      <w:pPr>
        <w:spacing w:after="140" w:line="300"/>
        <w:jc w:val="both"/>
      </w:pPr>
      <w:r>
        <w:rPr>
          <w:rFonts w:ascii="Cambria" w:cs="Cambria" w:eastAsia="Cambria" w:hAnsi="Cambria"/>
          <w:sz w:val="24"/>
          <w:szCs w:val="24"/>
        </w:rPr>
        <w:t xml:space="preserve">Thus, trustworthy authorisation requires not only trusted participants and sufficient approvals, but also compliance between the requested operation and the authorisation policy.</w:t>
      </w:r>
    </w:p>
    <w:p>
      <w:pPr>
        <w:spacing w:after="140" w:line="300"/>
        <w:jc w:val="both"/>
      </w:pPr>
      <w:r>
        <w:rPr>
          <w:rFonts w:ascii="Cambria" w:cs="Cambria" w:eastAsia="Cambria" w:hAnsi="Cambria"/>
          <w:sz w:val="24"/>
          <w:szCs w:val="24"/>
        </w:rPr>
        <w:t xml:space="preserve">SRQ4 therefore completes the foundational access-control mechanisms by connecting participant trust and collective authorisation with the actual operation being requested.</w:t>
      </w:r>
    </w:p>
    <w:p>
      <w:pPr>
        <w:pStyle w:val="Heading3"/>
        <w:spacing w:after="160" w:before="280"/>
      </w:pPr>
      <w:r>
        <w:t xml:space="preserve">3.3.5  SRQ5: Temporal and Lifecycle Trust</w:t>
      </w:r>
    </w:p>
    <w:p>
      <w:pPr>
        <w:spacing w:after="140" w:line="300"/>
        <w:jc w:val="both"/>
      </w:pPr>
      <w:r>
        <w:rPr>
          <w:rFonts w:ascii="Cambria" w:cs="Cambria" w:eastAsia="Cambria" w:hAnsi="Cambria"/>
          <w:sz w:val="24"/>
          <w:szCs w:val="24"/>
        </w:rPr>
        <w:t xml:space="preserve">The fifth sub-research question is</w:t>
      </w:r>
    </w:p>
    <w:p>
      <w:pPr>
        <w:spacing w:after="140" w:line="300"/>
        <w:ind w:left="720" w:right="720"/>
        <w:jc w:val="both"/>
      </w:pPr>
      <w:r>
        <w:rPr>
          <w:rFonts w:ascii="Cambria" w:cs="Cambria" w:eastAsia="Cambria" w:hAnsi="Cambria"/>
          <w:i/>
          <w:iCs/>
          <w:sz w:val="24"/>
          <w:szCs w:val="24"/>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spacing w:after="140" w:line="300"/>
        <w:jc w:val="both"/>
      </w:pPr>
      <w:r>
        <w:rPr>
          <w:rFonts w:ascii="Cambria" w:cs="Cambria" w:eastAsia="Cambria" w:hAnsi="Cambria"/>
          <w:sz w:val="24"/>
          <w:szCs w:val="24"/>
        </w:rPr>
        <w:t xml:space="preserve">Trustworthy authorisation is inherently dynamic. A consent that is valid at one point in time cannot necessarily be assumed to remain valid indefinitely. Let the validity interval of a consent object be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Temporal validity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(15)</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sz w:val="22"/>
          <w:szCs w:val="22"/>
        </w:rPr>
        <w:t xml:space="preserve">t &lt;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&gt;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(16)</w:t>
      </w:r>
    </w:p>
    <w:p>
      <w:pPr>
        <w:spacing w:after="140" w:line="300"/>
        <w:jc w:val="both"/>
      </w:pPr>
      <w:r>
        <w:rPr>
          <w:rFonts w:ascii="Cambria" w:cs="Cambria" w:eastAsia="Cambria" w:hAnsi="Cambria"/>
          <w:sz w:val="24"/>
          <w:szCs w:val="24"/>
        </w:rPr>
        <w:t xml:space="preserve">Temporal validity must also be evaluated together with the lifecycle state of the consent. The lifecycle can be represented as</w:t>
      </w:r>
    </w:p>
    <w:p>
      <w:pPr>
        <w:tabs>
          <w:tab w:val="right" w:pos="9360"/>
        </w:tabs>
        <w:spacing w:after="160" w:before="60"/>
        <w:jc w:val="center"/>
      </w:pPr>
      <w:r>
        <w:rPr>
          <w:rFonts w:ascii="Cambria Math" w:cs="Cambria Math" w:eastAsia="Cambria Math" w:hAnsi="Cambria Math"/>
          <w:i/>
          <w:iCs/>
          <w:sz w:val="22"/>
          <w:szCs w:val="22"/>
        </w:rPr>
        <w:t xml:space="preserve">Specification → Verification → Approval → Active → Expiration/Revocation.</w:t>
      </w:r>
      <w:r>
        <w:rPr>
          <w:rFonts w:ascii="Cambria" w:cs="Cambria" w:eastAsia="Cambria" w:hAnsi="Cambria"/>
          <w:sz w:val="22"/>
          <w:szCs w:val="22"/>
        </w:rPr>
        <w:t xml:space="preserve">	(17)</w:t>
      </w:r>
    </w:p>
    <w:p>
      <w:pPr>
        <w:spacing w:after="140" w:line="300"/>
        <w:jc w:val="both"/>
      </w:pPr>
      <w:r>
        <w:rPr>
          <w:rFonts w:ascii="Cambria" w:cs="Cambria" w:eastAsia="Cambria" w:hAnsi="Cambria"/>
          <w:sz w:val="24"/>
          <w:szCs w:val="24"/>
        </w:rPr>
        <w:t xml:space="preserve">The lifecycle validity predicate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 = ValidState(C) ∧ ValidTransition(C).</w:t>
      </w:r>
      <w:r>
        <w:rPr>
          <w:rFonts w:ascii="Cambria" w:cs="Cambria" w:eastAsia="Cambria" w:hAnsi="Cambria"/>
          <w:sz w:val="22"/>
          <w:szCs w:val="22"/>
        </w:rPr>
        <w:t xml:space="preserve">	(18)</w:t>
      </w:r>
    </w:p>
    <w:p>
      <w:pPr>
        <w:spacing w:after="140" w:line="300"/>
        <w:jc w:val="both"/>
      </w:pPr>
      <w:r>
        <w:rPr>
          <w:rFonts w:ascii="Cambria" w:cs="Cambria" w:eastAsia="Cambria" w:hAnsi="Cambria"/>
          <w:sz w:val="24"/>
          <w:szCs w:val="24"/>
        </w:rP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w:t>
      </w:r>
    </w:p>
    <w:p>
      <w:pPr>
        <w:spacing w:after="140" w:line="300"/>
        <w:jc w:val="both"/>
      </w:pPr>
      <w:r>
        <w:rPr>
          <w:rFonts w:ascii="Cambria" w:cs="Cambria" w:eastAsia="Cambria" w:hAnsi="Cambria"/>
          <w:sz w:val="24"/>
          <w:szCs w:val="24"/>
        </w:rPr>
        <w:t xml:space="preserve">SRQ5 therefore extends the foundational authorisation model into a dynamic consent environment in which trust is continuously evaluated according to both temporal conditions and lifecycle state.</w:t>
      </w:r>
    </w:p>
    <w:p>
      <w:pPr>
        <w:pStyle w:val="Heading3"/>
        <w:spacing w:after="160" w:before="280"/>
      </w:pPr>
      <w:r>
        <w:t xml:space="preserve">3.3.6  SRQ6: Formal Security Assurance and Empirical Validation</w:t>
      </w:r>
    </w:p>
    <w:p>
      <w:pPr>
        <w:spacing w:after="140" w:line="300"/>
        <w:jc w:val="both"/>
      </w:pPr>
      <w:r>
        <w:rPr>
          <w:rFonts w:ascii="Cambria" w:cs="Cambria" w:eastAsia="Cambria" w:hAnsi="Cambria"/>
          <w:sz w:val="24"/>
          <w:szCs w:val="24"/>
        </w:rPr>
        <w:t xml:space="preserve">The sixth sub-research question is</w:t>
      </w:r>
    </w:p>
    <w:p>
      <w:pPr>
        <w:spacing w:after="140" w:line="300"/>
        <w:ind w:left="720" w:right="720"/>
        <w:jc w:val="both"/>
      </w:pPr>
      <w:r>
        <w:rPr>
          <w:rFonts w:ascii="Cambria" w:cs="Cambria" w:eastAsia="Cambria" w:hAnsi="Cambria"/>
          <w:i/>
          <w:iCs/>
          <w:sz w:val="24"/>
          <w:szCs w:val="24"/>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40" w:line="300"/>
        <w:jc w:val="both"/>
      </w:pPr>
      <w:r>
        <w:rPr>
          <w:rFonts w:ascii="Cambria" w:cs="Cambria" w:eastAsia="Cambria" w:hAnsi="Cambria"/>
          <w:sz w:val="24"/>
          <w:szCs w:val="24"/>
        </w:rP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spacing w:after="140" w:line="300"/>
        <w:jc w:val="both"/>
      </w:pPr>
      <w:r>
        <w:rPr>
          <w:rFonts w:ascii="Cambria" w:cs="Cambria" w:eastAsia="Cambria" w:hAnsi="Cambria"/>
          <w:sz w:val="24"/>
          <w:szCs w:val="24"/>
        </w:rPr>
        <w:t xml:space="preserve">The overall authorisation decision is defined as a conjunction of independently evaluated predicates</w:t>
      </w:r>
    </w:p>
    <w:p>
      <w:pPr>
        <w:tabs>
          <w:tab w:val="right" w:pos="9360"/>
        </w:tabs>
        <w:spacing w:after="160" w:before="60"/>
        <w:jc w:val="center"/>
      </w:pPr>
      <w:r>
        <w:rPr>
          <w:rFonts w:ascii="Cambria Math" w:cs="Cambria Math" w:eastAsia="Cambria Math" w:hAnsi="Cambria Math"/>
          <w:i/>
          <w:iCs/>
          <w:sz w:val="22"/>
          <w:szCs w:val="22"/>
        </w:rPr>
        <w:t xml:space="preserve">Decision(C, R) =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DENY, otherwise. }</w:t>
      </w:r>
      <w:r>
        <w:rPr>
          <w:rFonts w:ascii="Cambria" w:cs="Cambria" w:eastAsia="Cambria" w:hAnsi="Cambria"/>
          <w:sz w:val="22"/>
          <w:szCs w:val="22"/>
        </w:rPr>
        <w:t xml:space="preserve">	(19)</w:t>
      </w:r>
    </w:p>
    <w:p>
      <w:pPr>
        <w:spacing w:after="140" w:line="300"/>
        <w:jc w:val="both"/>
      </w:pPr>
      <w:r>
        <w:rPr>
          <w:rFonts w:ascii="Cambria" w:cs="Cambria" w:eastAsia="Cambria" w:hAnsi="Cambria"/>
          <w:sz w:val="24"/>
          <w:szCs w:val="24"/>
        </w:rPr>
        <w:t xml:space="preserve">The corresponding security properties include identity correctness, which can be formulated as</w:t>
      </w:r>
    </w:p>
    <w:p>
      <w:pPr>
        <w:tabs>
          <w:tab w:val="right" w:pos="9360"/>
        </w:tabs>
        <w:spacing w:after="160" w:before="60"/>
        <w:jc w:val="center"/>
      </w:pPr>
      <w:r>
        <w:rPr>
          <w:rFonts w:ascii="Cambria Math" w:cs="Cambria Math" w:eastAsia="Cambria Math" w:hAnsi="Cambria Math"/>
          <w:i/>
          <w:iCs/>
          <w:sz w:val="22"/>
          <w:szCs w:val="22"/>
        </w:rPr>
        <w:t xml:space="preserve">u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w:t>
      </w:r>
      <w:r>
        <w:rPr>
          <w:rFonts w:ascii="Cambria" w:cs="Cambria" w:eastAsia="Cambria" w:hAnsi="Cambria"/>
          <w:sz w:val="22"/>
          <w:szCs w:val="22"/>
        </w:rPr>
        <w:t xml:space="preserve">	(20)</w:t>
      </w:r>
    </w:p>
    <w:p>
      <w:pPr>
        <w:spacing w:after="140" w:line="300"/>
        <w:jc w:val="both"/>
      </w:pPr>
      <w:r>
        <w:rPr>
          <w:rFonts w:ascii="Cambria" w:cs="Cambria" w:eastAsia="Cambria" w:hAnsi="Cambria"/>
          <w:sz w:val="24"/>
          <w:szCs w:val="24"/>
        </w:rPr>
        <w:t xml:space="preserve">authorisation integrity</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(21)</w:t>
      </w:r>
    </w:p>
    <w:p>
      <w:pPr>
        <w:spacing w:after="140" w:line="300"/>
        <w:jc w:val="both"/>
      </w:pPr>
      <w:r>
        <w:rPr>
          <w:rFonts w:ascii="Cambria" w:cs="Cambria" w:eastAsia="Cambria" w:hAnsi="Cambria"/>
          <w:sz w:val="24"/>
          <w:szCs w:val="24"/>
        </w:rPr>
        <w:t xml:space="preserve">threshold security, formulated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(22)</w:t>
      </w:r>
    </w:p>
    <w:p>
      <w:pPr>
        <w:spacing w:after="140" w:line="300"/>
        <w:jc w:val="both"/>
      </w:pPr>
      <w:r>
        <w:rPr>
          <w:rFonts w:ascii="Cambria" w:cs="Cambria" w:eastAsia="Cambria" w:hAnsi="Cambria"/>
          <w:sz w:val="24"/>
          <w:szCs w:val="24"/>
        </w:rPr>
        <w:t xml:space="preserve">and temporal safety, formulated as</w:t>
      </w:r>
    </w:p>
    <w:p>
      <w:pPr>
        <w:tabs>
          <w:tab w:val="right" w:pos="9360"/>
        </w:tabs>
        <w:spacing w:after="160" w:before="60"/>
        <w:jc w:val="center"/>
      </w:pPr>
      <w:r>
        <w:rPr>
          <w:rFonts w:ascii="Cambria Math" w:cs="Cambria Math" w:eastAsia="Cambria Math" w:hAnsi="Cambria Math"/>
          <w:i/>
          <w:iCs/>
          <w:sz w:val="22"/>
          <w:szCs w:val="22"/>
        </w:rPr>
        <w:t xml:space="preserve">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(23)</w:t>
      </w:r>
    </w:p>
    <w:p>
      <w:pPr>
        <w:spacing w:after="140" w:line="300"/>
        <w:jc w:val="both"/>
      </w:pPr>
      <w:r>
        <w:rPr>
          <w:rFonts w:ascii="Cambria" w:cs="Cambria" w:eastAsia="Cambria" w:hAnsi="Cambria"/>
          <w:sz w:val="24"/>
          <w:szCs w:val="24"/>
        </w:rPr>
        <w:t xml:space="preserve">Lifecycle safety additionally requires that unauthorised state transitions be rejected</w:t>
      </w:r>
    </w:p>
    <w:p>
      <w:pPr>
        <w:tabs>
          <w:tab w:val="right" w:pos="9360"/>
        </w:tabs>
        <w:spacing w:after="160" w:before="60"/>
        <w:jc w:val="center"/>
      </w:pPr>
      <w:r>
        <w:rPr>
          <w:rFonts w:ascii="Cambria Math" w:cs="Cambria Math" w:eastAsia="Cambria Math" w:hAnsi="Cambria Math"/>
          <w:i/>
          <w:iCs/>
          <w:sz w:val="22"/>
          <w:szCs w:val="22"/>
        </w:rPr>
        <w:t xml:space="preserve">IllegalTransition(C) ⟹ Reject.</w:t>
      </w:r>
      <w:r>
        <w:rPr>
          <w:rFonts w:ascii="Cambria" w:cs="Cambria" w:eastAsia="Cambria" w:hAnsi="Cambria"/>
          <w:sz w:val="22"/>
          <w:szCs w:val="22"/>
        </w:rPr>
        <w:t xml:space="preserve">	(24)</w:t>
      </w:r>
    </w:p>
    <w:p>
      <w:pPr>
        <w:spacing w:after="140" w:line="300"/>
        <w:jc w:val="both"/>
      </w:pPr>
      <w:r>
        <w:rPr>
          <w:rFonts w:ascii="Cambria" w:cs="Cambria" w:eastAsia="Cambria" w:hAnsi="Cambria"/>
          <w:sz w:val="24"/>
          <w:szCs w:val="24"/>
        </w:rP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spacing w:after="140" w:line="300"/>
        <w:jc w:val="both"/>
      </w:pPr>
      <w:r>
        <w:rPr>
          <w:rFonts w:ascii="Cambria" w:cs="Cambria" w:eastAsia="Cambria" w:hAnsi="Cambria"/>
          <w:sz w:val="24"/>
          <w:szCs w:val="24"/>
        </w:rPr>
        <w:t xml:space="preserve">The empirical component evaluates whether the implemented HALAH framework realises these defined properties in representative decentralised healthcare data-sharing scenarios. </w:t>
      </w:r>
      <w:r>
        <w:rPr>
          <w:rFonts w:ascii="Cambria" w:cs="Cambria" w:eastAsia="Cambria" w:hAnsi="Cambria"/>
          <w:color w:val="000000"/>
          <w:sz w:val="24"/>
          <w:szCs w:val="24"/>
        </w:rPr>
        <w:t xml:space="preserve">Synthetic demonstration records, containing no real patient data, are used</w:t>
      </w:r>
      <w:r>
        <w:rPr>
          <w:rFonts w:ascii="Cambria" w:cs="Cambria" w:eastAsia="Cambria" w:hAnsi="Cambria"/>
          <w:sz w:val="24"/>
          <w:szCs w:val="24"/>
        </w:rPr>
        <w:t xml:space="preserve">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spacing w:after="140" w:line="300"/>
        <w:jc w:val="both"/>
      </w:pPr>
      <w:r>
        <w:rPr>
          <w:rFonts w:ascii="Cambria" w:cs="Cambria" w:eastAsia="Cambria" w:hAnsi="Cambria"/>
          <w:sz w:val="24"/>
          <w:szCs w:val="24"/>
        </w:rPr>
        <w:t xml:space="preserve">For a representative multi-party consent scenario, if two authorised participants are required, then it yields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1,</w:t>
      </w:r>
      <w:r>
        <w:rPr>
          <w:rFonts w:ascii="Cambria" w:cs="Cambria" w:eastAsia="Cambria" w:hAnsi="Cambria"/>
          <w:sz w:val="22"/>
          <w:szCs w:val="22"/>
        </w:rPr>
        <w:t xml:space="preserve">	(25)</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0.</w:t>
      </w:r>
      <w:r>
        <w:rPr>
          <w:rFonts w:ascii="Cambria" w:cs="Cambria" w:eastAsia="Cambria" w:hAnsi="Cambria"/>
          <w:sz w:val="22"/>
          <w:szCs w:val="22"/>
        </w:rPr>
        <w:t xml:space="preserve">	(26)</w:t>
      </w:r>
    </w:p>
    <w:p>
      <w:pPr>
        <w:spacing w:after="140" w:line="300"/>
        <w:jc w:val="both"/>
      </w:pPr>
      <w:r>
        <w:rPr>
          <w:rFonts w:ascii="Cambria" w:cs="Cambria" w:eastAsia="Cambria" w:hAnsi="Cambria"/>
          <w:sz w:val="24"/>
          <w:szCs w:val="24"/>
        </w:rP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spacing w:after="140" w:line="300"/>
        <w:jc w:val="both"/>
      </w:pPr>
      <w:r>
        <w:rPr>
          <w:rFonts w:ascii="Cambria" w:cs="Cambria" w:eastAsia="Cambria" w:hAnsi="Cambria"/>
          <w:sz w:val="24"/>
          <w:szCs w:val="24"/>
        </w:rPr>
        <w:t xml:space="preserve">Audit records are generated throughout the workflow to provide evidence of consent creation, participant verification, approval events, authorisation-state evaluation, data-access decisions, and relevant lifecycle transitions.</w:t>
      </w:r>
    </w:p>
    <w:p>
      <w:pPr>
        <w:spacing w:after="140" w:line="300"/>
        <w:jc w:val="both"/>
      </w:pPr>
      <w:r>
        <w:rPr>
          <w:rFonts w:ascii="Cambria" w:cs="Cambria" w:eastAsia="Cambria" w:hAnsi="Cambria"/>
          <w:sz w:val="24"/>
          <w:szCs w:val="24"/>
        </w:rP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spacing w:after="140" w:line="300"/>
        <w:jc w:val="both"/>
      </w:pPr>
      <w:r>
        <w:rPr>
          <w:rFonts w:ascii="Cambria" w:cs="Cambria" w:eastAsia="Cambria" w:hAnsi="Cambria"/>
          <w:sz w:val="24"/>
          <w:szCs w:val="24"/>
        </w:rPr>
        <w:t xml:space="preserve">SRQ6 consequently represents the final assurance stage of the research programme 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p>
      <w:pPr>
        <w:pStyle w:val="Heading2"/>
        <w:spacing w:after="160" w:before="280"/>
      </w:pPr>
      <w:r>
        <w:t xml:space="preserve">3.4  Research Questions as an Integrated Research Problem</w:t>
      </w:r>
    </w:p>
    <w:p>
      <w:pPr>
        <w:spacing w:after="140" w:line="300"/>
        <w:jc w:val="both"/>
      </w:pPr>
      <w:r>
        <w:rPr>
          <w:rFonts w:ascii="Cambria" w:cs="Cambria" w:eastAsia="Cambria" w:hAnsi="Cambria"/>
          <w:sz w:val="24"/>
          <w:szCs w:val="24"/>
        </w:rP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spacing w:after="140" w:line="300"/>
        <w:jc w:val="both"/>
      </w:pPr>
      <w:r>
        <w:rPr>
          <w:rFonts w:ascii="Cambria" w:cs="Cambria" w:eastAsia="Cambria" w:hAnsi="Cambria"/>
          <w:sz w:val="24"/>
          <w:szCs w:val="24"/>
        </w:rP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spacing w:after="140" w:line="300"/>
        <w:jc w:val="both"/>
      </w:pPr>
      <w:r>
        <w:rPr>
          <w:rFonts w:ascii="Cambria" w:cs="Cambria" w:eastAsia="Cambria" w:hAnsi="Cambria"/>
          <w:sz w:val="24"/>
          <w:szCs w:val="24"/>
        </w:rPr>
        <w:t xml:space="preserve">The integrated authorisation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(27)</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 represents identity and authority validity,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 represents collective authorisation validity,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 represents policy and contextual compliance, V</w:t>
      </w:r>
      <w:r>
        <w:rPr>
          <w:rFonts w:ascii="Cambria" w:cs="Cambria" w:eastAsia="Cambria" w:hAnsi="Cambria"/>
          <w:sz w:val="24"/>
          <w:szCs w:val="24"/>
          <w:vertAlign w:val="subscript"/>
        </w:rPr>
        <w:t xml:space="preserve">T</w:t>
      </w:r>
      <w:r>
        <w:rPr>
          <w:rFonts w:ascii="Cambria" w:cs="Cambria" w:eastAsia="Cambria" w:hAnsi="Cambria"/>
          <w:sz w:val="24"/>
          <w:szCs w:val="24"/>
        </w:rPr>
        <w:t xml:space="preserve"> represents temporal validity, and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 represents consent lifecycle validity.</w:t>
      </w:r>
    </w:p>
    <w:p>
      <w:pPr>
        <w:spacing w:after="140" w:line="300"/>
        <w:jc w:val="both"/>
      </w:pPr>
      <w:r>
        <w:rPr>
          <w:rFonts w:ascii="Cambria" w:cs="Cambria" w:eastAsia="Cambria" w:hAnsi="Cambria"/>
          <w:sz w:val="24"/>
          <w:szCs w:val="24"/>
        </w:rPr>
        <w:t xml:space="preserve">This formulation provides the central logical relationship among SRQ1–SRQ5. A valid authorisation decision requires the simultaneous satisfaction of all relevant trust conditions. Consequently, failure of any individual condition results in denial</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(28)</w:t>
      </w:r>
    </w:p>
    <w:p>
      <w:pPr>
        <w:spacing w:after="140" w:line="300"/>
        <w:jc w:val="both"/>
      </w:pPr>
      <w:r>
        <w:rPr>
          <w:rFonts w:ascii="Cambria" w:cs="Cambria" w:eastAsia="Cambria" w:hAnsi="Cambria"/>
          <w:sz w:val="24"/>
          <w:szCs w:val="24"/>
        </w:rP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spacing w:after="140" w:line="300"/>
        <w:jc w:val="both"/>
      </w:pPr>
      <w:r>
        <w:rPr>
          <w:rFonts w:ascii="Cambria" w:cs="Cambria" w:eastAsia="Cambria" w:hAnsi="Cambria"/>
          <w:sz w:val="24"/>
          <w:szCs w:val="24"/>
        </w:rPr>
        <w:t xml:space="preserve">The research questions form a progressive research architecture that begins with establishing a robust Consent Representation, which directly fosters Participant Trust. This trust then translates into a framework for Collective Authorisation, providing the necessary foundation for systemic Policy Enforcement. Consequently, this enables dynamic Temporal/Lifecycle Control over data and processes, culminating in comprehensive Security Assurance and Validation. By structuring the inquiries this way, the architecture </w:t>
      </w:r>
      <w:r>
        <w:rPr>
          <w:rFonts w:ascii="Cambria" w:cs="Cambria" w:eastAsia="Cambria" w:hAnsi="Cambria"/>
          <w:color w:val="000000"/>
          <w:sz w:val="24"/>
          <w:szCs w:val="24"/>
        </w:rPr>
        <w:t xml:space="preserve">links the user-facing interaction directly to the underlying authorisation checks</w:t>
      </w:r>
      <w:r>
        <w:rPr>
          <w:rFonts w:ascii="Cambria" w:cs="Cambria" w:eastAsia="Cambria" w:hAnsi="Cambria"/>
          <w:sz w:val="24"/>
          <w:szCs w:val="24"/>
        </w:rPr>
        <w:t xml:space="preserve">.</w:t>
      </w:r>
    </w:p>
    <w:p>
      <w:pPr>
        <w:spacing w:after="140" w:line="300"/>
        <w:jc w:val="both"/>
      </w:pPr>
      <w:r>
        <w:rPr>
          <w:rFonts w:ascii="Cambria" w:cs="Cambria" w:eastAsia="Cambria" w:hAnsi="Cambria"/>
          <w:color w:val="000000"/>
          <w:sz w:val="24"/>
          <w:szCs w:val="24"/>
        </w:rPr>
        <w:t xml:space="preserve">The first four objectives are realised in full, while the fifth objective is realised operationally in the current prototype and the sixth objective is addressed empirically at this stage, with its formal component reserved for the next research programme.</w:t>
      </w:r>
    </w:p>
    <w:p>
      <w:pPr>
        <w:spacing w:after="140" w:line="300"/>
        <w:jc w:val="both"/>
      </w:pPr>
      <w:r>
        <w:rPr>
          <w:rFonts w:ascii="Cambria" w:cs="Cambria" w:eastAsia="Cambria" w:hAnsi="Cambria"/>
          <w:sz w:val="24"/>
          <w:szCs w:val="24"/>
        </w:rP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spacing w:after="140" w:line="300"/>
        <w:jc w:val="both"/>
      </w:pPr>
      <w:r>
        <w:rPr>
          <w:rFonts w:ascii="Cambria" w:cs="Cambria" w:eastAsia="Cambria" w:hAnsi="Cambria"/>
          <w:sz w:val="24"/>
          <w:szCs w:val="24"/>
        </w:rP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p>
      <w:pPr>
        <w:pStyle w:val="Heading1"/>
        <w:pageBreakBefore/>
        <w:spacing w:after="160" w:before="400"/>
      </w:pPr>
      <w:r>
        <w:t xml:space="preserve">4  Research Objectives</w:t>
      </w:r>
    </w:p>
    <w:p>
      <w:pPr>
        <w:spacing w:after="140" w:line="300"/>
        <w:jc w:val="both"/>
      </w:pPr>
      <w:r>
        <w:rPr>
          <w:rFonts w:ascii="Cambria" w:cs="Cambria" w:eastAsia="Cambria" w:hAnsi="Cambria"/>
          <w:sz w:val="24"/>
          <w:szCs w:val="24"/>
        </w:rP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programme consists of six research objectives, corresponding to six research questions. The first four objectives establish the foundational trust-oriented authorisation mechanisms investigated during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w:t>
      </w:r>
      <w:r>
        <w:rPr>
          <w:rFonts w:ascii="Cambria" w:cs="Cambria" w:eastAsia="Cambria" w:hAnsi="Cambria"/>
          <w:color w:val="000000"/>
          <w:sz w:val="24"/>
          <w:szCs w:val="24"/>
        </w:rPr>
        <w:t xml:space="preserve">.</w:t>
      </w:r>
    </w:p>
    <w:p>
      <w:pPr>
        <w:pStyle w:val="Heading2"/>
        <w:spacing w:after="160" w:before="280"/>
      </w:pPr>
      <w:r>
        <w:t xml:space="preserve">4.1  RO1 - Trust-Centric Consent Model</w:t>
      </w:r>
    </w:p>
    <w:p>
      <w:pPr>
        <w:spacing w:after="140" w:line="300"/>
        <w:jc w:val="both"/>
      </w:pPr>
      <w:r>
        <w:rPr>
          <w:rFonts w:ascii="Cambria" w:cs="Cambria" w:eastAsia="Cambria" w:hAnsi="Cambria"/>
          <w:sz w:val="24"/>
          <w:szCs w:val="24"/>
        </w:rP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spacing w:after="140" w:line="300"/>
        <w:jc w:val="both"/>
      </w:pPr>
      <w:r>
        <w:rPr>
          <w:rFonts w:ascii="Cambria" w:cs="Cambria" w:eastAsia="Cambria" w:hAnsi="Cambria"/>
          <w:sz w:val="24"/>
          <w:szCs w:val="24"/>
        </w:rPr>
        <w:t xml:space="preserve">RO1 directly addresses RQ1 and establishes the conceptual foundation for the remaining objectives. In particular, it defines the information that must be represented before consent can be interpreted as an authorisation decision rather than merely as a static approval record.</w:t>
      </w:r>
    </w:p>
    <w:p>
      <w:pPr>
        <w:pStyle w:val="Heading2"/>
        <w:spacing w:after="160" w:before="280"/>
      </w:pPr>
      <w:r>
        <w:t xml:space="preserve">4.2  RO2 - Decentralised Identity and Authority Trust</w:t>
      </w:r>
    </w:p>
    <w:p>
      <w:pPr>
        <w:spacing w:after="140" w:line="300"/>
        <w:jc w:val="both"/>
      </w:pPr>
      <w:r>
        <w:rPr>
          <w:rFonts w:ascii="Cambria" w:cs="Cambria" w:eastAsia="Cambria" w:hAnsi="Cambria"/>
          <w:sz w:val="24"/>
          <w:szCs w:val="24"/>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RO2 addresses 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p>
      <w:pPr>
        <w:pStyle w:val="Heading2"/>
        <w:spacing w:after="160" w:before="280"/>
      </w:pPr>
      <w:r>
        <w:t xml:space="preserve">4.3  RO3 - Trustworthy Multi-Party Authorisation</w:t>
      </w:r>
    </w:p>
    <w:p>
      <w:pPr>
        <w:spacing w:after="140" w:line="300"/>
        <w:jc w:val="both"/>
      </w:pPr>
      <w:r>
        <w:rPr>
          <w:rFonts w:ascii="Cambria" w:cs="Cambria" w:eastAsia="Cambria" w:hAnsi="Cambria"/>
          <w:color w:val="000000"/>
          <w:sz w:val="24"/>
          <w:szCs w:val="24"/>
        </w:rPr>
        <w:t xml:space="preserve">The implemented mechanism defines the designated guardians at consent creation, verifies each EIP-712 approval through signature recovery, and requires a valid signature from every listed guardian. Consequently, the threshold equals |G|, an N-of-N condition demonstrated in the 2-of-2 configuration.</w:t>
      </w:r>
    </w:p>
    <w:p>
      <w:pPr>
        <w:spacing w:after="140" w:line="300"/>
        <w:jc w:val="both"/>
      </w:pPr>
      <w:r>
        <w:rPr>
          <w:rFonts w:ascii="Cambria" w:cs="Cambria" w:eastAsia="Cambria" w:hAnsi="Cambria"/>
          <w:sz w:val="24"/>
          <w:szCs w:val="24"/>
        </w:rPr>
        <w:t xml:space="preserve">The third research objective is to develop a threshold-based multi-party authorisation mechanism through which multiple independently verified participants can jointly establish a trustworthy consent decision.</w:t>
      </w:r>
    </w:p>
    <w:p>
      <w:pPr>
        <w:spacing w:after="140" w:line="300"/>
        <w:jc w:val="both"/>
      </w:pPr>
      <w:r>
        <w:rPr>
          <w:rFonts w:ascii="Cambria" w:cs="Cambria" w:eastAsia="Cambria" w:hAnsi="Cambria"/>
          <w:sz w:val="24"/>
          <w:szCs w:val="24"/>
        </w:rPr>
        <w:t xml:space="preserve">The objective is to prevent unilateral authorisation where collective approval is required and to provide an explicit mechanism for distinguishing sufficient from insufficient participation.</w:t>
      </w:r>
    </w:p>
    <w:p>
      <w:pPr>
        <w:spacing w:after="140" w:line="300"/>
        <w:jc w:val="both"/>
      </w:pPr>
      <w:r>
        <w:rPr>
          <w:rFonts w:ascii="Cambria" w:cs="Cambria" w:eastAsia="Cambria" w:hAnsi="Cambria"/>
          <w:sz w:val="24"/>
          <w:szCs w:val="24"/>
        </w:rPr>
        <w:t xml:space="preserve">RO3 directly addresses RQ3 and extends the consent model from an individual permission statement to a collective authorisation decision.</w:t>
      </w:r>
    </w:p>
    <w:p>
      <w:pPr>
        <w:pStyle w:val="Heading2"/>
        <w:spacing w:after="160" w:before="280"/>
      </w:pPr>
      <w:r>
        <w:t xml:space="preserve">4.4  RO4 - Policy- and Context-Aware Access Control</w:t>
      </w:r>
    </w:p>
    <w:p>
      <w:pPr>
        <w:spacing w:after="140" w:line="300"/>
        <w:jc w:val="both"/>
      </w:pPr>
      <w:r>
        <w:rPr>
          <w:rFonts w:ascii="Cambria" w:cs="Cambria" w:eastAsia="Cambria" w:hAnsi="Cambria"/>
          <w:color w:val="000000"/>
          <w:sz w:val="24"/>
          <w:szCs w:val="24"/>
        </w:rPr>
        <w:t xml:space="preserve">Accordingly, the implemented mechanism evaluates whether the requested purpose is consistent with the consent and rejects any request whose data scope is not a non-empty subset of the authorised EMR modules.</w:t>
      </w:r>
    </w:p>
    <w:p>
      <w:pPr>
        <w:spacing w:after="140" w:line="300"/>
        <w:jc w:val="both"/>
      </w:pPr>
      <w:r>
        <w:rPr>
          <w:rFonts w:ascii="Cambria" w:cs="Cambria" w:eastAsia="Cambria" w:hAnsi="Cambria"/>
          <w:sz w:val="24"/>
          <w:szCs w:val="24"/>
        </w:rPr>
        <w:t xml:space="preserve">The fourth research objective is to develop a policy-aware authorisation mechanism that evaluates the purpose and data scope of a requested operation against the constraints defined by the consent.</w:t>
      </w:r>
    </w:p>
    <w:p>
      <w:pPr>
        <w:spacing w:after="140" w:line="300"/>
        <w:jc w:val="both"/>
      </w:pPr>
      <w:r>
        <w:rPr>
          <w:rFonts w:ascii="Cambria" w:cs="Cambria" w:eastAsia="Cambria" w:hAnsi="Cambria"/>
          <w:sz w:val="24"/>
          <w:szCs w:val="24"/>
        </w:rPr>
        <w:t xml:space="preserve">The objective is to ensure that a valid identity and sufficient multi-party approval cannot be used to obtain healthcare information outside the authorised scope.</w:t>
      </w:r>
    </w:p>
    <w:p>
      <w:pPr>
        <w:spacing w:after="140" w:line="300"/>
        <w:jc w:val="both"/>
      </w:pPr>
      <w:r>
        <w:rPr>
          <w:rFonts w:ascii="Cambria" w:cs="Cambria" w:eastAsia="Cambria" w:hAnsi="Cambria"/>
          <w:sz w:val="24"/>
          <w:szCs w:val="24"/>
        </w:rPr>
        <w:t xml:space="preserve">RO4 directly addresses RQ4 and completes the foundational authorisation model investigated during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Together, RO1–RO4 establish the representation, verification, collective authorisation, and policy-enforcement mechanisms required for a trust-oriented healthcare data-sharing decision.</w:t>
      </w:r>
    </w:p>
    <w:p>
      <w:pPr>
        <w:pStyle w:val="Heading2"/>
        <w:spacing w:after="160" w:before="280"/>
      </w:pPr>
      <w:r>
        <w:t xml:space="preserve">4.5  RO5 - Temporal and Lifecycle Trust</w:t>
      </w:r>
    </w:p>
    <w:p>
      <w:pPr>
        <w:spacing w:after="140" w:line="300"/>
        <w:jc w:val="both"/>
      </w:pPr>
      <w:r>
        <w:rPr>
          <w:rFonts w:ascii="Cambria" w:cs="Cambria" w:eastAsia="Cambria" w:hAnsi="Cambria"/>
          <w:color w:val="000000"/>
          <w:sz w:val="24"/>
          <w:szCs w:val="24"/>
        </w:rPr>
        <w:t xml:space="preserve">This objective has been substantially realised in the current implementation. In particular, the prototype enforces the temporal validity window at every access decision through the predicate VT, records notBefore and expiry on-chain within the consent token, implements end-to-end revocation including an on-chain revoke transaction, and manages the consent through an explicit lifecycle state machine. The remaining work therefore concerns hardening these controls rather than introducing them.</w:t>
      </w:r>
    </w:p>
    <w:p>
      <w:pPr>
        <w:spacing w:after="140" w:line="300"/>
        <w:jc w:val="both"/>
      </w:pPr>
      <w:r>
        <w:rPr>
          <w:rFonts w:ascii="Cambria" w:cs="Cambria" w:eastAsia="Cambria" w:hAnsi="Cambria"/>
          <w:sz w:val="24"/>
          <w:szCs w:val="24"/>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spacing w:after="140" w:line="300"/>
        <w:jc w:val="both"/>
      </w:pPr>
      <w:r>
        <w:rPr>
          <w:rFonts w:ascii="Cambria" w:cs="Cambria" w:eastAsia="Cambria" w:hAnsi="Cambria"/>
          <w:sz w:val="24"/>
          <w:szCs w:val="24"/>
        </w:rPr>
        <w:t xml:space="preserve">RO5 addresses RQ5 and extends the foundational current stage authorisation model into a dynamic consent environment. Whereas current stage establishes whether an authorisation can be considered valid under the defined identity, approval, and policy conditions, RO5 investigates whether that authorisation remains valid as time passes and as the consent state changes.</w:t>
      </w:r>
    </w:p>
    <w:p>
      <w:pPr>
        <w:pStyle w:val="Heading2"/>
        <w:spacing w:after="160" w:before="280"/>
      </w:pPr>
      <w:r>
        <w:t xml:space="preserve">4.6  RO6 - Formal Security Assurance and Empirical Validation</w:t>
      </w:r>
    </w:p>
    <w:p>
      <w:pPr>
        <w:spacing w:after="140" w:line="300"/>
        <w:jc w:val="both"/>
      </w:pPr>
      <w:r>
        <w:rPr>
          <w:rFonts w:ascii="Cambria" w:cs="Cambria" w:eastAsia="Cambria" w:hAnsi="Cambria"/>
          <w:color w:val="000000"/>
          <w:sz w:val="24"/>
          <w:szCs w:val="24"/>
        </w:rPr>
        <w:t xml:space="preserve">The empirical component has been partially delivered: 23 automated tests exercise per-dimension denial, signature rejection and proof tampering; a live out-of-jurisdiction request was refused on the deployed Sepolia contract; and an independent tool re-verified every recorded transaction against the chain. Consequently, the complete formal analysis, whether through proofs or model checking of the stated properties, remains the subject of the next stage research.</w:t>
      </w:r>
    </w:p>
    <w:p>
      <w:pPr>
        <w:spacing w:after="140" w:line="300"/>
        <w:jc w:val="both"/>
      </w:pPr>
      <w:r>
        <w:rPr>
          <w:rFonts w:ascii="Cambria" w:cs="Cambria" w:eastAsia="Cambria" w:hAnsi="Cambria"/>
          <w:sz w:val="24"/>
          <w:szCs w:val="24"/>
        </w:rPr>
        <w:t xml:space="preserve">The sixth research objective is to formally analyse and empirically evaluate whether the implemented framework satisfies its defined trust and authorisation properties under representative healthcare data-sharing scenarios.</w:t>
      </w:r>
    </w:p>
    <w:p>
      <w:pPr>
        <w:spacing w:after="140" w:line="300"/>
        <w:jc w:val="both"/>
      </w:pPr>
      <w:r>
        <w:rPr>
          <w:rFonts w:ascii="Cambria" w:cs="Cambria" w:eastAsia="Cambria" w:hAnsi="Cambria"/>
          <w:sz w:val="24"/>
          <w:szCs w:val="24"/>
        </w:rPr>
        <w:t xml:space="preserve">RO6 addresses 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spacing w:after="140" w:line="300"/>
        <w:jc w:val="both"/>
      </w:pPr>
      <w:r>
        <w:rPr>
          <w:rFonts w:ascii="Cambria" w:cs="Cambria" w:eastAsia="Cambria" w:hAnsi="Cambria"/>
          <w:color w:val="000000"/>
          <w:sz w:val="24"/>
          <w:szCs w:val="24"/>
        </w:rPr>
        <w:t xml:space="preserve">The empirical component has been executed against the demonstrated prototype. In particular, 23 automated tests cover per-dimension failures of the decision matrix, rejection of invalid EIP-712 signatures, and zero-knowledge tamper and expiry cases; the live demonstration includes a jurisdiction-based denial and a revocation followed by refusal; and an independent verification tool re-checks every ledger transaction against Sepolia receipts, reporting ALL CHECKS PASSED.</w:t>
      </w:r>
    </w:p>
    <w:p>
      <w:pPr>
        <w:spacing w:after="140" w:line="300"/>
        <w:jc w:val="both"/>
      </w:pPr>
      <w:r>
        <w:rPr>
          <w:rFonts w:ascii="Cambria" w:cs="Cambria" w:eastAsia="Cambria" w:hAnsi="Cambria"/>
          <w:sz w:val="24"/>
          <w:szCs w:val="24"/>
        </w:rP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spacing w:after="140" w:line="300"/>
        <w:jc w:val="both"/>
      </w:pPr>
      <w:r>
        <w:rPr>
          <w:rFonts w:ascii="Cambria" w:cs="Cambria" w:eastAsia="Cambria" w:hAnsi="Cambria"/>
          <w:sz w:val="24"/>
          <w:szCs w:val="24"/>
        </w:rPr>
        <w:t xml:space="preserve">RO6 therefore represents the transition from establishing the authorisation model to providing evidence for its security and practical effectiveness.</w:t>
      </w:r>
    </w:p>
    <w:p>
      <w:pPr>
        <w:pStyle w:val="Heading2"/>
        <w:spacing w:after="160" w:before="280"/>
      </w:pPr>
      <w:r>
        <w:t xml:space="preserve">4.7  Relationship Between Research Questions and Objectives</w:t>
      </w:r>
    </w:p>
    <w:p>
      <w:pPr>
        <w:spacing w:after="140" w:line="300"/>
        <w:jc w:val="both"/>
      </w:pPr>
      <w:r>
        <w:rPr>
          <w:rFonts w:ascii="Cambria" w:cs="Cambria" w:eastAsia="Cambria" w:hAnsi="Cambria"/>
          <w:color w:val="000000"/>
          <w:sz w:val="24"/>
          <w:szCs w:val="24"/>
        </w:rPr>
        <w:t xml:space="preserve">The relationship between the six research questions and the six research objectives is summarised in Table 3 and Table 4.</w:t>
      </w:r>
    </w:p>
    <w:p>
      <w:pPr>
        <w:spacing w:after="140" w:line="300"/>
        <w:jc w:val="both"/>
      </w:pPr>
      <w:r>
        <w:rPr>
          <w:rFonts w:ascii="Cambria" w:cs="Cambria" w:eastAsia="Cambria" w:hAnsi="Cambria"/>
          <w:sz w:val="24"/>
          <w:szCs w:val="24"/>
        </w:rPr>
        <w:t xml:space="preserve">The relationship between the six research questions and the six research objectives is</w:t>
      </w:r>
    </w:p>
    <w:p>
      <w:pPr>
        <w:spacing w:after="140" w:line="300"/>
        <w:jc w:val="both"/>
      </w:pPr>
      <w:r>
        <w:rPr>
          <w:rFonts w:ascii="Cambria" w:cs="Cambria" w:eastAsia="Cambria" w:hAnsi="Cambria"/>
          <w:sz w:val="24"/>
          <w:szCs w:val="24"/>
        </w:rPr>
        <w:t xml:space="preserve">RO5 and RO6 constitute the principal research agenda for CA3. RO5 extends the authorisation model with temporal and lifecycle trust, while RO6 provides formal security assurance and comprehensive empirical validation. The distinction between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and </w:t>
      </w:r>
      <w:r>
        <w:rPr>
          <w:rFonts w:ascii="Cambria" w:cs="Cambria" w:eastAsia="Cambria" w:hAnsi="Cambria"/>
          <w:color w:val="000000"/>
          <w:sz w:val="24"/>
          <w:szCs w:val="24"/>
        </w:rPr>
        <w:t xml:space="preserve">the</w:t>
      </w:r>
      <w:r>
        <w:rPr>
          <w:rFonts w:ascii="Cambria" w:cs="Cambria" w:eastAsia="Cambria" w:hAnsi="Cambria"/>
          <w:sz w:val="24"/>
          <w:szCs w:val="24"/>
        </w:rPr>
        <w:t xml:space="preserve"> next stage is therefore based on research scope and maturity rather than on a different set of research questions or objectives. Current stage establishes the foundational mechanisms and their conceptual relationships, whereas next stage investigates whether these mechanisms remain</w:t>
      </w:r>
    </w:p>
    <w:p>
      <w:pPr>
        <w:spacing w:after="140" w:line="300"/>
        <w:jc w:val="both"/>
      </w:pPr>
      <w:r>
        <w:rPr>
          <w:rFonts w:ascii="Cambria" w:cs="Cambria" w:eastAsia="Cambria" w:hAnsi="Cambria"/>
          <w:color w:val="000000"/>
          <w:sz w:val="24"/>
          <w:szCs w:val="24"/>
        </w:rPr>
        <w:t xml:space="preserve">The current stage delivers RO1–RO5 in operational form together with the empirical component of RO6, including negative and adversarial testing. Consequently, the principal remaining agenda for CA3 is the formal component of RO6, namely the formal specification and analysis of the security properties, together with the identified prototype hardening.</w:t>
      </w:r>
    </w:p>
    <w:p>
      <w:pPr>
        <w:keepNext/>
        <w:spacing w:after="80" w:before="160"/>
        <w:jc w:val="center"/>
      </w:pPr>
      <w:r>
        <w:rPr>
          <w:rFonts w:ascii="Cambria" w:cs="Cambria" w:eastAsia="Cambria" w:hAnsi="Cambria"/>
          <w:b/>
          <w:bCs/>
          <w:sz w:val="21"/>
          <w:szCs w:val="21"/>
        </w:rPr>
        <w:t xml:space="preserve">Table 3: </w:t>
      </w:r>
      <w:r>
        <w:rPr>
          <w:rFonts w:ascii="Cambria" w:cs="Cambria" w:eastAsia="Cambria" w:hAnsi="Cambria"/>
          <w:sz w:val="21"/>
          <w:szCs w:val="21"/>
        </w:rPr>
        <w:t xml:space="preserve">Research Questions, Research Objectives, and Thesis Chapters for Current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consent representation that treats patient consent as a policy-bound authorisation object containing identity information, authority requirements, policy constraints, and authorisation evidence.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3</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DIDs and VCs while explicitly separating identity authentication from authorisation authority.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3</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authorisation through independently verified participants and threshold-based approval mechanisms, thereby preventing unilateral authorisation when collective approval is required.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4</w:t>
            </w:r>
          </w:p>
        </w:tc>
      </w:tr>
    </w:tbl>
    <w:p>
      <w:pPr>
        <w:spacing w:after="180"/>
      </w:pPr>
    </w:p>
    <w:p>
      <w:pPr>
        <w:keepNext/>
        <w:spacing w:after="80" w:before="160"/>
        <w:jc w:val="center"/>
      </w:pPr>
      <w:r>
        <w:rPr>
          <w:rFonts w:ascii="Cambria" w:cs="Cambria" w:eastAsia="Cambria" w:hAnsi="Cambria"/>
          <w:b/>
          <w:bCs/>
          <w:sz w:val="21"/>
          <w:szCs w:val="21"/>
        </w:rPr>
        <w:t xml:space="preserve">Table 4: </w:t>
      </w:r>
      <w:r>
        <w:rPr>
          <w:rFonts w:ascii="Cambria" w:cs="Cambria" w:eastAsia="Cambria" w:hAnsi="Cambria"/>
          <w:sz w:val="21"/>
          <w:szCs w:val="21"/>
        </w:rPr>
        <w:t xml:space="preserve">Research Questions, Research Objectives, and Thesis Chapters for CA3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Enforce purpose and healthcare data-scope constraints as explicit and evaluable conditions of access, ensuring that valid identities and sufficient approvals cannot be used outside the authorised scope.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Temporal validity, expiration, revocation and controlled state transitions, enforced in the current prototype and anchored on-chain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Formal analysis of the security properties (next stage), building upon the empirical negative and adversarial testing already performed with the HALAH prototype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5</w:t>
            </w:r>
          </w:p>
        </w:tc>
      </w:tr>
    </w:tbl>
    <w:p>
      <w:pPr>
        <w:spacing w:after="180"/>
      </w:pPr>
    </w:p>
    <w:p>
      <w:pPr>
        <w:spacing w:after="140" w:line="300"/>
        <w:jc w:val="both"/>
      </w:pPr>
      <w:r>
        <w:rPr>
          <w:rFonts w:ascii="Cambria" w:cs="Cambria" w:eastAsia="Cambria" w:hAnsi="Cambria"/>
          <w:sz w:val="24"/>
          <w:szCs w:val="24"/>
        </w:rPr>
        <w:t xml:space="preserve">reliable under dynamic lifecycle conditions and whether their security and practical effectiveness can be formally and empirically demonstrated. 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through which these conditions can be represented, evaluated, enforced, and ultimately validated in a decentralised healthcare data-sharing environment. For the foundational current stage model, the authorisation decision is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(29)</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VI ∧ VA ∧ VP ∧ VT ∧ VL</w:t>
      </w:r>
    </w:p>
    <w:p>
      <w:pPr>
        <w:spacing w:after="140" w:line="300"/>
        <w:jc w:val="both"/>
      </w:pPr>
      <w:r>
        <w:rPr>
          <w:rFonts w:ascii="Cambria" w:cs="Cambria" w:eastAsia="Cambria" w:hAnsi="Cambria"/>
          <w:color w:val="000000"/>
          <w:sz w:val="24"/>
          <w:szCs w:val="24"/>
        </w:rPr>
        <w:t xml:space="preserve">This five-predicate conjunction constitutes the decision rule of the implemented Consent Engine and is applied consistently throughout this chapter; the earlier three-predicate formulation represents an initial design iteration that has since been superseded by the implementation.</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authorisation threshold, and VP (C, R) represents compliance between the access request and the consent policy. The next stage research will extend this decision model by incorporating temporal and lifecycle conditions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(30)</w:t>
      </w:r>
    </w:p>
    <w:p>
      <w:pPr>
        <w:spacing w:after="140" w:line="300"/>
        <w:jc w:val="both"/>
      </w:pPr>
      <w:r>
        <w:rPr>
          <w:rFonts w:ascii="Cambria" w:cs="Cambria" w:eastAsia="Cambria" w:hAnsi="Cambria"/>
          <w:sz w:val="24"/>
          <w:szCs w:val="24"/>
        </w:rPr>
        <w:t xml:space="preserve">where VT (C, t) represents temporal validity and VL (C) represents the validity of the consent lifecycle state and its transitions. This extension provides a consistent connection between the foundational current stage objectives and the planned next research on dynamic trust, formal assurance, and comprehensive validation.</w:t>
      </w:r>
    </w:p>
    <w:p>
      <w:pPr>
        <w:pStyle w:val="Heading1"/>
        <w:pageBreakBefore/>
        <w:spacing w:after="160" w:before="400"/>
      </w:pPr>
      <w:r>
        <w:t xml:space="preserve">5  Research Architecture: MVC</w:t>
      </w:r>
    </w:p>
    <w:p>
      <w:pPr>
        <w:spacing w:after="140" w:line="300"/>
        <w:jc w:val="both"/>
      </w:pPr>
      <w:r>
        <w:rPr>
          <w:rFonts w:ascii="Cambria" w:cs="Cambria" w:eastAsia="Cambria" w:hAnsi="Cambria"/>
          <w:sz w:val="24"/>
          <w:szCs w:val="24"/>
        </w:rP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 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 The proposed architecture therefore distinguishes three complementary responsibilities. The Model represents the security and governance state of the system, including identities, credentials, consent objects, authorisation requirements, policies, approval evidence, and healthcare data scopes. The View provides controlled interaction mechanisms through which independent participants can create, inspect, approve, or exercise consent-related operations. The Controller acts as the trusted decision coordination layer responsible for validating identity,</w:t>
      </w:r>
    </w:p>
    <w:p>
      <w:pPr>
        <w:spacing w:after="140" w:line="300"/>
        <w:jc w:val="both"/>
      </w:pPr>
      <w:r>
        <w:rPr>
          <w:rFonts w:ascii="Cambria" w:cs="Cambria" w:eastAsia="Cambria" w:hAnsi="Cambria"/>
          <w:sz w:val="24"/>
          <w:szCs w:val="24"/>
        </w:rPr>
        <w:t xml:space="preserve">evaluating authority, aggregating multi-party approval evidence, enforcing policy constraints, and determining whether a requested healthcare data operation should be permitted. 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 what consent represents, how stakeholders interact with it, and how trust is enforced.</w:t>
      </w:r>
    </w:p>
    <w:p>
      <w:pPr>
        <w:pStyle w:val="Heading2"/>
        <w:spacing w:after="160" w:before="280"/>
      </w:pPr>
      <w:r>
        <w:t xml:space="preserve">5.1  MVC Layered Architecture and Component Decomposition</w:t>
      </w:r>
    </w:p>
    <w:p>
      <w:pPr>
        <w:spacing w:after="140" w:line="300"/>
        <w:jc w:val="both"/>
      </w:pPr>
      <w:r>
        <w:rPr>
          <w:rFonts w:ascii="Cambria" w:cs="Cambria" w:eastAsia="Cambria" w:hAnsi="Cambria"/>
          <w:sz w:val="24"/>
          <w:szCs w:val="24"/>
        </w:rP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 At the highest level, the architecture consists of three complementary layers: the View Layer, the Controller Layer, and the Model Layer.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 Figure 6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 The protected healthcare data are deliberately positioned outside the three MVC layers as a protected resource. This distinction is important because healthcare data should not be</w:t>
      </w:r>
    </w:p>
    <w:p>
      <w:pPr>
        <w:keepNext/>
        <w:spacing w:after="60" w:before="140"/>
        <w:jc w:val="center"/>
      </w:pPr>
      <w:r>
        <w:drawing>
          <wp:inline distT="0" distB="0" distL="0" distR="0">
            <wp:extent cx="5715000" cy="3543300"/>
            <wp:effectExtent t="0" r="0" b="0" l="0"/>
            <wp:docPr id="1" name="fig3.png" descr="Figure 6: Layered MVC Architecture and Component Decomposition of the HALAH Framework" title="Figure 6: 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6: Layered MVC Architecture and Component Decomposition of the HALAH Framework</w:t>
      </w:r>
    </w:p>
    <w:p>
      <w:pPr>
        <w:jc w:val="center"/>
      </w:pPr>
      <w:r>
        <w:rPr>
          <w:rFonts w:ascii="Cambria" w:cs="Cambria" w:eastAsia="Cambria" w:hAnsi="Cambria"/>
          <w:i/>
          <w:iCs/>
          <w:sz w:val="20"/>
          <w:szCs w:val="20"/>
        </w:rPr>
        <w:t xml:space="preserve">[Figure 6: Layered MVC Architecture and Component Decomposition of the HALAH Framework]</w:t>
      </w:r>
    </w:p>
    <w:p>
      <w:pPr>
        <w:spacing w:after="140" w:line="300"/>
        <w:jc w:val="both"/>
      </w:pPr>
      <w:r>
        <w:rPr>
          <w:rFonts w:ascii="Cambria" w:cs="Cambria" w:eastAsia="Cambria" w:hAnsi="Cambria"/>
          <w:color w:val="000000"/>
          <w:sz w:val="24"/>
          <w:szCs w:val="24"/>
        </w:rPr>
        <w:t xml:space="preserve">The Controller layer additionally incorporates a ZK Proof Service, responsible for Groth16 proof generation and verification and feeding directly into the Authorisation Decision, together with an On-chain Anchor Service that performs asynchronous minting and revocation; correspondingly, the Model layer contains the ConsentSBTv3 contract deployed on Sepolia alongside the SQLite Audit Ledger, a revocation path flows from the Patient interface through the Controller to both the ledger and the contract, and an external independent verifier, verify_poc, reads from both the audit ledger and the Sepolia chain.</w:t>
      </w:r>
    </w:p>
    <w:p>
      <w:pPr>
        <w:spacing w:after="140" w:line="300"/>
        <w:jc w:val="both"/>
      </w:pPr>
      <w:r>
        <w:rPr>
          <w:rFonts w:ascii="Cambria" w:cs="Cambria" w:eastAsia="Cambria" w:hAnsi="Cambria"/>
          <w:color w:val="000000"/>
          <w:sz w:val="24"/>
          <w:szCs w:val="24"/>
        </w:rPr>
        <w:t xml:space="preserve">It should be acknowledged that, in the present prototype, credential verification consists of a structural well-formedness check on each DID, and the requester's role and jurisdiction are self-declared. This is important because wallet-held signing keys and authenticated verifiable credentials are deferred to the production design and are therefore identified as future work.</w:t>
      </w:r>
    </w:p>
    <w:p>
      <w:pPr>
        <w:spacing w:after="140" w:line="300"/>
        <w:jc w:val="both"/>
      </w:pPr>
      <w:r>
        <w:rPr>
          <w:rFonts w:ascii="Cambria" w:cs="Cambria" w:eastAsia="Cambria" w:hAnsi="Cambria"/>
          <w:sz w:val="24"/>
          <w:szCs w:val="24"/>
        </w:rPr>
        <w:t xml:space="preserve">treated as ordinary application state that can be directly manipulated by the View. Instead, access to the protected resource is mediated by the Controller after the relevant trust conditions have been evaluated.</w:t>
      </w:r>
    </w:p>
    <w:p>
      <w:pPr>
        <w:pStyle w:val="Heading3"/>
        <w:spacing w:after="160" w:before="280"/>
      </w:pPr>
      <w:r>
        <w:t xml:space="preserve">5.1.1  MVC Component Decomposition</w:t>
      </w:r>
    </w:p>
    <w:p>
      <w:pPr>
        <w:spacing w:after="140" w:line="300"/>
        <w:jc w:val="both"/>
      </w:pPr>
      <w:r>
        <w:rPr>
          <w:rFonts w:ascii="Cambria" w:cs="Cambria" w:eastAsia="Cambria" w:hAnsi="Cambria"/>
          <w:color w:val="000000"/>
          <w:sz w:val="24"/>
          <w:szCs w:val="24"/>
        </w:rPr>
        <w:t xml:space="preserve">The Controller layer therefore comprises eight principal functions, the two additional functions being Cryptographic Proof Generation and Verification, realised through the Groth16 proving system, and On-chain Anchoring and State Synchronisation, which performs the Sepolia mint and revoke operations as a background process; the Controller row of Figure 7 reflects these eight functions accordingly.</w:t>
      </w:r>
    </w:p>
    <w:p>
      <w:pPr>
        <w:spacing w:after="140" w:line="300"/>
        <w:jc w:val="both"/>
      </w:pPr>
      <w:r>
        <w:rPr>
          <w:rFonts w:ascii="Cambria" w:cs="Cambria" w:eastAsia="Cambria" w:hAnsi="Cambria"/>
          <w:sz w:val="24"/>
          <w:szCs w:val="24"/>
        </w:rPr>
        <w:t xml:space="preserve">The three architectural layers are further decomposed into functional components, each corresponding to a distinct responsibility within the trust-oriented authorisation process. Figure 7 presents this decomposition. The View is decomposed according to the principal stakeholder</w:t>
      </w:r>
    </w:p>
    <w:p>
      <w:pPr>
        <w:keepNext/>
        <w:spacing w:after="60" w:before="140"/>
        <w:jc w:val="center"/>
      </w:pPr>
      <w:r>
        <w:drawing>
          <wp:inline distT="0" distB="0" distL="0" distR="0">
            <wp:extent cx="5715000" cy="2171700"/>
            <wp:effectExtent t="0" r="0" b="0" l="0"/>
            <wp:docPr id="1" name="fig4.png" descr="Figure 7: Functional Decomposition of the MVC Components" title="Figure 7: 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7: Functional Decomposition of the MVC Components</w:t>
      </w:r>
    </w:p>
    <w:p>
      <w:pPr>
        <w:jc w:val="center"/>
      </w:pPr>
      <w:r>
        <w:rPr>
          <w:rFonts w:ascii="Cambria" w:cs="Cambria" w:eastAsia="Cambria" w:hAnsi="Cambria"/>
          <w:i/>
          <w:iCs/>
          <w:sz w:val="20"/>
          <w:szCs w:val="20"/>
        </w:rPr>
        <w:t xml:space="preserve">[Figure 7: Functional Decomposition of the MVC Components]</w:t>
      </w:r>
    </w:p>
    <w:p>
      <w:pPr>
        <w:spacing w:after="140" w:line="300"/>
        <w:jc w:val="both"/>
      </w:pPr>
      <w:r>
        <w:rPr>
          <w:rFonts w:ascii="Cambria" w:cs="Cambria" w:eastAsia="Cambria" w:hAnsi="Cambria"/>
          <w:sz w:val="24"/>
          <w:szCs w:val="24"/>
        </w:rPr>
        <w:t xml:space="preserve">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w:t>
      </w:r>
    </w:p>
    <w:p>
      <w:pPr>
        <w:spacing w:after="140" w:line="300"/>
        <w:jc w:val="both"/>
      </w:pPr>
      <w:r>
        <w:rPr>
          <w:rFonts w:ascii="Cambria" w:cs="Cambria" w:eastAsia="Cambria" w:hAnsi="Cambria"/>
          <w:sz w:val="24"/>
          <w:szCs w:val="24"/>
        </w:rPr>
        <w:t xml:space="preserve">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 This decomposition establishes an explicit distinction between state, interaction, and enforcement. The Model stores and represents security-relevant state, the View expresses stakeholder actions, and the Controller determines whether those actions satisfy the required trust conditions.</w:t>
      </w:r>
    </w:p>
    <w:p>
      <w:pPr>
        <w:pStyle w:val="Heading3"/>
        <w:spacing w:after="160" w:before="280"/>
      </w:pPr>
      <w:r>
        <w:t xml:space="preserve">5.1.2  Trust Evaluation Across the MVC Layers</w:t>
      </w:r>
    </w:p>
    <w:p>
      <w:pPr>
        <w:spacing w:after="140" w:line="300"/>
        <w:jc w:val="both"/>
      </w:pPr>
      <w:r>
        <w:rPr>
          <w:rFonts w:ascii="Cambria" w:cs="Cambria" w:eastAsia="Cambria" w:hAnsi="Cambria"/>
          <w:sz w:val="24"/>
          <w:szCs w:val="24"/>
        </w:rPr>
        <w:t xml:space="preserve">The architectural layers cooperate through a controlled authorisation sequence rather than through unrestricted direct communication. The relationship between the MVC components and the trust predicates introduced by SRQ1–SRQ5 is illustrated in Figure 8. Figure 8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 The first condition, VI (u), determines whether the requesting participant possesses valid identity and authority evidence. The second condition, VA (C), determines whether the required independently verified participants have collectively satisfied the authorisation threshold. The third condition, VP (C, R), determines whether the requested operation complies with the consent policy, including purpose and data-scope restrictions. The fourth condition, VT (C, t), determines whether the consent remains valid at the time of the request. The fifth condition,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determines whether the jurisdictional constraint recorded in the consent is satisfied; lifecycle validity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sz w:val="24"/>
          <w:szCs w:val="24"/>
        </w:rPr>
        <w:t xml:space="preserve">. The integrated decision can therefore be expressed as</w:t>
      </w:r>
    </w:p>
    <w:p>
      <w:pPr>
        <w:spacing w:after="140" w:line="300"/>
        <w:jc w:val="both"/>
      </w:pP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j) verifies that the jurisdiction j declared by the requester matches the jurisdiction L recorded within the consent object. This distinction is important because revocation and lifecycle state are not enforced by this function but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Consequently, the corresponding component in Figure 8 is depicted as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j), the jurisdiction verification function, rather than as a lifecycle check.</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(31)</w:t>
      </w:r>
    </w:p>
    <w:p>
      <w:pPr>
        <w:spacing w:after="140" w:line="300"/>
        <w:jc w:val="both"/>
      </w:pPr>
      <w:r>
        <w:rPr>
          <w:rFonts w:ascii="Cambria" w:cs="Cambria" w:eastAsia="Cambria" w:hAnsi="Cambria"/>
          <w:sz w:val="24"/>
          <w:szCs w:val="24"/>
        </w:rPr>
        <w:t xml:space="preserve">The Controller does not itself create these trust conditions. Instead, it evaluates evidence represented by the Model and coordinates the resulting decision. This distinction is important for the interpretation of the architecture: the Controller is a decision-enforcement mechanism, whereas the Model is a representation of trust and governance state. If any required predicate evaluates to false, the decision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(32)</w:t>
      </w:r>
    </w:p>
    <w:p>
      <w:pPr>
        <w:keepNext/>
        <w:spacing w:after="60" w:before="140"/>
        <w:jc w:val="center"/>
      </w:pPr>
      <w:r>
        <w:drawing>
          <wp:inline distT="0" distB="0" distL="0" distR="0">
            <wp:extent cx="3619500" cy="5114925"/>
            <wp:effectExtent t="0" r="0" b="0" l="0"/>
            <wp:docPr id="1" name="fig5.png" descr="Figure 8: Trust Predicate Evaluation and Authorisation Decision Flow" title="Figure 8: Trust Predicate Evaluation and Authoris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5114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8: Trust Predicate Evaluation and Authorisation Decision Flow</w:t>
      </w:r>
    </w:p>
    <w:p>
      <w:pPr>
        <w:jc w:val="center"/>
      </w:pPr>
      <w:r>
        <w:rPr>
          <w:rFonts w:ascii="Cambria" w:cs="Cambria" w:eastAsia="Cambria" w:hAnsi="Cambria"/>
          <w:i/>
          <w:iCs/>
          <w:sz w:val="20"/>
          <w:szCs w:val="20"/>
        </w:rPr>
        <w:t xml:space="preserve">[Figure 8: Trust Predicate Evaluation and Authorisation Decision Flow]</w:t>
      </w:r>
    </w:p>
    <w:p>
      <w:pPr>
        <w:spacing w:after="140" w:line="300"/>
        <w:jc w:val="both"/>
      </w:pPr>
      <w:r>
        <w:rPr>
          <w:rFonts w:ascii="Cambria" w:cs="Cambria" w:eastAsia="Cambria" w:hAnsi="Cambria"/>
          <w:sz w:val="24"/>
          <w:szCs w:val="24"/>
        </w:rPr>
        <w:t xml:space="preserve">Both successful and unsuccessful decisions are subsequently associated with authorisation evidence. This ensures that the architecture supports not only access enforcement but also accountability and subsequent verification.</w:t>
      </w:r>
    </w:p>
    <w:p>
      <w:pPr>
        <w:pStyle w:val="Heading3"/>
        <w:spacing w:after="160" w:before="280"/>
      </w:pPr>
      <w:r>
        <w:t xml:space="preserve">5.1.3  Relationship Between MVC Layers and Research Questions</w:t>
      </w:r>
    </w:p>
    <w:p>
      <w:pPr>
        <w:spacing w:after="140" w:line="300"/>
        <w:jc w:val="both"/>
      </w:pPr>
      <w:r>
        <w:rPr>
          <w:rFonts w:ascii="Cambria" w:cs="Cambria" w:eastAsia="Cambria" w:hAnsi="Cambria"/>
          <w:sz w:val="24"/>
          <w:szCs w:val="24"/>
        </w:rP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 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relationship can therefore be summarised as </w:t>
      </w:r>
      <w:r>
        <w:rPr>
          <w:rFonts w:ascii="Cambria" w:cs="Cambria" w:eastAsia="Cambria" w:hAnsi="Cambria"/>
          <w:color w:val="000000"/>
          <w:sz w:val="24"/>
          <w:szCs w:val="24"/>
        </w:rPr>
        <w:t xml:space="preserve">follows</w:t>
      </w:r>
    </w:p>
    <w:p>
      <w:pPr>
        <w:tabs>
          <w:tab w:val="right" w:pos="9360"/>
        </w:tabs>
        <w:spacing w:after="160" w:before="60"/>
        <w:jc w:val="center"/>
      </w:pPr>
      <w:r>
        <w:rPr>
          <w:rFonts w:ascii="Cambria Math" w:cs="Cambria Math" w:eastAsia="Cambria Math" w:hAnsi="Cambria Math"/>
          <w:i/>
          <w:iCs/>
          <w:sz w:val="22"/>
          <w:szCs w:val="22"/>
        </w:rPr>
        <w:t xml:space="preserve">SRQ1 → Model; SRQ2 → Model + Controller; SRQ3 → Controller; SRQ4 → Model + Controller; SRQ5 → Model + Controller; SRQ6 → Model + View + Controller.</w:t>
      </w:r>
    </w:p>
    <w:p>
      <w:pPr>
        <w:spacing w:after="140" w:line="300"/>
        <w:jc w:val="both"/>
      </w:pPr>
      <w:r>
        <w:rPr>
          <w:rFonts w:ascii="Cambria" w:cs="Cambria" w:eastAsia="Cambria" w:hAnsi="Cambria"/>
          <w:sz w:val="24"/>
          <w:szCs w:val="24"/>
        </w:rP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p>
      <w:pPr>
        <w:pStyle w:val="Heading3"/>
        <w:spacing w:after="160" w:before="280"/>
      </w:pPr>
      <w:r>
        <w:t xml:space="preserve">5.1.4  Architectural Boundary and Trust Assumptions</w:t>
      </w:r>
    </w:p>
    <w:p>
      <w:pPr>
        <w:spacing w:after="140" w:line="300"/>
        <w:jc w:val="both"/>
      </w:pPr>
      <w:r>
        <w:rPr>
          <w:rFonts w:ascii="Cambria" w:cs="Cambria" w:eastAsia="Cambria" w:hAnsi="Cambria"/>
          <w:sz w:val="24"/>
          <w:szCs w:val="24"/>
        </w:rP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spacing w:after="140" w:line="300"/>
        <w:jc w:val="both"/>
      </w:pPr>
      <w:r>
        <w:rPr>
          <w:rFonts w:ascii="Cambria" w:cs="Cambria" w:eastAsia="Cambria" w:hAnsi="Cambria"/>
          <w:sz w:val="24"/>
          <w:szCs w:val="24"/>
        </w:rP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 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p>
      <w:pPr>
        <w:pStyle w:val="Heading2"/>
        <w:spacing w:after="160" w:before="280"/>
      </w:pPr>
      <w:r>
        <w:t xml:space="preserve">5.2  Trust-Oriented Consent Authorisation Workflow</w:t>
      </w:r>
    </w:p>
    <w:p>
      <w:pPr>
        <w:spacing w:after="140" w:line="300"/>
        <w:jc w:val="both"/>
      </w:pPr>
      <w:r>
        <w:rPr>
          <w:rFonts w:ascii="Cambria" w:cs="Cambria" w:eastAsia="Cambria" w:hAnsi="Cambria"/>
          <w:sz w:val="24"/>
          <w:szCs w:val="24"/>
        </w:rPr>
        <w:t xml:space="preserve">Figure 9 presents the end-to-end workflow of the proposed trust-oriented patient consent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 The workflow operationalizes the central premise of this research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Accordingly, the proposed workflow transforms a patient’s consent from a static permission record into an evaluable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object that can be verified before healthcare data are released. The workflow begins when the patient creates a consent request and specifies the conditions under which healthcare data may be accessed. The consent specification defines the intended purpose, permitted data scope, and other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conditions. This step establishes what the patient intends to authorize and provides the policy context against which subsequent access requests can be evaluated. Therefore, consent is not represented merely as an approval flag, but as a structured object containing the information required for subsequent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decisions. The next stage performs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authority verification using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Identifiers (DIDs) and Verifiable Credentials (VCs). The purpose of this stage is to establish both the identity of the participant and the evidence supporting the participant’s claimed role or authority. Importantly, the framework explicitly separates identity authentication from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authorized participant. After identity and authority verification, the framework identifies the participants required to establish the consent decision.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requirement may involve multiple independent participants, such as a patient together with one or more guardians or other authorized parties. The framework then collects their independent approvals and evaluates whether the predefined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has been satisfied. Let Av denote the set of successfully verified approvals and let N denote the required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is satisfied when</w:t>
      </w:r>
    </w:p>
    <w:p>
      <w:pPr>
        <w:keepNext/>
        <w:spacing w:after="60" w:before="140"/>
        <w:jc w:val="center"/>
      </w:pPr>
      <w:r>
        <w:drawing>
          <wp:inline distT="0" distB="0" distL="0" distR="0">
            <wp:extent cx="4000500" cy="6181725"/>
            <wp:effectExtent t="0" r="0" b="0" l="0"/>
            <wp:docPr id="1" name="fig6.png" descr="Figure 9: End-to-End Workflow of Trust-Oriented Consent Authorisation Framework" title="Figure 9: End-to-End Workflow of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6181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9: End-to-End Workflow of Trust-Oriented Consent Authorisation Framework</w:t>
      </w:r>
    </w:p>
    <w:p>
      <w:pPr>
        <w:jc w:val="center"/>
      </w:pPr>
      <w:r>
        <w:rPr>
          <w:rFonts w:ascii="Cambria" w:cs="Cambria" w:eastAsia="Cambria" w:hAnsi="Cambria"/>
          <w:i/>
          <w:iCs/>
          <w:sz w:val="20"/>
          <w:szCs w:val="20"/>
        </w:rPr>
        <w:t xml:space="preserve">[Figure 9: End-to-End Workflow of Trust-Oriented Consent Authorisation Framework]</w:t>
      </w:r>
    </w:p>
    <w:p>
      <w:pPr>
        <w:spacing w:after="140" w:line="300"/>
        <w:jc w:val="both"/>
      </w:pPr>
      <w:r>
        <w:rPr>
          <w:rFonts w:ascii="Cambria" w:cs="Cambria" w:eastAsia="Cambria" w:hAnsi="Cambria"/>
          <w:color w:val="000000"/>
          <w:sz w:val="24"/>
          <w:szCs w:val="24"/>
        </w:rPr>
        <w:t xml:space="preserve">Once all |G| guardians have signed, satisfying the N-of-N condition, the consent token is minted in the local ledger while a background job anchors the mint on Sepolia asynchronously; the temporal check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and the jurisdictional check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are then evaluated before the Authorisation Decision, a Groth16 proof is generated and verified on the ALLOW branch, and after the audit evidence is recorded the flow continues through patient-initiated revocation, the corresponding on-chain revoke transaction, and finally auditor review together with independent verification through verify_poc.</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(33)</w:t>
      </w:r>
    </w:p>
    <w:p>
      <w:pPr>
        <w:spacing w:after="140" w:line="300"/>
        <w:jc w:val="both"/>
      </w:pPr>
      <w:r>
        <w:rPr>
          <w:rFonts w:ascii="Cambria" w:cs="Cambria" w:eastAsia="Cambria" w:hAnsi="Cambria"/>
          <w:color w:val="000000"/>
          <w:sz w:val="24"/>
          <w:szCs w:val="24"/>
        </w:rPr>
        <w:t xml:space="preserve">In the implemented prototype the threshold is fixed at N = |G|, so that every listed guardian must provide a valid approval before activation; the evaluated configuration is therefore 2-of-2. Configurable k-of-n thresholds constitute a direct generalisation that is deferred to future work.</w:t>
      </w:r>
    </w:p>
    <w:p>
      <w:pPr>
        <w:spacing w:after="140" w:line="300"/>
        <w:jc w:val="both"/>
      </w:pPr>
      <w:r>
        <w:rPr>
          <w:rFonts w:ascii="Cambria" w:cs="Cambria" w:eastAsia="Cambria" w:hAnsi="Cambria"/>
          <w:sz w:val="24"/>
          <w:szCs w:val="24"/>
        </w:rPr>
        <w:t xml:space="preserve">If the required threshold is not satisfied,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process terminates with a denial decision. This prevents a single participant from unilaterally establishing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when the consent policy requires collective approval. When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if a consent permits access to Observation, Medication, a request additionally containing Procedure should not be authorized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(34)</w:t>
      </w:r>
    </w:p>
    <w:p>
      <w:pPr>
        <w:spacing w:after="140" w:line="300"/>
        <w:jc w:val="both"/>
      </w:pPr>
      <w:r>
        <w:rPr>
          <w:rFonts w:ascii="Cambria" w:cs="Cambria" w:eastAsia="Cambria" w:hAnsi="Cambria"/>
          <w:sz w:val="24"/>
          <w:szCs w:val="24"/>
        </w:rPr>
        <w:t xml:space="preserve">where SR represents the requested data scope and SC represents the consent-authorized scope. Similarly, the requested purpose must be consistent with the purpose specified in the consent. Consequently, a valid identity and sufficient multi-party approval are necessary but not sufficient conditions for access. The final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is therefore determined by the conjunction of identity and authority verification,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For the current stage scope of the proposed framework, the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(35)</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and VP (C, R) represents compliance between the access request and the consent policy. If any of these conditions is false, the request is denied. Only when all required conditions are satisfied is healthcare data access granted. Finally, the framework records the resulting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evidence in the audit layer. Importantly, both successful and denied decisions should be recorded because a trustworthy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 requires accountability not only for data that were released but also for access attempts that were rejected. The audit evidence can therefore provide a traceable record of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including the relevant consent, participants, policy evaluation, decision outcome, and associated evidence. In this manner, the workflow connects consent specification with identity trust, collective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policy enforcement, and accountability, providing the operational foundation of the proposed trust-oriented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w:t>
      </w:r>
    </w:p>
    <w:p>
      <w:pPr>
        <w:pStyle w:val="Heading2"/>
        <w:spacing w:after="160" w:before="280"/>
      </w:pPr>
      <w:r>
        <w:t xml:space="preserve">5.3  Model: Trust-Aware Consent and Authorisation Representation</w:t>
      </w:r>
    </w:p>
    <w:p>
      <w:pPr>
        <w:spacing w:after="140" w:line="300"/>
        <w:jc w:val="both"/>
      </w:pPr>
      <w:r>
        <w:rPr>
          <w:rFonts w:ascii="Cambria" w:cs="Cambria" w:eastAsia="Cambria" w:hAnsi="Cambria"/>
          <w:color w:val="000000"/>
          <w:sz w:val="24"/>
          <w:szCs w:val="24"/>
        </w:rPr>
        <w:t xml:space="preserve">The implementation realises this representation in full, including temporal validity, expiration, on-chain revocation and an explicit lifecycle state machine. Formal verification of the associated security properties, however, remains a matter for future work.</w:t>
      </w:r>
    </w:p>
    <w:p>
      <w:pPr>
        <w:spacing w:after="140" w:line="300"/>
        <w:jc w:val="both"/>
      </w:pPr>
      <w:r>
        <w:rPr>
          <w:rFonts w:ascii="Cambria" w:cs="Cambria" w:eastAsia="Cambria" w:hAnsi="Cambria"/>
          <w:sz w:val="24"/>
          <w:szCs w:val="24"/>
        </w:rPr>
        <w:t xml:space="preserve">The Model layer represents the persistent security state of the proposed consent-management framework. Rather than treating consent as a simple binary permission, the framework models</w:t>
      </w:r>
    </w:p>
    <w:p>
      <w:pPr>
        <w:spacing w:after="140" w:line="300"/>
        <w:jc w:val="both"/>
      </w:pPr>
      <w:r>
        <w:rPr>
          <w:rFonts w:ascii="Cambria" w:cs="Cambria" w:eastAsia="Cambria" w:hAnsi="Cambria"/>
          <w:sz w:val="24"/>
          <w:szCs w:val="24"/>
        </w:rPr>
        <w:t xml:space="preserve">consent as a structured authorisation object that captures the security conditions under which healthcare data may be accessed. For the </w:t>
      </w:r>
      <w:r>
        <w:rPr>
          <w:rFonts w:ascii="Cambria" w:cs="Cambria" w:eastAsia="Cambria" w:hAnsi="Cambria"/>
          <w:color w:val="000000"/>
          <w:sz w:val="24"/>
          <w:szCs w:val="24"/>
        </w:rPr>
        <w:t xml:space="preserve">current stage</w:t>
      </w:r>
      <w:r>
        <w:rPr>
          <w:rFonts w:ascii="Cambria" w:cs="Cambria" w:eastAsia="Cambria" w:hAnsi="Cambria"/>
          <w:sz w:val="24"/>
          <w:szCs w:val="24"/>
        </w:rPr>
        <w:t xml:space="preserve"> scope, the core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(36)</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 both defined exactly as they are realised in the implementation.</w:t>
      </w:r>
    </w:p>
    <w:p>
      <w:pPr>
        <w:spacing w:after="140" w:line="300"/>
        <w:jc w:val="both"/>
      </w:pPr>
      <w:r>
        <w:rPr>
          <w:rFonts w:ascii="Cambria" w:cs="Cambria" w:eastAsia="Cambria" w:hAnsi="Cambria"/>
          <w:sz w:val="24"/>
          <w:szCs w:val="24"/>
        </w:rPr>
        <w:t xml:space="preserve">where I represents identity-related information associated with the relevant participants, A represents the authorisation requirements that must be satisfied before access can be granted, P represents the policy conditions governing purpose and healthcare data scope, and E represents the evidence generated throughout the authorisation process. The identity component I 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 The authorisation component A defines the conditions under which a consent object may become operational. In particular, it specifies whether a single participant is sufficient or whether multiple independent entities are required to jointly authorise a sensitive healthcare data operation. Let Av denote the set of participants whose identities and authority have been successfully verified, and let N denote the minimum required approval threshold. The authorisation condition can then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(37)</w:t>
      </w:r>
    </w:p>
    <w:p>
      <w:pPr>
        <w:spacing w:after="140" w:line="300"/>
        <w:jc w:val="both"/>
      </w:pPr>
      <w:r>
        <w:rPr>
          <w:rFonts w:ascii="Cambria" w:cs="Cambria" w:eastAsia="Cambria" w:hAnsi="Cambria"/>
          <w:sz w:val="24"/>
          <w:szCs w:val="24"/>
        </w:rPr>
        <w:t xml:space="preserve">This mechanism provides an important departure from conventional consent systems. In a traditional single-owner model, compromise, error, or misuse of one privileged account may be sufficient to produce an authorisation decision. In the proposed framework, trust can instead be distributed across multiple independently verified participants. A sensitive access decision becomes valid only when the defined collective authorisation condition has been satisfied. The policy component P 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 Let SC denote the healthcare data scope authorised by the consent object and SR denote the scope requested by an entity. Policy compliance requires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(38)</w:t>
      </w:r>
    </w:p>
    <w:p>
      <w:pPr>
        <w:spacing w:after="140" w:line="300"/>
        <w:jc w:val="both"/>
      </w:pPr>
      <w:r>
        <w:rPr>
          <w:rFonts w:ascii="Cambria" w:cs="Cambria" w:eastAsia="Cambria" w:hAnsi="Cambria"/>
          <w:sz w:val="24"/>
          <w:szCs w:val="24"/>
        </w:rPr>
        <w:t xml:space="preserve">If the requested data exceeds the authorised scope, the request must be rejected even if the requester has successfully authenticated and the required number of participants has approved the consent. The evidence component E represents the verifiable information generated during the authorisation process. This may include identity-verification results, credential-verification results, approval records, policy-evaluation outcomes, access decisions, and audit events. The purpose of E is not merely to record that a decision occurred, but to provide evidence concerning why the decision was produced.</w:t>
      </w:r>
    </w:p>
    <w:p>
      <w:pPr>
        <w:spacing w:after="140" w:line="300"/>
        <w:jc w:val="both"/>
      </w:pPr>
      <w:r>
        <w:rPr>
          <w:rFonts w:ascii="Cambria" w:cs="Cambria" w:eastAsia="Cambria" w:hAnsi="Cambria"/>
          <w:sz w:val="24"/>
          <w:szCs w:val="24"/>
        </w:rPr>
        <w:t xml:space="preserve">This distinction is particularly important for trustworthy consent governance. A conventional immutable record may demonstrate that a transaction was stored,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pStyle w:val="Heading2"/>
        <w:spacing w:after="160" w:before="280"/>
      </w:pPr>
      <w:r>
        <w:t xml:space="preserve">5.4  View: Controlled Interaction Among Independent Participants</w:t>
      </w:r>
    </w:p>
    <w:p>
      <w:pPr>
        <w:spacing w:after="140" w:line="300"/>
        <w:jc w:val="both"/>
      </w:pPr>
      <w:r>
        <w:rPr>
          <w:rFonts w:ascii="Cambria" w:cs="Cambria" w:eastAsia="Cambria" w:hAnsi="Cambria"/>
          <w:sz w:val="24"/>
          <w:szCs w:val="24"/>
        </w:rP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 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 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 The separation between interaction and enforcement prevents the user interface from becoming the source of trust. A request submitted through the View represents an input to the authorisation process, rather than an authorisation decision itself. The actual security decision remains the responsibility of the Controller. 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p>
      <w:pPr>
        <w:pStyle w:val="Heading2"/>
        <w:spacing w:after="160" w:before="280"/>
      </w:pPr>
      <w:r>
        <w:t xml:space="preserve">5.5  Controller: Trusted Multi-Party Authorisation Enforcement</w:t>
      </w:r>
    </w:p>
    <w:p>
      <w:pPr>
        <w:spacing w:after="140" w:line="300"/>
        <w:jc w:val="both"/>
      </w:pPr>
      <w:r>
        <w:rPr>
          <w:rFonts w:ascii="Cambria" w:cs="Cambria" w:eastAsia="Cambria" w:hAnsi="Cambria"/>
          <w:sz w:val="24"/>
          <w:szCs w:val="24"/>
        </w:rP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 The Controller first evaluates whether the requesting entity and relevant authorisation participants possess valid identities and credentials. Identity verification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(39)</w:t>
      </w:r>
    </w:p>
    <w:p>
      <w:pPr>
        <w:spacing w:after="140" w:line="300"/>
        <w:jc w:val="both"/>
      </w:pPr>
      <w:r>
        <w:rPr>
          <w:rFonts w:ascii="Cambria" w:cs="Cambria" w:eastAsia="Cambria" w:hAnsi="Cambria"/>
          <w:sz w:val="24"/>
          <w:szCs w:val="24"/>
        </w:rPr>
        <w:t xml:space="preserve">where V erif yDID(u) determines whether the decentralised identity of participant u can be verified and V erif yV C(u) determines whether the associated credential provides valid evidence of the relevant authority or role. A central principle of the proposed architecture is that identity verification and authorisation authority are not equivalent. A participant may possess a valid identity while lacking the authority required to access a particular patient’s healthcare information. Therefore,</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(40)</w:t>
      </w:r>
    </w:p>
    <w:p>
      <w:pPr>
        <w:spacing w:after="140" w:line="300"/>
        <w:jc w:val="both"/>
      </w:pPr>
      <w:r>
        <w:rPr>
          <w:rFonts w:ascii="Cambria" w:cs="Cambria" w:eastAsia="Cambria" w:hAnsi="Cambria"/>
          <w:sz w:val="24"/>
          <w:szCs w:val="24"/>
        </w:rPr>
        <w:t xml:space="preserve">This distinction prevents successful authentication from being incorrectly interpreted as unrestricted permission. 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 Av . If the number of valid approvals is below the required threshold N , the consent cannot produce an effective authorisation decision. The Controller then evaluates the relationship between the access request R and the policy conditions contained within the consent object. This process determines whether the requested healthcare data, operation, and intended purpose remain within the permitted authorisation boundary. The corresponding policy predicate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(41)</w:t>
      </w:r>
    </w:p>
    <w:p>
      <w:pPr>
        <w:spacing w:after="140" w:line="300"/>
        <w:jc w:val="both"/>
      </w:pPr>
      <w:r>
        <w:rPr>
          <w:rFonts w:ascii="Cambria" w:cs="Cambria" w:eastAsia="Cambria" w:hAnsi="Cambria"/>
          <w:sz w:val="24"/>
          <w:szCs w:val="24"/>
        </w:rPr>
        <w:t xml:space="preserve">The overall current stage authorisation decision is therefore determined by the conjunction of the foundational trust conditions: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(42)</w:t>
      </w:r>
    </w:p>
    <w:p>
      <w:pPr>
        <w:spacing w:after="140" w:line="300"/>
        <w:jc w:val="both"/>
      </w:pPr>
      <w:r>
        <w:rPr>
          <w:rFonts w:ascii="Cambria" w:cs="Cambria" w:eastAsia="Cambria" w:hAnsi="Cambria"/>
          <w:sz w:val="24"/>
          <w:szCs w:val="24"/>
        </w:rPr>
        <w:t xml:space="preserve">Equivalently, the decision can be represented as</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1; DENY, otherwise.</w:t>
      </w:r>
      <w:r>
        <w:rPr>
          <w:rFonts w:ascii="Cambria" w:cs="Cambria" w:eastAsia="Cambria" w:hAnsi="Cambria"/>
          <w:sz w:val="22"/>
          <w:szCs w:val="22"/>
        </w:rPr>
        <w:t xml:space="preserve">	(43)</w:t>
      </w:r>
    </w:p>
    <w:p>
      <w:pPr>
        <w:spacing w:after="140" w:line="300"/>
        <w:jc w:val="both"/>
      </w:pPr>
      <w:r>
        <w:rPr>
          <w:rFonts w:ascii="Cambria" w:cs="Cambria" w:eastAsia="Cambria" w:hAnsi="Cambria"/>
          <w:sz w:val="24"/>
          <w:szCs w:val="24"/>
        </w:rP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 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p>
      <w:pPr>
        <w:pStyle w:val="Heading2"/>
        <w:spacing w:after="160" w:before="280"/>
      </w:pPr>
      <w:r>
        <w:t xml:space="preserve">5.6  Multi-Party Consent as Distributed Trust Establishment</w:t>
      </w:r>
    </w:p>
    <w:p>
      <w:pPr>
        <w:spacing w:after="140" w:line="300"/>
        <w:jc w:val="both"/>
      </w:pPr>
      <w:r>
        <w:rPr>
          <w:rFonts w:ascii="Cambria" w:cs="Cambria" w:eastAsia="Cambria" w:hAnsi="Cambria"/>
          <w:sz w:val="24"/>
          <w:szCs w:val="24"/>
        </w:rPr>
        <w:t xml:space="preserve">A central contribution of the proposed architecture is the treatment of multi-party consent as a distributed trust-establishment mechanism rather than as a simple collection of multiple signatures. In conventional approval systems, multiple signatures may simply be appended to a document or transaction. However, the presence of multiple approvals does not necessarily establish that the approving entities were legitimate, possessed the appropriate authority, or approved the same policy conditions. 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 Let the set of submitted approvals be denoted by</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1</w:t>
      </w:r>
      <w:r>
        <w:rPr>
          <w:rFonts w:ascii="Cambria Math" w:cs="Cambria Math" w:eastAsia="Cambria Math" w:hAnsi="Cambria Math"/>
          <w:i/>
          <w:iCs/>
          <w:sz w:val="22"/>
          <w:szCs w:val="22"/>
        </w:rPr>
        <w:t xml:space="preserve">, a</w:t>
      </w:r>
      <w:r>
        <w:rPr>
          <w:rFonts w:ascii="Cambria Math" w:cs="Cambria Math" w:eastAsia="Cambria Math" w:hAnsi="Cambria Math"/>
          <w:i/>
          <w:iCs/>
          <w:sz w:val="22"/>
          <w:szCs w:val="22"/>
          <w:vertAlign w:val="subscript"/>
        </w:rPr>
        <w:t xml:space="preserve">2</w:t>
      </w:r>
      <w:r>
        <w:rPr>
          <w:rFonts w:ascii="Cambria Math" w:cs="Cambria Math" w:eastAsia="Cambria Math" w:hAnsi="Cambria Math"/>
          <w:i/>
          <w:iCs/>
          <w:sz w:val="22"/>
          <w:szCs w:val="22"/>
        </w:rPr>
        <w:t xml:space="preserve">, . . . , a</w:t>
      </w:r>
      <w:r>
        <w:rPr>
          <w:rFonts w:ascii="Cambria Math" w:cs="Cambria Math" w:eastAsia="Cambria Math" w:hAnsi="Cambria Math"/>
          <w:i/>
          <w:iCs/>
          <w:sz w:val="22"/>
          <w:szCs w:val="22"/>
          <w:vertAlign w:val="subscript"/>
        </w:rPr>
        <w:t xml:space="preserve">m</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(44)</w:t>
      </w:r>
    </w:p>
    <w:p>
      <w:pPr>
        <w:spacing w:after="140" w:line="300"/>
        <w:jc w:val="both"/>
      </w:pPr>
      <w:r>
        <w:rPr>
          <w:rFonts w:ascii="Cambria" w:cs="Cambria" w:eastAsia="Cambria" w:hAnsi="Cambria"/>
          <w:sz w:val="24"/>
          <w:szCs w:val="24"/>
        </w:rPr>
        <w:t xml:space="preserve">The verified approval set is then derived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1 ∧ Authority(a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Valid}.</w:t>
      </w:r>
      <w:r>
        <w:rPr>
          <w:rFonts w:ascii="Cambria" w:cs="Cambria" w:eastAsia="Cambria" w:hAnsi="Cambria"/>
          <w:sz w:val="22"/>
          <w:szCs w:val="22"/>
        </w:rPr>
        <w:t xml:space="preserve">	(45)</w:t>
      </w:r>
    </w:p>
    <w:p>
      <w:pPr>
        <w:spacing w:after="140" w:line="300"/>
        <w:jc w:val="both"/>
      </w:pPr>
      <w:r>
        <w:rPr>
          <w:rFonts w:ascii="Cambria" w:cs="Cambria" w:eastAsia="Cambria" w:hAnsi="Cambria"/>
          <w:sz w:val="24"/>
          <w:szCs w:val="24"/>
        </w:rPr>
        <w:t xml:space="preserve">Only the verified set Av contributes to the threshold condition. Consequently, an arbitrary number of unverified or unauthorised approvals cannot satisfy the multi-party authorisation requirement. 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 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p>
      <w:pPr>
        <w:pStyle w:val="Heading2"/>
        <w:spacing w:after="160" w:before="280"/>
      </w:pPr>
      <w:r>
        <w:t xml:space="preserve">5.7  Policy-Aware Consent Enforcement</w:t>
      </w:r>
    </w:p>
    <w:p>
      <w:pPr>
        <w:spacing w:after="140" w:line="300"/>
        <w:jc w:val="both"/>
      </w:pPr>
      <w:r>
        <w:rPr>
          <w:rFonts w:ascii="Cambria" w:cs="Cambria" w:eastAsia="Cambria" w:hAnsi="Cambria"/>
          <w:sz w:val="24"/>
          <w:szCs w:val="24"/>
        </w:rPr>
        <w:t xml:space="preserve">Another important feature of the architecture is the explicit separation between approval validity and access scope validity. Even when all required participants have approved a consent request, the resulting authorisation remains bounded by the policy encoded within the consent object. Suppose that a consent permits access to the following healthcare data categories</w:t>
      </w:r>
      <w:r>
        <w:rPr>
          <w:rFonts w:ascii="Cambria" w:cs="Cambria" w:eastAsia="Cambria" w:hAnsi="Cambria"/>
          <w:color w:val="000000"/>
          <w:sz w:val="24"/>
          <w:szCs w:val="24"/>
        </w:rPr>
        <w:t xml:space="preserv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(46)</w:t>
      </w:r>
    </w:p>
    <w:p>
      <w:pPr>
        <w:spacing w:after="140" w:line="300"/>
        <w:jc w:val="both"/>
      </w:pPr>
      <w:r>
        <w:rPr>
          <w:rFonts w:ascii="Cambria" w:cs="Cambria" w:eastAsia="Cambria" w:hAnsi="Cambria"/>
          <w:sz w:val="24"/>
          <w:szCs w:val="24"/>
        </w:rPr>
        <w:t xml:space="preserve">If a healthcare professional subsequently requests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(47)</w:t>
      </w:r>
    </w:p>
    <w:p>
      <w:pPr>
        <w:spacing w:after="140" w:line="300"/>
        <w:jc w:val="both"/>
      </w:pPr>
      <w:r>
        <w:rPr>
          <w:rFonts w:ascii="Cambria" w:cs="Cambria" w:eastAsia="Cambria" w:hAnsi="Cambria"/>
          <w:sz w:val="24"/>
          <w:szCs w:val="24"/>
        </w:rPr>
        <w:t xml:space="preserve">the request exceeds the authorised data scope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(48)</w:t>
      </w:r>
    </w:p>
    <w:p>
      <w:pPr>
        <w:spacing w:after="140" w:line="300"/>
        <w:jc w:val="both"/>
      </w:pPr>
      <w:r>
        <w:rPr>
          <w:rFonts w:ascii="Cambria" w:cs="Cambria" w:eastAsia="Cambria" w:hAnsi="Cambria"/>
          <w:sz w:val="24"/>
          <w:szCs w:val="24"/>
        </w:rPr>
        <w:t xml:space="preserve">The Controller must therefore return</w:t>
      </w:r>
    </w:p>
    <w:p>
      <w:pPr>
        <w:tabs>
          <w:tab w:val="right" w:pos="9360"/>
        </w:tabs>
        <w:spacing w:after="160" w:before="60"/>
        <w:jc w:val="center"/>
      </w:pPr>
      <w:r>
        <w:rPr>
          <w:rFonts w:ascii="Cambria Math" w:cs="Cambria Math" w:eastAsia="Cambria Math" w:hAnsi="Cambria Math"/>
          <w:i/>
          <w:iCs/>
          <w:sz w:val="22"/>
          <w:szCs w:val="22"/>
        </w:rPr>
        <w:t xml:space="preserve">Decision(C, R) = DENY.</w:t>
      </w:r>
      <w:r>
        <w:rPr>
          <w:rFonts w:ascii="Cambria" w:cs="Cambria" w:eastAsia="Cambria" w:hAnsi="Cambria"/>
          <w:sz w:val="22"/>
          <w:szCs w:val="22"/>
        </w:rPr>
        <w:t xml:space="preserve">	(49)</w:t>
      </w:r>
    </w:p>
    <w:p>
      <w:pPr>
        <w:spacing w:after="140" w:line="300"/>
        <w:jc w:val="both"/>
      </w:pPr>
      <w:r>
        <w:rPr>
          <w:rFonts w:ascii="Cambria" w:cs="Cambria" w:eastAsia="Cambria" w:hAnsi="Cambria"/>
          <w:sz w:val="24"/>
          <w:szCs w:val="24"/>
        </w:rPr>
        <w:t xml:space="preserve">This property is important because conventional authentication and role-based access control mechanisms may determine that an entity is generally authorised to access a category of healthcare information without adequately considering the specific policy conditions associated with an individual patient’s consent. The proposed architecture instead binds the access decision to the consent policy itself.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p>
      <w:pPr>
        <w:pStyle w:val="Heading2"/>
        <w:spacing w:after="160" w:before="280"/>
      </w:pPr>
      <w:r>
        <w:t xml:space="preserve">5.8  Authorisation Evidence and Auditability</w:t>
      </w:r>
    </w:p>
    <w:p>
      <w:pPr>
        <w:spacing w:after="140" w:line="300"/>
        <w:jc w:val="both"/>
      </w:pPr>
      <w:r>
        <w:rPr>
          <w:rFonts w:ascii="Cambria" w:cs="Cambria" w:eastAsia="Cambria" w:hAnsi="Cambria"/>
          <w:color w:val="000000"/>
          <w:sz w:val="24"/>
          <w:szCs w:val="24"/>
        </w:rPr>
        <w:t xml:space="preserve">In the implementation, consent activation and revocation are anchored on the Sepolia blockchain through the ConsentSBTv3 soulbound contract. This anchoring is performed asynchronously, and the audit ledger records the transaction hash and block number of each anchoring operation, thereby providing tamper-resistant evidence of the consent state.</w:t>
      </w:r>
    </w:p>
    <w:p>
      <w:pPr>
        <w:spacing w:after="140" w:line="300"/>
        <w:jc w:val="both"/>
      </w:pPr>
      <w:r>
        <w:rPr>
          <w:rFonts w:ascii="Cambria" w:cs="Cambria" w:eastAsia="Cambria" w:hAnsi="Cambria"/>
          <w:sz w:val="24"/>
          <w:szCs w:val="24"/>
        </w:rPr>
        <w:t xml:space="preserve">The proposed architecture further distinguishes between making an authorisation decision and demonstrating how that decision was made. For this reason, the Controller generates evidence associated with each relevant stage of the authorisation process. Conceptually, an authorisation evidence record can be represented as</w:t>
      </w:r>
    </w:p>
    <w:p>
      <w:pPr>
        <w:tabs>
          <w:tab w:val="right" w:pos="9360"/>
        </w:tabs>
        <w:spacing w:after="160" w:before="60"/>
        <w:jc w:val="center"/>
      </w:pPr>
      <w:r>
        <w:rPr>
          <w:rFonts w:ascii="Cambria Math" w:cs="Cambria Math" w:eastAsia="Cambria Math" w:hAnsi="Cambria Math"/>
          <w:i/>
          <w:iCs/>
          <w:sz w:val="22"/>
          <w:szCs w:val="22"/>
        </w:rPr>
        <w:t xml:space="preserve">E</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{ID, Credential, Approval, Policy, Decision, Audit}.</w:t>
      </w:r>
      <w:r>
        <w:rPr>
          <w:rFonts w:ascii="Cambria" w:cs="Cambria" w:eastAsia="Cambria" w:hAnsi="Cambria"/>
          <w:sz w:val="22"/>
          <w:szCs w:val="22"/>
        </w:rPr>
        <w:t xml:space="preserve">	(50)</w:t>
      </w:r>
    </w:p>
    <w:p>
      <w:pPr>
        <w:spacing w:after="140" w:line="300"/>
        <w:jc w:val="both"/>
      </w:pPr>
      <w:r>
        <w:rPr>
          <w:rFonts w:ascii="Cambria" w:cs="Cambria" w:eastAsia="Cambria" w:hAnsi="Cambria"/>
          <w:sz w:val="24"/>
          <w:szCs w:val="24"/>
        </w:rPr>
        <w:t xml:space="preserve">where ID represents identity-verification evidence, Credential represents authority or roleverification evidence, Approval represents the verified multi-party approval state, P olicy represents the result of policy evaluation, Decision represents the final access outcome, and Audit represents the associated event record. 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 However, the blockchain itself is not treated as the source of trust. Its role is to strengthen integrity, non-repudiation, and auditability of the evidence generated by the authorisation process. The trustworthiness of the access decision instead originates from the coordinated enforcement of identity, authority, multi-party approval, and policy conditions.</w:t>
      </w:r>
    </w:p>
    <w:p>
      <w:pPr>
        <w:pStyle w:val="Heading2"/>
        <w:spacing w:after="160" w:before="280"/>
      </w:pPr>
      <w:r>
        <w:t xml:space="preserve">5.9  Architectural Security Properties</w:t>
      </w:r>
    </w:p>
    <w:p>
      <w:pPr>
        <w:spacing w:after="140" w:line="300"/>
        <w:jc w:val="both"/>
      </w:pPr>
      <w:r>
        <w:rPr>
          <w:rFonts w:ascii="Cambria" w:cs="Cambria" w:eastAsia="Cambria" w:hAnsi="Cambria"/>
          <w:sz w:val="24"/>
          <w:szCs w:val="24"/>
        </w:rPr>
        <w:t xml:space="preserve">The proposed MVC architecture provides several foundational security properties for the current stage. These properties emerge from the interaction between the Model, View, and Controller rather than from any single technology.</w:t>
      </w:r>
    </w:p>
    <w:p>
      <w:pPr>
        <w:spacing w:after="140" w:line="300"/>
        <w:jc w:val="both"/>
      </w:pPr>
      <w:r>
        <w:rPr>
          <w:rFonts w:ascii="Cambria" w:cs="Cambria" w:eastAsia="Cambria" w:hAnsi="Cambria"/>
          <w:sz w:val="24"/>
          <w:szCs w:val="24"/>
        </w:rPr>
        <w:t xml:space="preserve">First, the architecture provides identity-dependent participation. A participant cannot contribute to the authorisation process solely by interacting with the system interface. The corresponding identity and credential must satisfy the verification requirements. Second, the architecture provides authority separation.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Therefore, a single participant cannot unilaterally activate access when the defined authorisation threshold has not been reached. Fourth, the architecture provides policy-bounded access. A valid requester with sufficient approval evidence cannot access healthcare information beyond the purpose or data scope defined by the consent object. Finally, the architecture provides decision accountability. The system maintains evidence concerning the conditions that produced an authorisation decision, thereby supporting auditing and subsequent verification. These properties can be summarised as shown in Table 5.</w:t>
      </w:r>
    </w:p>
    <w:p>
      <w:pPr>
        <w:pStyle w:val="Heading2"/>
        <w:spacing w:after="160" w:before="280"/>
      </w:pPr>
      <w:r>
        <w:t xml:space="preserve">5.10  MVC Architecture and the Research Objectives</w:t>
      </w:r>
    </w:p>
    <w:p>
      <w:pPr>
        <w:spacing w:after="140" w:line="300"/>
        <w:jc w:val="both"/>
      </w:pPr>
      <w:r>
        <w:rPr>
          <w:rFonts w:ascii="Cambria" w:cs="Cambria" w:eastAsia="Cambria" w:hAnsi="Cambria"/>
          <w:sz w:val="24"/>
          <w:szCs w:val="24"/>
        </w:rP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As shown in Table 6,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p>
      <w:pPr>
        <w:pStyle w:val="Heading2"/>
        <w:spacing w:after="160" w:before="280"/>
      </w:pPr>
      <w:r>
        <w:t xml:space="preserve">5.11  Architectural Contribution and Scope</w:t>
      </w:r>
    </w:p>
    <w:p>
      <w:pPr>
        <w:spacing w:after="140" w:line="300"/>
        <w:jc w:val="both"/>
      </w:pPr>
      <w:r>
        <w:rPr>
          <w:rFonts w:ascii="Cambria" w:cs="Cambria" w:eastAsia="Cambria" w:hAnsi="Cambria"/>
          <w:sz w:val="24"/>
          <w:szCs w:val="24"/>
        </w:rP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 This design transforms multi-party consent management from a conventional record-management problem into a distributed security-governance problem. The key innovation is that consent is treated as an active and evaluable authorisation object whose effectiveness depends on the joint satisfaction of identity, authority, collective approval, and policy conditions. For the current stage, the architecture therefore establishes the foundational mechanisms required to answer RQ1–RQ4. The implemented HALAH prototype provides the practical</w:t>
      </w:r>
    </w:p>
    <w:p>
      <w:pPr>
        <w:keepNext/>
        <w:spacing w:after="80" w:before="160"/>
        <w:jc w:val="center"/>
      </w:pPr>
      <w:r>
        <w:rPr>
          <w:rFonts w:ascii="Cambria" w:cs="Cambria" w:eastAsia="Cambria" w:hAnsi="Cambria"/>
          <w:b/>
          <w:bCs/>
          <w:sz w:val="21"/>
          <w:szCs w:val="21"/>
        </w:rPr>
        <w:t xml:space="preserve">Table 5: </w:t>
      </w:r>
      <w:r>
        <w:rPr>
          <w:rFonts w:ascii="Cambria" w:cs="Cambria" w:eastAsia="Cambria" w:hAnsi="Cambria"/>
          <w:sz w:val="21"/>
          <w:szCs w:val="21"/>
        </w:rPr>
        <w:t xml:space="preserve">Security Properties Supported by the Proposed MVC-Based Consent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Property</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Architectural Mechanism</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Significance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Identity-dependent participation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credential verification before a participant can contribute to the authorisation process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unverified entities from being treated as legitimate participants.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Authority separation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Independent evaluation of identity and role or authority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successful authentication from being interpreted as unrestricted authorisation.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authorisation integrity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Threshold evaluation over independently verified approval participants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a single participant from unilaterally activating sensitive healthcare data access when collective approval is required.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Policy-bounded access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Evaluation of purpose and requested data scope against consent policy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otherwise valid identities and approvals from being used to obtain data beyond the authorised scope.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Authorisation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Recording of verification results, approval evidence, policy evaluation, and final decisions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provide</w:t>
            </w:r>
            <w:r>
              <w:rPr>
                <w:rFonts w:ascii="Cambria" w:cs="Cambria" w:eastAsia="Cambria" w:hAnsi="Cambria"/>
                <w:b w:val="false"/>
                <w:bCs w:val="false"/>
                <w:sz w:val="19"/>
                <w:szCs w:val="19"/>
              </w:rPr>
              <w:t xml:space="preserve"> traceability and </w:t>
            </w:r>
            <w:r>
              <w:rPr>
                <w:rFonts w:ascii="Cambria" w:cs="Cambria" w:eastAsia="Cambria" w:hAnsi="Cambria"/>
                <w:b w:val="false"/>
                <w:bCs w:val="false"/>
                <w:color w:val="000000"/>
                <w:sz w:val="19"/>
                <w:szCs w:val="19"/>
              </w:rPr>
              <w:t xml:space="preserve">support</w:t>
            </w:r>
            <w:r>
              <w:rPr>
                <w:rFonts w:ascii="Cambria" w:cs="Cambria" w:eastAsia="Cambria" w:hAnsi="Cambria"/>
                <w:b w:val="false"/>
                <w:bCs w:val="false"/>
                <w:sz w:val="19"/>
                <w:szCs w:val="19"/>
              </w:rPr>
              <w:t xml:space="preserve"> accountability, auditing, and future verification.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Separation of interaction and enforcement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The View submits requests while the Controller independently determines the security decision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user-interface actions from being interpreted directly as trusted authorisation outcomes.</w:t>
            </w:r>
          </w:p>
        </w:tc>
      </w:tr>
    </w:tbl>
    <w:p>
      <w:pPr>
        <w:spacing w:after="180"/>
      </w:pPr>
    </w:p>
    <w:p>
      <w:pPr>
        <w:keepNext/>
        <w:spacing w:after="80" w:before="160"/>
        <w:jc w:val="center"/>
      </w:pPr>
      <w:r>
        <w:rPr>
          <w:rFonts w:ascii="Cambria" w:cs="Cambria" w:eastAsia="Cambria" w:hAnsi="Cambria"/>
          <w:b/>
          <w:bCs/>
          <w:sz w:val="21"/>
          <w:szCs w:val="21"/>
        </w:rPr>
        <w:t xml:space="preserve">Table 6: </w:t>
      </w:r>
      <w:r>
        <w:rPr>
          <w:rFonts w:ascii="Cambria" w:cs="Cambria" w:eastAsia="Cambria" w:hAnsi="Cambria"/>
          <w:sz w:val="21"/>
          <w:szCs w:val="21"/>
        </w:rPr>
        <w:t xml:space="preserve">Mapping Between Research Objectives and MVC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MVC Component</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Core Mechanism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Contribution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Trust-aware consent representation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Transforms consent from a passive permission record into a structured and evaluable authorisation object.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VC verification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trustworthy participants while explicitly separating identity from authorisation authority.</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Verified multi-party threshold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collective trust and prevents unilateral authorisation when multiple approvals are required.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purpose, and data-scope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valid participants and sufficient approvals remain constrained by the authorised purpose and healthcare data scope.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Temporal validity and consent lifecycle enforcement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View,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analysis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Will provide formal assurance (next stage)</w:t>
            </w:r>
            <w:r>
              <w:rPr>
                <w:rFonts w:ascii="Cambria" w:cs="Cambria" w:eastAsia="Cambria" w:hAnsi="Cambria"/>
                <w:b w:val="false"/>
                <w:bCs w:val="false"/>
                <w:sz w:val="19"/>
                <w:szCs w:val="19"/>
              </w:rPr>
              <w:t xml:space="preserve"> of the defined trust and authorisation properties and empirically evaluates whether the implemented framework correctly enforces authorised and unauthorised healthcare data-access decisions.</w:t>
            </w:r>
          </w:p>
        </w:tc>
      </w:tr>
    </w:tbl>
    <w:p>
      <w:pPr>
        <w:spacing w:after="180"/>
      </w:pPr>
    </w:p>
    <w:p>
      <w:pPr>
        <w:spacing w:after="140" w:line="300"/>
        <w:jc w:val="both"/>
      </w:pPr>
      <w:r>
        <w:rPr>
          <w:rFonts w:ascii="Cambria" w:cs="Cambria" w:eastAsia="Cambria" w:hAnsi="Cambria"/>
          <w:sz w:val="24"/>
          <w:szCs w:val="24"/>
        </w:rPr>
        <w:t xml:space="preserve">environment in which these mechanisms can be instantiated and evaluated through representative healthcare data-sharing scenarios. The subsequent stage will extend the architecture beyond the current foundational authorisation model. The consent Model will be expanded to include temporal validity, expiration, revocation, and controlled lifecycle transitions. The Controller will subsequently incorporate the corresponding temporal and lifecycle predicates into the authorisation decision. In addition, the complete decision model will be subjected to formal security analysis and broader empirical validation. Accordingly, the current stage architecture establishes the foundational security core of the research, while </w:t>
      </w:r>
      <w:r>
        <w:rPr>
          <w:rFonts w:ascii="Cambria" w:cs="Cambria" w:eastAsia="Cambria" w:hAnsi="Cambria"/>
          <w:color w:val="000000"/>
          <w:sz w:val="24"/>
          <w:szCs w:val="24"/>
        </w:rPr>
        <w:t xml:space="preserve">the next stage will</w:t>
      </w:r>
      <w:r>
        <w:rPr>
          <w:rFonts w:ascii="Cambria" w:cs="Cambria" w:eastAsia="Cambria" w:hAnsi="Cambria"/>
          <w:sz w:val="24"/>
          <w:szCs w:val="24"/>
        </w:rPr>
        <w:t xml:space="preserve"> investigate whether this core can maintain trust dynamically over time </w:t>
      </w:r>
      <w:r>
        <w:rPr>
          <w:rFonts w:ascii="Cambria" w:cs="Cambria" w:eastAsia="Cambria" w:hAnsi="Cambria"/>
          <w:color w:val="000000"/>
          <w:sz w:val="24"/>
          <w:szCs w:val="24"/>
        </w:rPr>
        <w:t xml:space="preserve">beyond the lifecycle mechanisms already demonstrated in the prototype</w:t>
      </w:r>
      <w:r>
        <w:rPr>
          <w:rFonts w:ascii="Cambria" w:cs="Cambria" w:eastAsia="Cambria" w:hAnsi="Cambria"/>
          <w:sz w:val="24"/>
          <w:szCs w:val="24"/>
        </w:rPr>
        <w:t xml:space="preserve">, satisfy formally defined security properties, and consistently enforce the complete trust-oriented authorisation model under representative and adversarial healthcare data-sharing conditions.</w:t>
      </w:r>
    </w:p>
    <w:p>
      <w:pPr>
        <w:pStyle w:val="Heading1"/>
        <w:pageBreakBefore/>
        <w:spacing w:after="160" w:before="400"/>
      </w:pPr>
      <w:r>
        <w:t xml:space="preserve">6  Proposed Solution</w:t>
      </w:r>
    </w:p>
    <w:p>
      <w:pPr>
        <w:pStyle w:val="Heading2"/>
        <w:spacing w:after="160" w:before="280"/>
      </w:pPr>
      <w:r>
        <w:t xml:space="preserve">6.1  Trust-Centric Consent Model for RO1</w:t>
      </w:r>
    </w:p>
    <w:p>
      <w:pPr>
        <w:spacing w:after="140" w:line="300"/>
        <w:jc w:val="both"/>
      </w:pPr>
      <w:r>
        <w:rPr>
          <w:rFonts w:ascii="Cambria" w:cs="Cambria" w:eastAsia="Cambria" w:hAnsi="Cambria"/>
          <w:sz w:val="24"/>
          <w:szCs w:val="24"/>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(51)</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w:t>
      </w:r>
    </w:p>
    <w:p>
      <w:pPr>
        <w:spacing w:after="140" w:line="300"/>
        <w:jc w:val="both"/>
      </w:pPr>
      <w:r>
        <w:rPr>
          <w:rFonts w:ascii="Cambria" w:cs="Cambria" w:eastAsia="Cambria" w:hAnsi="Cambria"/>
          <w:sz w:val="24"/>
          <w:szCs w:val="24"/>
        </w:rPr>
        <w:t xml:space="preserve">where I represents patient and participant identity information, A represents authorisation requirements, P represents policy constraints, and E 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3"/>
        <w:spacing w:after="160" w:before="280"/>
      </w:pPr>
      <w:r>
        <w:t xml:space="preserve">6.1.1  RO1 Consent Creation Workflow</w:t>
      </w:r>
    </w:p>
    <w:p>
      <w:pPr>
        <w:spacing w:after="140" w:line="300"/>
        <w:jc w:val="both"/>
      </w:pPr>
      <w:r>
        <w:rPr>
          <w:rFonts w:ascii="Cambria" w:cs="Cambria" w:eastAsia="Cambria" w:hAnsi="Cambria"/>
          <w:sz w:val="24"/>
          <w:szCs w:val="24"/>
        </w:rPr>
        <w:t xml:space="preserve">The following workflow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w:t>
      </w:r>
    </w:p>
    <w:p>
      <w:pPr>
        <w:keepNext/>
        <w:spacing w:after="60" w:before="140"/>
        <w:jc w:val="center"/>
      </w:pPr>
      <w:r>
        <w:drawing>
          <wp:inline distT="0" distB="0" distL="0" distR="0">
            <wp:extent cx="3619500" cy="6410325"/>
            <wp:effectExtent t="0" r="0" b="0" l="0"/>
            <wp:docPr id="1" name="gfig7.png" descr="Figure 10: RO1 workflow for trust-centric consent creation" title="Figure 10: 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64103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10: RO1 workflow for trust-centric consent creation</w:t>
      </w:r>
    </w:p>
    <w:p>
      <w:pPr>
        <w:spacing w:after="140" w:line="300"/>
        <w:jc w:val="both"/>
      </w:pPr>
      <w:r>
        <w:rPr>
          <w:rFonts w:ascii="Cambria" w:cs="Cambria" w:eastAsia="Cambria" w:hAnsi="Cambria"/>
          <w:color w:val="000000"/>
          <w:sz w:val="24"/>
          <w:szCs w:val="24"/>
        </w:rPr>
        <w:t xml:space="preserve">Whereas Figure 10 describes the behaviour of consent creation, Figure 11 presents the structure of the resulting consent object. It shows each of the six components of C = (I, A, P, T, L, E), the content that each component holds in the HALAH system, and the party that supplies it. The patient supplies the identity, authority, policy, temporal and jurisdictional components; the threshold N = |G| and the consent identifier id</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are generated by the system; and the evidence component is accumulated by the audit layer, the guardians' signatures and the blockchain as the consent progresses.</w:t>
      </w:r>
    </w:p>
    <w:p>
      <w:pPr>
        <w:keepNext/>
        <w:spacing w:after="60" w:before="140"/>
        <w:jc w:val="center"/>
      </w:pPr>
      <w:r>
        <w:drawing>
          <wp:inline distT="0" distB="0" distL="0" distR="0">
            <wp:extent cx="5715000" cy="3019425"/>
            <wp:effectExtent t="0" r="0" b="0" l="0"/>
            <wp:docPr id="1" name="gfig_cmodel.png" descr="Figure 11: Structural model of the trust-centric consent object C = (I, A, P, T, L, E), showing the content and the supplier of each component, the system-generated consent identifier and initial state, and the later link to the on-chain token upon activation." title="Figure 11: Structural model of the trust-centric consent object C = (I, A, P, T, L, E), showing the content and the supplier of each component, the system-generated consent identifier and initial state, and the later link to the on-chain token upon 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0194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11: Structural model of the trust-centric consent object C = (I, A, P, T, L, E), showing the content and the supplier of each component, the system-generated consent identifier and initial state, and the later link to the on-chain token upon activation.</w:t>
      </w:r>
    </w:p>
    <w:p>
      <w:pPr>
        <w:spacing w:after="140" w:line="300"/>
        <w:jc w:val="both"/>
      </w:pPr>
      <w:r>
        <w:rPr>
          <w:rFonts w:ascii="Cambria" w:cs="Cambria" w:eastAsia="Cambria" w:hAnsi="Cambria"/>
          <w:sz w:val="24"/>
          <w:szCs w:val="24"/>
        </w:rP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p>
      <w:pPr>
        <w:spacing w:after="140" w:line="300"/>
        <w:jc w:val="both"/>
      </w:pPr>
      <w:r>
        <w:rPr>
          <w:rFonts w:ascii="Cambria" w:cs="Cambria" w:eastAsia="Cambria" w:hAnsi="Cambria"/>
          <w:color w:val="000000"/>
          <w:sz w:val="24"/>
          <w:szCs w:val="24"/>
        </w:rPr>
        <w:t xml:space="preserve">The declared jurisdiction L is validated as a well-formed ISO alpha-2 territory code, AU in the demonstrated transactions, and is bound to the consent object at creation. This is important because the subsequent access decision is evaluated against it. Consequently, the construction sequence becomes I</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D → G → P</w:t>
      </w:r>
      <w:r>
        <w:rPr>
          <w:rFonts w:ascii="Cambria" w:cs="Cambria" w:eastAsia="Cambria" w:hAnsi="Cambria"/>
          <w:color w:val="000000"/>
          <w:sz w:val="24"/>
          <w:szCs w:val="24"/>
          <w:vertAlign w:val="subscript"/>
        </w:rPr>
        <w:t xml:space="preserve">u</w:t>
      </w:r>
      <w:r>
        <w:rPr>
          <w:rFonts w:ascii="Cambria" w:cs="Cambria" w:eastAsia="Cambria" w:hAnsi="Cambria"/>
          <w:color w:val="000000"/>
          <w:sz w:val="24"/>
          <w:szCs w:val="24"/>
        </w:rPr>
        <w:t xml:space="preserve"> → S</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T → L → A → id</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C → E.</w:t>
      </w:r>
    </w:p>
    <w:p>
      <w:pPr>
        <w:pStyle w:val="Heading3"/>
        <w:spacing w:after="160" w:before="280"/>
      </w:pPr>
      <w:r>
        <w:t xml:space="preserve">6.1.2  Procedure for Trust-Aware Consent Creation</w:t>
      </w:r>
    </w:p>
    <w:p>
      <w:pPr>
        <w:spacing w:after="140" w:line="300"/>
        <w:jc w:val="both"/>
      </w:pPr>
      <w:r>
        <w:rPr>
          <w:rFonts w:ascii="Cambria" w:cs="Cambria" w:eastAsia="Cambria" w:hAnsi="Cambria"/>
          <w:sz w:val="24"/>
          <w:szCs w:val="24"/>
        </w:rP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 1. Step 1 – Validate Patient Identity. The system first validates the patient’s identity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The identity is checked against the available identity and credential verification mechanisms to ensure that the consent request originates from a recognised patient entity. If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cannot be successfully validated, the procedure terminates immediately and returns REJECT. 2. Step 2 – Validate the Authorised Doctor. 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 3. Step 3 – Validate Guardian or Proxy Participants. 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 4. Step 4 – Validate the Intended Purpose. The intended data-use purpose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is validated to ensure that the purpose is explicitly specified and conforms to the supported healthcare-use policies. The purpose is subsequently bound to the consent object so that authorisation is not interpreted as unrestricted access to the patient’s healthcare information. 5. Step 5 – Validate the Data Scope. The requested data scope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 6. Step 6 – Validate the Consent Validity Interval. The system validates the temporal validity interval T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where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represents the consent start time and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represents the expiration time. The system verifies that the interval is logically valid by requiring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&gt;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If this condition is not satisfied, the consent request is rejected.</w:t>
      </w:r>
    </w:p>
    <w:p>
      <w:pPr>
        <w:spacing w:after="140" w:line="300"/>
        <w:jc w:val="both"/>
      </w:pPr>
      <w:r>
        <w:rPr>
          <w:rFonts w:ascii="Cambria" w:cs="Cambria" w:eastAsia="Cambria" w:hAnsi="Cambria"/>
          <w:color w:val="000000"/>
          <w:sz w:val="24"/>
          <w:szCs w:val="24"/>
        </w:rPr>
        <w:t xml:space="preserve">In the current prototype this validation is a structural check that each identifier constitutes a well-formed DID. The doctor is not independently authenticated at this stage, and credential-based verification of the presented identity is deferred to the production design.</w:t>
      </w:r>
    </w:p>
    <w:p>
      <w:pPr>
        <w:spacing w:after="140" w:line="300"/>
        <w:jc w:val="both"/>
      </w:pPr>
      <w:r>
        <w:rPr>
          <w:rFonts w:ascii="Cambria" w:cs="Cambria" w:eastAsia="Cambria" w:hAnsi="Cambria"/>
          <w:sz w:val="24"/>
          <w:szCs w:val="24"/>
        </w:rPr>
        <w:t xml:space="preserve">7. Step 7 – Define the Authorisation Requirement. 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 8. Step 8 – Generate a Unique Consent Identifier. The system generates a unique consent identifier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t>
      </w:r>
      <w:r>
        <w:rPr>
          <w:rFonts w:ascii="Cambria" w:cs="Cambria" w:eastAsia="Cambria" w:hAnsi="Cambria"/>
          <w:color w:val="000000"/>
          <w:sz w:val="24"/>
          <w:szCs w:val="24"/>
        </w:rPr>
        <w:t xml:space="preserve">The identifier is not supplied by any participant: it is generated by the Consent Service at the moment the patient submits the consent, as a universally unique identifier (UUID). It is then displayed to the patient, who shares it with the designated guardians and the authorised doctor so that they can approve the consent or request access. Possession of the identifier alone grants no access, because every subsequent request is evaluated by the complete decision rule, and the on-chain token identifier is assigned separately by the smart contract only when the consent is activated.</w:t>
      </w:r>
      <w:r>
        <w:rPr>
          <w:rFonts w:ascii="Cambria" w:cs="Cambria" w:eastAsia="Cambria" w:hAnsi="Cambria"/>
          <w:sz w:val="24"/>
          <w:szCs w:val="24"/>
        </w:rPr>
        <w:t xml:space="preserve"> This identifier provides a persistent reference to the consent object and enables subsequent operations, including consent verification, access authorisation, modification, revocation, and audit. 9. Step 9 – Construct the Consent Object. The validated information is combined to construct the consent object </w:t>
      </w:r>
      <w:r>
        <w:rPr>
          <w:rFonts w:ascii="Cambria" w:cs="Cambria" w:eastAsia="Cambria" w:hAnsi="Cambria"/>
          <w:color w:val="000000"/>
          <w:sz w:val="24"/>
          <w:szCs w:val="24"/>
        </w:rPr>
        <w:t xml:space="preserve">C = (I, A, P, T, L, E)</w:t>
      </w:r>
      <w:r>
        <w:rPr>
          <w:rFonts w:ascii="Cambria" w:cs="Cambria" w:eastAsia="Cambria" w:hAnsi="Cambria"/>
          <w:sz w:val="24"/>
          <w:szCs w:val="24"/>
        </w:rPr>
        <w:t xml:space="preserve">, where I represents the verified identity information, A represents the authorisation requirements, P represents the consent purpose and associated permissions, and E represents the evidence associated with the consent decision. The resulting object therefore captures not only the patient’s preference but also the evidence required to support subsequent authorisation decisions. 10. Step 10 – Persist the Consent Object. The constructed consent object C is persisted in the consent-management infrastructure. The persistence mechanism provides a stable representation of the consent state that can subsequently be referenced by the access-control and authorisation components. 11. Step 11 – Record Consent Creation Evidence. 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 12. Step 12 – Return the Consent Result. If all validation and construction operations are completed successfully, the system returns the newly created consent object C. If any mandatory validation fails during the process, the system terminates the procedure and returns REJECT. The overall procedure can therefore be represented as a sequential trust establishment process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 D → G →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w:t>
      </w:r>
      <w:r>
        <w:rPr>
          <w:rFonts w:ascii="Cambria" w:cs="Cambria" w:eastAsia="Cambria" w:hAnsi="Cambria"/>
          <w:color w:val="000000"/>
          <w:sz w:val="24"/>
          <w:szCs w:val="24"/>
        </w:rPr>
        <w:t xml:space="preserve">L → </w:t>
      </w:r>
      <w:r>
        <w:rPr>
          <w:rFonts w:ascii="Cambria" w:cs="Cambria" w:eastAsia="Cambria" w:hAnsi="Cambria"/>
          <w:sz w:val="24"/>
          <w:szCs w:val="24"/>
        </w:rPr>
        <w:t xml:space="preserve">A →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C → E. 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Bdr>
          <w:top w:val="single" w:color="000000" w:sz="12"/>
          <w:bottom w:val="single" w:color="000000" w:sz="6"/>
        </w:pBdr>
        <w:spacing w:after="40" w:before="220"/>
      </w:pPr>
      <w:r>
        <w:rPr>
          <w:rFonts w:ascii="Cambria" w:cs="Cambria" w:eastAsia="Cambria" w:hAnsi="Cambria"/>
          <w:b/>
          <w:bCs/>
          <w:sz w:val="21"/>
          <w:szCs w:val="21"/>
        </w:rPr>
        <w:t xml:space="preserve">Algorithm 1 </w:t>
      </w:r>
      <w:r>
        <w:rPr>
          <w:rFonts w:ascii="Cambria" w:cs="Cambria" w:eastAsia="Cambria" w:hAnsi="Cambria"/>
          <w:sz w:val="21"/>
          <w:szCs w:val="21"/>
        </w:rPr>
        <w:t xml:space="preserve">Trust-Aware Consent Creation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Patient identity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authorised doctor D, guardian set G, purpose P</w:t>
      </w:r>
      <w:r>
        <w:rPr>
          <w:rFonts w:ascii="Cambria" w:cs="Cambria" w:eastAsia="Cambria" w:hAnsi="Cambria"/>
          <w:sz w:val="21"/>
          <w:szCs w:val="21"/>
          <w:vertAlign w:val="subscript"/>
        </w:rPr>
        <w:t xml:space="preserve">u</w:t>
      </w:r>
      <w:r>
        <w:rPr>
          <w:rFonts w:ascii="Cambria" w:cs="Cambria" w:eastAsia="Cambria" w:hAnsi="Cambria"/>
          <w:sz w:val="21"/>
          <w:szCs w:val="21"/>
        </w:rPr>
        <w:t xml:space="preserve">, data scope S</w:t>
      </w:r>
      <w:r>
        <w:rPr>
          <w:rFonts w:ascii="Cambria" w:cs="Cambria" w:eastAsia="Cambria" w:hAnsi="Cambria"/>
          <w:sz w:val="21"/>
          <w:szCs w:val="21"/>
          <w:vertAlign w:val="subscript"/>
        </w:rPr>
        <w:t xml:space="preserve">C</w:t>
      </w:r>
      <w:r>
        <w:rPr>
          <w:rFonts w:ascii="Cambria" w:cs="Cambria" w:eastAsia="Cambria" w:hAnsi="Cambria"/>
          <w:sz w:val="21"/>
          <w:szCs w:val="21"/>
        </w:rPr>
        <w:t xml:space="preserve">, validity interval T</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Consent object C or rejection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Validate I</w:t>
      </w:r>
      <w:r>
        <w:rPr>
          <w:rFonts w:ascii="Cambria" w:cs="Cambria" w:eastAsia="Cambria" w:hAnsi="Cambria"/>
          <w:sz w:val="21"/>
          <w:szCs w:val="21"/>
          <w:vertAlign w:val="subscript"/>
        </w:rPr>
        <w:t xml:space="preserve">p</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is invalid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Validate authorised doctor D</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Validate guardian set G</w:t>
      </w:r>
    </w:p>
    <w:p>
      <w:pPr>
        <w:spacing w:after="20"/>
        <w:ind w:left="240"/>
      </w:pPr>
      <w:r>
        <w:rPr>
          <w:rFonts w:ascii="Cambria" w:cs="Cambria" w:eastAsia="Cambria" w:hAnsi="Cambria"/>
          <w:color w:val="555555"/>
          <w:sz w:val="18"/>
          <w:szCs w:val="18"/>
        </w:rPr>
        <w:t xml:space="preserve">7:  </w:t>
      </w:r>
      <w:r>
        <w:rPr>
          <w:rFonts w:ascii="Cambria" w:cs="Cambria" w:eastAsia="Cambria" w:hAnsi="Cambria"/>
          <w:sz w:val="21"/>
          <w:szCs w:val="21"/>
        </w:rPr>
        <w:t xml:space="preserve">Validate purpose P</w:t>
      </w:r>
      <w:r>
        <w:rPr>
          <w:rFonts w:ascii="Cambria" w:cs="Cambria" w:eastAsia="Cambria" w:hAnsi="Cambria"/>
          <w:sz w:val="21"/>
          <w:szCs w:val="21"/>
          <w:vertAlign w:val="subscript"/>
        </w:rPr>
        <w:t xml:space="preserve">u</w:t>
      </w:r>
    </w:p>
    <w:p>
      <w:pPr>
        <w:spacing w:after="20"/>
        <w:ind w:left="240"/>
      </w:pPr>
      <w:r>
        <w:rPr>
          <w:rFonts w:ascii="Cambria" w:cs="Cambria" w:eastAsia="Cambria" w:hAnsi="Cambria"/>
          <w:color w:val="555555"/>
          <w:sz w:val="18"/>
          <w:szCs w:val="18"/>
        </w:rPr>
        <w:t xml:space="preserve">8:  </w:t>
      </w:r>
      <w:r>
        <w:rPr>
          <w:rFonts w:ascii="Cambria" w:cs="Cambria" w:eastAsia="Cambria" w:hAnsi="Cambria"/>
          <w:sz w:val="21"/>
          <w:szCs w:val="21"/>
        </w:rPr>
        <w:t xml:space="preserve">Validate data scope S</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Validate validity interval T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Define authorisation requirement A</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Generate consent identifier id</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000000"/>
          <w:sz w:val="18"/>
          <w:szCs w:val="18"/>
        </w:rPr>
        <w:t xml:space="preserve">15:  </w:t>
      </w:r>
      <w:r>
        <w:rPr>
          <w:rFonts w:ascii="Cambria" w:cs="Cambria" w:eastAsia="Cambria" w:hAnsi="Cambria"/>
          <w:color w:val="000000"/>
          <w:sz w:val="21"/>
          <w:szCs w:val="21"/>
        </w:rPr>
        <w:t xml:space="preserve">Construct C = (I, A, P, T, L, E)</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Persist C</w:t>
      </w:r>
    </w:p>
    <w:p>
      <w:pPr>
        <w:spacing w:after="20"/>
        <w:ind w:left="240"/>
      </w:pPr>
      <w:r>
        <w:rPr>
          <w:rFonts w:ascii="Cambria" w:cs="Cambria" w:eastAsia="Cambria" w:hAnsi="Cambria"/>
          <w:color w:val="000000"/>
          <w:sz w:val="18"/>
          <w:szCs w:val="18"/>
        </w:rPr>
        <w:t xml:space="preserve">17:  </w:t>
      </w:r>
      <w:r>
        <w:rPr>
          <w:rFonts w:ascii="Cambria" w:cs="Cambria" w:eastAsia="Cambria" w:hAnsi="Cambria"/>
          <w:color w:val="000000"/>
          <w:sz w:val="21"/>
          <w:szCs w:val="21"/>
        </w:rPr>
        <w:t xml:space="preserve">state ← PENDING_SIGNATURE   ▷ nothing is anchored on-chain until all guardians approve</w:t>
      </w:r>
    </w:p>
    <w:p>
      <w:pPr>
        <w:spacing w:after="20"/>
        <w:ind w:left="24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consent creation evidence</w:t>
      </w:r>
    </w:p>
    <w:p>
      <w:pPr>
        <w:spacing w:after="20"/>
        <w:ind w:left="24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C</w:t>
      </w:r>
    </w:p>
    <w:p>
      <w:pPr>
        <w:pBdr>
          <w:bottom w:val="single" w:color="000000" w:sz="12"/>
        </w:pBdr>
        <w:spacing w:after="60"/>
      </w:pPr>
    </w:p>
    <w:p>
      <w:pPr>
        <w:spacing w:after="160"/>
      </w:pPr>
    </w:p>
    <w:p>
      <w:pPr>
        <w:pStyle w:val="Heading3"/>
        <w:spacing w:after="160" w:before="280"/>
      </w:pPr>
      <w:r>
        <w:t xml:space="preserve">6.1.3  Algorithm 1: Trust-Aware Consent Creation</w:t>
      </w:r>
    </w:p>
    <w:p>
      <w:pPr>
        <w:spacing w:after="140" w:line="300"/>
        <w:jc w:val="both"/>
      </w:pPr>
      <w:r>
        <w:rPr>
          <w:rFonts w:ascii="Cambria" w:cs="Cambria" w:eastAsia="Cambria" w:hAnsi="Cambria"/>
          <w:sz w:val="24"/>
          <w:szCs w:val="24"/>
        </w:rP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spacing w:after="160" w:before="280"/>
      </w:pPr>
      <w:r>
        <w:t xml:space="preserve">6.2  Decentralised Identity and Authority Trust for RO2</w:t>
      </w:r>
    </w:p>
    <w:p>
      <w:pPr>
        <w:spacing w:after="140" w:line="300"/>
        <w:jc w:val="both"/>
      </w:pPr>
      <w:r>
        <w:rPr>
          <w:rFonts w:ascii="Cambria" w:cs="Cambria" w:eastAsia="Cambria" w:hAnsi="Cambria"/>
          <w:sz w:val="24"/>
          <w:szCs w:val="24"/>
        </w:rPr>
        <w:t xml:space="preserve">RO2 addresses RQ2 by developing a decentralised identity and authority verification mechanism using Decentralised Identifiers and Verifiable Credentials. The objective is to establish trustworthy participants while explicitly separating identity authentication from authorisation authority. The central principle of RO2 is</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(52)</w:t>
      </w:r>
    </w:p>
    <w:p>
      <w:pPr>
        <w:spacing w:after="140" w:line="300"/>
        <w:jc w:val="both"/>
      </w:pPr>
      <w:r>
        <w:rPr>
          <w:rFonts w:ascii="Cambria" w:cs="Cambria" w:eastAsia="Cambria" w:hAnsi="Cambria"/>
          <w:sz w:val="24"/>
          <w:szCs w:val="24"/>
        </w:rP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verification condition can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(53)</w:t>
      </w:r>
    </w:p>
    <w:p>
      <w:pPr>
        <w:spacing w:after="140" w:line="300"/>
        <w:jc w:val="both"/>
      </w:pPr>
      <w:r>
        <w:rPr>
          <w:rFonts w:ascii="Cambria" w:cs="Cambria" w:eastAsia="Cambria" w:hAnsi="Cambria"/>
          <w:sz w:val="24"/>
          <w:szCs w:val="24"/>
        </w:rPr>
        <w:t xml:space="preserve">where u 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p>
      <w:pPr>
        <w:pStyle w:val="Heading3"/>
        <w:spacing w:after="160" w:before="280"/>
      </w:pPr>
      <w:r>
        <w:t xml:space="preserve">6.2.1  RO2 Identity and Authority Verification Workflow</w:t>
      </w:r>
    </w:p>
    <w:p>
      <w:pPr>
        <w:spacing w:after="140" w:line="300"/>
        <w:jc w:val="both"/>
      </w:pPr>
      <w:r>
        <w:rPr>
          <w:rFonts w:ascii="Cambria" w:cs="Cambria" w:eastAsia="Cambria" w:hAnsi="Cambria"/>
          <w:sz w:val="24"/>
          <w:szCs w:val="24"/>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The output of RO2 is not an access-grant decision. It is a verified identity and authority result that can be consumed by RO3 and RO4. This separation prevents a participant from obtaining access merely by presenting a valid identity credential.</w:t>
      </w:r>
    </w:p>
    <w:p>
      <w:pPr>
        <w:pStyle w:val="Heading3"/>
        <w:spacing w:after="160" w:before="280"/>
      </w:pPr>
      <w:r>
        <w:t xml:space="preserve">6.2.2  Procedure for DID and VC Identity and Authority Verification</w:t>
      </w:r>
    </w:p>
    <w:p>
      <w:pPr>
        <w:spacing w:after="140" w:line="300"/>
        <w:jc w:val="both"/>
      </w:pPr>
      <w:r>
        <w:rPr>
          <w:rFonts w:ascii="Cambria" w:cs="Cambria" w:eastAsia="Cambria" w:hAnsi="Cambria"/>
          <w:sz w:val="24"/>
          <w:szCs w:val="24"/>
        </w:rP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 u, the identity information represented by the DID, the attributes contained in the associated VC, and the authority requirements specified by the consent object C. The procedure consists of the following steps. 1. Step 1 – Resolve the Participant’s DID. The system first resolves the decentralised identifier (DID) associated with participant u. DID resolution retrieves the DID-related information required to establish the participant’s decentralised identity and identify the corresponding DID document. If the DID cannot be successfully resolved, the verification process terminates and returns INVALID. 2. Step 2 – Verify the DID Document. 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 INVALID outcome.</w:t>
      </w:r>
    </w:p>
    <w:p>
      <w:pPr>
        <w:keepNext/>
        <w:spacing w:after="60" w:before="140"/>
        <w:jc w:val="center"/>
      </w:pPr>
      <w:r>
        <w:drawing>
          <wp:inline distT="0" distB="0" distL="0" distR="0">
            <wp:extent cx="4000500" cy="5495925"/>
            <wp:effectExtent t="0" r="0" b="0" l="0"/>
            <wp:docPr id="1" name="gfig8.png" descr="Figure 12: RO2 workflow for decentralised identity and authority verification" title="Figure 12: RO2 workflow for decentralised identity and authority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5495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12: RO2 workflow for decentralised identity and authority verification</w:t>
      </w:r>
    </w:p>
    <w:p>
      <w:pPr>
        <w:jc w:val="center"/>
      </w:pPr>
      <w:r>
        <w:rPr>
          <w:rFonts w:ascii="Cambria" w:cs="Cambria" w:eastAsia="Cambria" w:hAnsi="Cambria"/>
          <w:i/>
          <w:iCs/>
          <w:sz w:val="20"/>
          <w:szCs w:val="20"/>
        </w:rPr>
        <w:t xml:space="preserve">[Figure 12: RO2 workflow for decentralised identity and authority verification]</w:t>
      </w:r>
    </w:p>
    <w:p>
      <w:pPr>
        <w:spacing w:after="140" w:line="300"/>
        <w:jc w:val="both"/>
      </w:pPr>
      <w:r>
        <w:rPr>
          <w:rFonts w:ascii="Cambria" w:cs="Cambria" w:eastAsia="Cambria" w:hAnsi="Cambria"/>
          <w:sz w:val="24"/>
          <w:szCs w:val="24"/>
        </w:rPr>
        <w:t xml:space="preserve">3. Step 3 – Retrieve the Participant’s Verifiable Credential. The system retrieves the verifiable credential (VC) associated with participant u. The VC provides machine-verifiable claims concerning the participant, such as professional role, organisational affiliation, or delegated authority. If an appropriate VC cannot be retrieved, the participant cannot establish the required authority and the verification process returns INVALID. 4. Step 4 – Verify the Verifiable Credential. </w:t>
      </w:r>
      <w:r>
        <w:rPr>
          <w:rFonts w:ascii="Cambria" w:cs="Cambria" w:eastAsia="Cambria" w:hAnsi="Cambria"/>
          <w:color w:val="000000"/>
          <w:sz w:val="24"/>
          <w:szCs w:val="24"/>
        </w:rPr>
        <w:t xml:space="preserve">In the target design the retrieved VC is cryptographically and semantically validated; the current prototype performs a structural check of the credential reference, and full cryptographic validation is specified as the production behaviour.</w:t>
      </w:r>
      <w:r>
        <w:rPr>
          <w:rFonts w:ascii="Cambria" w:cs="Cambria" w:eastAsia="Cambria" w:hAnsi="Cambria"/>
          <w:sz w:val="24"/>
          <w:szCs w:val="24"/>
        </w:rPr>
        <w:t xml:space="preserve">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 Formally, the credential can be considered valid only when VC</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Sig</w:t>
      </w:r>
      <w:r>
        <w:rPr>
          <w:rFonts w:ascii="Cambria" w:cs="Cambria" w:eastAsia="Cambria" w:hAnsi="Cambria"/>
          <w:sz w:val="24"/>
          <w:szCs w:val="24"/>
          <w:vertAlign w:val="subscript"/>
        </w:rPr>
        <w:t xml:space="preserve">VC</w:t>
      </w:r>
      <w:r>
        <w:rPr>
          <w:rFonts w:ascii="Cambria" w:cs="Cambria" w:eastAsia="Cambria" w:hAnsi="Cambria"/>
          <w:sz w:val="24"/>
          <w:szCs w:val="24"/>
        </w:rPr>
        <w:t xml:space="preserve"> ∧ Issuer</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Subject</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Time</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If any of these conditions fails, the verification process returns INVALID. 5. Step 5 – Extract Role and Authority Claims. Once the VC has been successfully verified, the system extracts the relevant role and authority claims associated with participant u.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 6. Step 6 – Compare Authority Claims with Consent Requirements. The extracted role and authority claims are compared against the authorisation requirements A specified in the consent object C. The purpose of this step is to ensure that possession of a valid identity or credential is not automatically interpreted as permission to access healthcare information. The authority verification condition can therefore be represented as Authority(u, C) = Claims(u) |=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where Claims(u) denotes the verified claims associated with participant u, and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denotes the authority requirements defined by consent object C. If the participant’s claims do not satisfy the required authority conditions, the system returns INVALID. 7. Step 7 – Establish Identity–Authority Binding. 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spacing w:after="140" w:line="300"/>
        <w:jc w:val="both"/>
      </w:pPr>
      <w:r>
        <w:rPr>
          <w:rFonts w:ascii="Cambria" w:cs="Cambria" w:eastAsia="Cambria" w:hAnsi="Cambria"/>
          <w:color w:val="000000"/>
          <w:sz w:val="24"/>
          <w:szCs w:val="24"/>
        </w:rPr>
        <w:t xml:space="preserve">This condition defines the target verification model rather than the behaviour presently exercised. The current prototype implements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(u) as a structural DID-format check and records its outcome in the audit ledger; cryptographic validation of verifiable credentials against the four conditions above is specified here as the production behaviour and is not yet exercised by the demonstration.</w:t>
      </w:r>
    </w:p>
    <w:p>
      <w:pPr>
        <w:spacing w:after="140" w:line="300"/>
        <w:jc w:val="both"/>
      </w:pPr>
      <w:r>
        <w:rPr>
          <w:rFonts w:ascii="Cambria" w:cs="Cambria" w:eastAsia="Cambria" w:hAnsi="Cambria"/>
          <w:sz w:val="24"/>
          <w:szCs w:val="24"/>
        </w:rPr>
        <w:t xml:space="preserve">8. Step 8 – Record Identity and Authority Evidence. 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 9. Step 9 – Return the Verification Result. If DID resolution, DID verification, VC retrieval, VC verification, and authority validation are all successfully completed, the system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Otherwise, the procedure terminates at the first failed mandatory verification condition and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INVALID. The overall verification process can therefore be represented as: DID</w:t>
      </w:r>
      <w:r>
        <w:rPr>
          <w:rFonts w:ascii="Cambria" w:cs="Cambria" w:eastAsia="Cambria" w:hAnsi="Cambria"/>
          <w:sz w:val="24"/>
          <w:szCs w:val="24"/>
          <w:vertAlign w:val="subscript"/>
        </w:rPr>
        <w:t xml:space="preserve">resolve</w:t>
      </w:r>
      <w:r>
        <w:rPr>
          <w:rFonts w:ascii="Cambria" w:cs="Cambria" w:eastAsia="Cambria" w:hAnsi="Cambria"/>
          <w:sz w:val="24"/>
          <w:szCs w:val="24"/>
        </w:rPr>
        <w:t xml:space="preserve"> → DID</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retrieve</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Claims</w:t>
      </w:r>
      <w:r>
        <w:rPr>
          <w:rFonts w:ascii="Cambria" w:cs="Cambria" w:eastAsia="Cambria" w:hAnsi="Cambria"/>
          <w:sz w:val="24"/>
          <w:szCs w:val="24"/>
          <w:vertAlign w:val="subscript"/>
        </w:rPr>
        <w:t xml:space="preserve">extract</w:t>
      </w:r>
      <w:r>
        <w:rPr>
          <w:rFonts w:ascii="Cambria" w:cs="Cambria" w:eastAsia="Cambria" w:hAnsi="Cambria"/>
          <w:sz w:val="24"/>
          <w:szCs w:val="24"/>
        </w:rPr>
        <w:t xml:space="preserve"> → Authority</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Evidence</w:t>
      </w:r>
      <w:r>
        <w:rPr>
          <w:rFonts w:ascii="Cambria" w:cs="Cambria" w:eastAsia="Cambria" w:hAnsi="Cambria"/>
          <w:sz w:val="24"/>
          <w:szCs w:val="24"/>
          <w:vertAlign w:val="subscript"/>
        </w:rPr>
        <w:t xml:space="preserve">record</w:t>
      </w:r>
      <w:r>
        <w:rPr>
          <w:rFonts w:ascii="Cambria" w:cs="Cambria" w:eastAsia="Cambria" w:hAnsi="Cambria"/>
          <w:sz w:val="24"/>
          <w:szCs w:val="24"/>
        </w:rPr>
        <w:t xml:space="preserve">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The procedure establishes an important separation between identity verification and authority verification.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 C. Consequently, the procedure can be interpreted as a two-layer verification mechanism Identity(u) ∧ CredentialValidity(u) ∧ Authority(u, C)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p>
      <w:pPr>
        <w:pStyle w:val="Heading3"/>
        <w:spacing w:after="160" w:before="280"/>
      </w:pPr>
      <w:r>
        <w:t xml:space="preserve">6.2.3  Algorithm 2: DID and VC Identity and Authority Verification</w:t>
      </w:r>
    </w:p>
    <w:p>
      <w:pPr>
        <w:spacing w:after="140" w:line="300"/>
        <w:jc w:val="both"/>
      </w:pPr>
      <w:r>
        <w:rPr>
          <w:rFonts w:ascii="Cambria" w:cs="Cambria" w:eastAsia="Cambria" w:hAnsi="Cambria"/>
          <w:sz w:val="24"/>
          <w:szCs w:val="24"/>
        </w:rP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contributes to the trust-oriented framework by converting identity and authority claims into verifiable evidence. However, it does not independently establish collective consent or policy compliance. Those conditions are evaluated by RO3 and RO4.</w:t>
      </w:r>
    </w:p>
    <w:p>
      <w:pPr>
        <w:pBdr>
          <w:top w:val="single" w:color="000000" w:sz="12"/>
          <w:bottom w:val="single" w:color="000000" w:sz="6"/>
        </w:pBdr>
        <w:spacing w:after="40" w:before="220"/>
      </w:pPr>
      <w:r>
        <w:rPr>
          <w:rFonts w:ascii="Cambria" w:cs="Cambria" w:eastAsia="Cambria" w:hAnsi="Cambria"/>
          <w:b/>
          <w:bCs/>
          <w:sz w:val="21"/>
          <w:szCs w:val="21"/>
        </w:rPr>
        <w:t xml:space="preserve">Algorithm 2 </w:t>
      </w:r>
      <w:r>
        <w:rPr>
          <w:rFonts w:ascii="Cambria" w:cs="Cambria" w:eastAsia="Cambria" w:hAnsi="Cambria"/>
          <w:sz w:val="21"/>
          <w:szCs w:val="21"/>
        </w:rPr>
        <w:t xml:space="preserve">DID and VC Identity and Authority Verification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Participant u, consent object C</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Verification result V</w:t>
      </w:r>
      <w:r>
        <w:rPr>
          <w:rFonts w:ascii="Cambria" w:cs="Cambria" w:eastAsia="Cambria" w:hAnsi="Cambria"/>
          <w:sz w:val="21"/>
          <w:szCs w:val="21"/>
          <w:vertAlign w:val="subscript"/>
        </w:rPr>
        <w:t xml:space="preserve">I</w:t>
      </w:r>
      <w:r>
        <w:rPr>
          <w:rFonts w:ascii="Cambria" w:cs="Cambria" w:eastAsia="Cambria" w:hAnsi="Cambria"/>
          <w:sz w:val="21"/>
          <w:szCs w:val="21"/>
        </w:rPr>
        <w:t xml:space="preserve">(u)</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Resolve DID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DID resolution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Verify DID document and associated identity information</w:t>
      </w:r>
    </w:p>
    <w:p>
      <w:pPr>
        <w:spacing w:after="20"/>
        <w:ind w:left="24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if</w:t>
      </w:r>
      <w:r>
        <w:rPr>
          <w:rFonts w:ascii="Cambria" w:cs="Cambria" w:eastAsia="Cambria" w:hAnsi="Cambria"/>
          <w:sz w:val="21"/>
          <w:szCs w:val="21"/>
        </w:rPr>
        <w:t xml:space="preserve"> DID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Retrieve VC associated with u</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VC retrieval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Verify VC signature, issuer, subject, and validity</w:t>
      </w:r>
    </w:p>
    <w:p>
      <w:pPr>
        <w:spacing w:after="20"/>
        <w:ind w:left="24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if</w:t>
      </w:r>
      <w:r>
        <w:rPr>
          <w:rFonts w:ascii="Cambria" w:cs="Cambria" w:eastAsia="Cambria" w:hAnsi="Cambria"/>
          <w:sz w:val="21"/>
          <w:szCs w:val="21"/>
        </w:rPr>
        <w:t xml:space="preserve"> VC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16: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Extract role and authority claims from VC</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claims do not satisfy the authority requirements of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identity and authority verification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pStyle w:val="Heading2"/>
        <w:spacing w:after="160" w:before="280"/>
      </w:pPr>
      <w:r>
        <w:t xml:space="preserve">6.3  Trustworthy Multi-Party Authorisation for RO3</w:t>
      </w:r>
    </w:p>
    <w:p>
      <w:pPr>
        <w:spacing w:after="140" w:line="300"/>
        <w:jc w:val="both"/>
      </w:pPr>
      <w:r>
        <w:rPr>
          <w:rFonts w:ascii="Cambria" w:cs="Cambria" w:eastAsia="Cambria" w:hAnsi="Cambria"/>
          <w:sz w:val="24"/>
          <w:szCs w:val="24"/>
        </w:rPr>
        <w:t xml:space="preserve">RO3 addresses RQ3 by developing a threshold-based multi-party authorisation mechanism. The objective is to ensure that sensitive healthcare data cannot be accessed through unilateral approval when the consent requires participation from multiple independently verified parties.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valid approvals and let N denote the required authorisation threshold. The threshold condition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(54)</w:t>
      </w:r>
    </w:p>
    <w:p>
      <w:pPr>
        <w:spacing w:after="140" w:line="300"/>
        <w:jc w:val="both"/>
      </w:pPr>
      <w:r>
        <w:rPr>
          <w:rFonts w:ascii="Cambria" w:cs="Cambria" w:eastAsia="Cambria" w:hAnsi="Cambria"/>
          <w:sz w:val="24"/>
          <w:szCs w:val="24"/>
        </w:rPr>
        <w:t xml:space="preserve">The threshold mechanism establishes collective authorisation. For example, a consent may require two valid guardian approvals. In this case, one valid approval is insufficient, whereas two valid approvals satisfy the threshold.</w:t>
      </w:r>
    </w:p>
    <w:p>
      <w:pPr>
        <w:spacing w:after="140" w:line="300"/>
        <w:jc w:val="both"/>
      </w:pPr>
      <w:r>
        <w:rPr>
          <w:rFonts w:ascii="Cambria" w:cs="Cambria" w:eastAsia="Cambria" w:hAnsi="Cambria"/>
          <w:color w:val="000000"/>
          <w:sz w:val="24"/>
          <w:szCs w:val="24"/>
        </w:rPr>
        <w:t xml:space="preserve">In the current implementation the threshold is fixed to the full guardian set, N = |G|, so that every designated guardian must approve before the consent is activated; the demonstrated configuration is therefore 2-of-2. This distinction is important because a configurable k-of-n threshold, while a direct generalisation of the implemented mechanism, is left to future work.</w:t>
      </w:r>
    </w:p>
    <w:p>
      <w:pPr>
        <w:pStyle w:val="Heading3"/>
        <w:spacing w:after="160" w:before="280"/>
      </w:pPr>
      <w:r>
        <w:t xml:space="preserve">6.3.1  RO3 Multi-Party Authorisation Workflow</w:t>
      </w:r>
    </w:p>
    <w:p>
      <w:pPr>
        <w:spacing w:after="140" w:line="300"/>
        <w:jc w:val="both"/>
      </w:pPr>
      <w:r>
        <w:rPr>
          <w:rFonts w:ascii="Cambria" w:cs="Cambria" w:eastAsia="Cambria" w:hAnsi="Cambria"/>
          <w:sz w:val="24"/>
          <w:szCs w:val="24"/>
        </w:rPr>
        <w:t xml:space="preserve">The workflow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 The authorisation becomes active only when the number of valid approvals reaches the required threshold. In the HALAH implementation, the Guardian workflow verifies the guardian VC, appends the guardian DID to the consent signatures, and displays the current approval count relative to the threshold. When the threshold is reached, the implementation assigns an SBT identifier and records the corresponding minting event. 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p>
      <w:pPr>
        <w:spacing w:after="140" w:line="300"/>
        <w:jc w:val="both"/>
      </w:pPr>
      <w:r>
        <w:rPr>
          <w:rFonts w:ascii="Cambria" w:cs="Cambria" w:eastAsia="Cambria" w:hAnsi="Cambria"/>
          <w:color w:val="000000"/>
          <w:sz w:val="24"/>
          <w:szCs w:val="24"/>
        </w:rPr>
        <w:t xml:space="preserve">In the HALAH implementation, the guardian's authority is evidenced by an EIP-712 typed-data signature bound to the consent identifier, the guardian DID and the Sepolia chain identifier, and verified through off-chain signer recovery. The VC verification that precedes it is presently a DID-format check, and the signing keys are derived deterministically from the guardian DIDs in place of wallet-held keys, a substitution acknowledged as a prototype limitation.</w:t>
      </w:r>
    </w:p>
    <w:p>
      <w:pPr>
        <w:pStyle w:val="Heading3"/>
        <w:spacing w:after="160" w:before="280"/>
      </w:pPr>
      <w:r>
        <w:t xml:space="preserve">6.3.2  Procedure for Threshold-Based Multi-Party Authorisation</w:t>
      </w:r>
    </w:p>
    <w:p>
      <w:pPr>
        <w:spacing w:after="140" w:line="300"/>
        <w:jc w:val="both"/>
      </w:pPr>
      <w:r>
        <w:rPr>
          <w:rFonts w:ascii="Cambria" w:cs="Cambria" w:eastAsia="Cambria" w:hAnsi="Cambria"/>
          <w:sz w:val="24"/>
          <w:szCs w:val="24"/>
        </w:rP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 1. Step 1 – Retrieve the Required Participant Set. The system first retrieves the required participant set G associated with the consent object C. The set G defines which participants are eligible to contribute an approval to the authorisation process. Depending on the consent configuration, G may contain healthcare professionals, guardians, institutional representatives, or other authorised parties.</w:t>
      </w:r>
    </w:p>
    <w:p>
      <w:pPr>
        <w:keepNext/>
        <w:spacing w:after="60" w:before="140"/>
        <w:jc w:val="center"/>
      </w:pPr>
      <w:r>
        <w:drawing>
          <wp:inline distT="0" distB="0" distL="0" distR="0">
            <wp:extent cx="4191000" cy="5981700"/>
            <wp:effectExtent t="0" r="0" b="0" l="0"/>
            <wp:docPr id="1" name="gfig9.png" descr="Figure 13: RO3 workflow for threshold-based multi-party authorisation" title="Figure 13: 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598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13: RO3 workflow for threshold-based multi-party authorisation</w:t>
      </w:r>
    </w:p>
    <w:p>
      <w:pPr>
        <w:jc w:val="center"/>
      </w:pPr>
      <w:r>
        <w:rPr>
          <w:rFonts w:ascii="Cambria" w:cs="Cambria" w:eastAsia="Cambria" w:hAnsi="Cambria"/>
          <w:i/>
          <w:iCs/>
          <w:sz w:val="20"/>
          <w:szCs w:val="20"/>
        </w:rPr>
        <w:t xml:space="preserve">[Figure 13: RO3 workflow for threshold-based multi-party authorisation]</w:t>
      </w:r>
    </w:p>
    <w:p>
      <w:pPr>
        <w:spacing w:after="140" w:line="300"/>
        <w:jc w:val="both"/>
      </w:pPr>
      <w:r>
        <w:rPr>
          <w:rFonts w:ascii="Cambria" w:cs="Cambria" w:eastAsia="Cambria" w:hAnsi="Cambria"/>
          <w:sz w:val="24"/>
          <w:szCs w:val="24"/>
        </w:rPr>
        <w:t xml:space="preserve">2. Step 2 – Define the Authorisation Threshold.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3. Step 3 – Receive a Participant Approval. A participant submits an approval a associated with consent object C. The approval is treated as a candidate authorisation contribution and is not considered valid until the identity and authority of the submitting participant have been verified. 4. Step 4 – Verify the Identity and Authority of the Approving Participant. The system verifies the identity and authority of the participant submitting a. The verification process may invoke the DID and VC verification procedure described in Algorithm 2. The system therefore determines whether the participant possesses a valid identity and whether the associated authority claims satisfy the requirements of consent object C. If the verification fails, the approval is classified as invalid. The system records the invalid approval event and returns DENY for that approval attempt. 5. Step 5 – Verify Participant Eligibility. If the participant’s identity and authority are successfully verified, the system determines whether the participant belongs to the required participant set G. Formally, u ∈ G. If the participant is not a member of G, the approval cannot contribute to the threshold. The system records the event as an unauthorised approval attempt and returns DENY. 6. Step 6 – Check for Duplicate Approval. The system checks whether the participant has already approved consent object C. This prevents a single participant from submitting multiple approvals and artificially satisfying the threshold. Formally, for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that u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If the participant has already submitted a valid approval, the system records a duplicate approval event and rejects the additional approval. 7. Step 7 – Record the Valid Approval. If the participant is both authorised and eligible, and no previous approval from that participant exists, the system records the approval a as valid. The corresponding participant is added to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The approval set is therefore updated according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 Each valid approval becomes an independent piece of authorisation evidence associated with consent object C. 8. Step 8 – Evaluate the Approval Threshold. The system evaluates the number of valid approvals currently associated with the consent: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This comparison determines whether the minimum number of required participants has been reached. Importantly, only approvals that have passed identity, authority, membership, and duplicate checks are included in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9. Step 9 – Activate the Authorisation if the Threshold Is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required threshold has been satisfied. The system activates the authorisation associated with consent object C. The activation indicates that the consent has obtained sufficient valid multi-party approval to proceed to the subsequent access-control or data-access stage. 10. Step 10 – Generate Activation Evidence. Following successful threshold satisfaction, the system generates activation or token evidence associated with the authorisation decision. The evidence may include the consent identifier, threshold value N, identities of the approving participants, approval timestamps, and the resulting authorisation state. This evidence provides a verifiable representation of how the authorisation was activated and which participants contributed to the decision. 11. Step 11 – Record the Threshold-Satisfied Event. The system records a threshold-satisfied event in the audit infrastructure. This event provides an immutable or otherwise tamper-evident record of the transition from a pending consent state to an active authorisation state. 12. Step 12 – Maintain Pending State if the Threshold Is Not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the consent does not yet satisfy the required multi-party authorisation condition. The system therefore maintains the consent in a PENDING state rather than activating access. The system records a threshold-pending event so that the current authorisation state and the remaining approval requirement can be reconstructed during subsequent verification or audit.</w:t>
      </w:r>
    </w:p>
    <w:p>
      <w:pPr>
        <w:spacing w:after="140" w:line="300"/>
        <w:jc w:val="both"/>
      </w:pPr>
      <w:r>
        <w:rPr>
          <w:rFonts w:ascii="Cambria" w:cs="Cambria" w:eastAsia="Cambria" w:hAnsi="Cambria"/>
          <w:sz w:val="24"/>
          <w:szCs w:val="24"/>
        </w:rPr>
        <w:t xml:space="preserve">13. Step 13 – Return the Authorisation Result. The final result is determined according to the threshold condition: Authorisation(C) = { ALLOW,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PENDING,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 Invalid, unauthorised, or duplicate approval attempts are rejected and do not contribute to the valid approval count. The overall procedure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G → N → a → Identity/Authority → Eligibility → Duplicate Check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 { ALLOW; PENDING }</w:t>
      </w:r>
      <w:r>
        <w:rPr>
          <w:rFonts w:ascii="Cambria" w:cs="Cambria" w:eastAsia="Cambria" w:hAnsi="Cambria"/>
          <w:sz w:val="22"/>
          <w:szCs w:val="22"/>
        </w:rPr>
        <w:t xml:space="preserve">	(55)</w:t>
      </w:r>
    </w:p>
    <w:p>
      <w:pPr>
        <w:spacing w:after="140" w:line="300"/>
        <w:jc w:val="both"/>
      </w:pPr>
      <w:r>
        <w:rPr>
          <w:rFonts w:ascii="Cambria" w:cs="Cambria" w:eastAsia="Cambria" w:hAnsi="Cambria"/>
          <w:sz w:val="24"/>
          <w:szCs w:val="24"/>
        </w:rPr>
        <w:t xml:space="preserve">The threshold condition can be expressed more explicitly as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Identity(u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Authority(u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C) ∧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G)]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Authorisation(C) = ALLOW. This formulation is important because the threshold is not calculated from the number of submitted approvals alone. Instead, only valid, authorised, eligible, and non-duplicate approvals contribute to the threshold. Consequently, the procedure prevents a participant from satisfying the authorisation requirement merely by submitting multiple approvals or by presenting a valid identity without possessing the required authority. The procedure also introduces a clear distinction between approval and authorisation.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 From a trust perspective, the procedure can therefore be interpreted as</w:t>
      </w:r>
    </w:p>
    <w:p>
      <w:pPr>
        <w:tabs>
          <w:tab w:val="right" w:pos="9360"/>
        </w:tabs>
        <w:spacing w:after="160" w:before="60"/>
        <w:jc w:val="center"/>
      </w:pPr>
      <w:r>
        <w:rPr>
          <w:rFonts w:ascii="Cambria Math" w:cs="Cambria Math" w:eastAsia="Cambria Math" w:hAnsi="Cambria Math"/>
          <w:i/>
          <w:iCs/>
          <w:sz w:val="22"/>
          <w:szCs w:val="22"/>
        </w:rPr>
        <w:t xml:space="preserve">Individual Trust Evidence → Collective Approval Evidence → Threshold Satisfaction → Authorisation Activation</w:t>
      </w:r>
      <w:r>
        <w:rPr>
          <w:rFonts w:ascii="Cambria" w:cs="Cambria" w:eastAsia="Cambria" w:hAnsi="Cambria"/>
          <w:sz w:val="22"/>
          <w:szCs w:val="22"/>
        </w:rPr>
        <w:t xml:space="preserve">	(56)</w:t>
      </w:r>
    </w:p>
    <w:p>
      <w:pPr>
        <w:pStyle w:val="Heading3"/>
        <w:spacing w:after="160" w:before="280"/>
      </w:pPr>
      <w:r>
        <w:t xml:space="preserve">6.3.3  Algorithm 3: Threshold-Based Multi-Party Authorisation</w:t>
      </w:r>
    </w:p>
    <w:p>
      <w:pPr>
        <w:spacing w:after="140" w:line="300"/>
        <w:jc w:val="both"/>
      </w:pPr>
      <w:r>
        <w:rPr>
          <w:rFonts w:ascii="Cambria" w:cs="Cambria" w:eastAsia="Cambria" w:hAnsi="Cambria"/>
          <w:sz w:val="24"/>
          <w:szCs w:val="24"/>
        </w:rPr>
        <w:t xml:space="preserve">Algorithm 3 explicitly distinguishes between invalid, duplicate, and valid approvals. This distinction is important because simply counting submitted signatures could incorrectly treat unauthorised or repeated approvals as independent evidence. 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Bdr>
          <w:top w:val="single" w:color="000000" w:sz="12"/>
          <w:bottom w:val="single" w:color="000000" w:sz="6"/>
        </w:pBdr>
        <w:spacing w:after="40" w:before="220"/>
      </w:pPr>
      <w:r>
        <w:rPr>
          <w:rFonts w:ascii="Cambria" w:cs="Cambria" w:eastAsia="Cambria" w:hAnsi="Cambria"/>
          <w:b/>
          <w:bCs/>
          <w:sz w:val="21"/>
          <w:szCs w:val="21"/>
        </w:rPr>
        <w:t xml:space="preserve">Algorithm 3 </w:t>
      </w:r>
      <w:r>
        <w:rPr>
          <w:rFonts w:ascii="Cambria" w:cs="Cambria" w:eastAsia="Cambria" w:hAnsi="Cambria"/>
          <w:sz w:val="21"/>
          <w:szCs w:val="21"/>
        </w:rPr>
        <w:t xml:space="preserve">Threshold-Based Multi-Party Authorisation</w:t>
      </w:r>
    </w:p>
    <w:p>
      <w:pPr>
        <w:spacing w:after="20"/>
      </w:pPr>
      <w:r>
        <w:rPr>
          <w:rFonts w:ascii="Cambria" w:cs="Cambria" w:eastAsia="Cambria" w:hAnsi="Cambria"/>
          <w:b/>
          <w:bCs/>
          <w:color w:val="000000"/>
          <w:sz w:val="21"/>
          <w:szCs w:val="21"/>
        </w:rPr>
        <w:t xml:space="preserve">Require: </w:t>
      </w:r>
      <w:r>
        <w:rPr>
          <w:rFonts w:ascii="Cambria" w:cs="Cambria" w:eastAsia="Cambria" w:hAnsi="Cambria"/>
          <w:color w:val="000000"/>
          <w:sz w:val="21"/>
          <w:szCs w:val="21"/>
        </w:rPr>
        <w:t xml:space="preserve">Consent object C, participant approval a</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Authorisation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required participant set G</w:t>
      </w:r>
    </w:p>
    <w:p>
      <w:pPr>
        <w:spacing w:after="20"/>
        <w:ind w:left="240"/>
      </w:pPr>
      <w:r>
        <w:rPr>
          <w:rFonts w:ascii="Cambria" w:cs="Cambria" w:eastAsia="Cambria" w:hAnsi="Cambria"/>
          <w:color w:val="000000"/>
          <w:sz w:val="18"/>
          <w:szCs w:val="18"/>
        </w:rPr>
        <w:t xml:space="preserve">2:  </w:t>
      </w:r>
      <w:r>
        <w:rPr>
          <w:rFonts w:ascii="Cambria" w:cs="Cambria" w:eastAsia="Cambria" w:hAnsi="Cambria"/>
          <w:color w:val="000000"/>
          <w:sz w:val="21"/>
          <w:szCs w:val="21"/>
        </w:rPr>
        <w:t xml:space="preserve">N ← |G|</w:t>
      </w:r>
    </w:p>
    <w:p>
      <w:pPr>
        <w:spacing w:after="20"/>
        <w:ind w:left="240"/>
      </w:pPr>
      <w:r>
        <w:rPr>
          <w:rFonts w:ascii="Cambria" w:cs="Cambria" w:eastAsia="Cambria" w:hAnsi="Cambria"/>
          <w:color w:val="000000"/>
          <w:sz w:val="18"/>
          <w:szCs w:val="18"/>
        </w:rPr>
        <w:t xml:space="preserve">3:  </w:t>
      </w:r>
      <w:r>
        <w:rPr>
          <w:rFonts w:ascii="Cambria" w:cs="Cambria" w:eastAsia="Cambria" w:hAnsi="Cambria"/>
          <w:color w:val="000000"/>
          <w:sz w:val="21"/>
          <w:szCs w:val="21"/>
        </w:rPr>
        <w:t xml:space="preserve">signer ← RecoverEIP712(domain, {id</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g, APPROVE},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   ▷ off-chain recovery</w:t>
      </w:r>
    </w:p>
    <w:p>
      <w:pPr>
        <w:spacing w:after="20"/>
        <w:ind w:left="240"/>
      </w:pPr>
      <w:r>
        <w:rPr>
          <w:rFonts w:ascii="Cambria" w:cs="Cambria" w:eastAsia="Cambria" w:hAnsi="Cambria"/>
          <w:color w:val="000000"/>
          <w:sz w:val="18"/>
          <w:szCs w:val="18"/>
        </w:rPr>
        <w:t xml:space="preserve">4: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signer ≠ Addr(g), or the signature binds a different consent, guardian, or chain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5:  </w:t>
      </w:r>
      <w:r>
        <w:rPr>
          <w:rFonts w:ascii="Cambria" w:cs="Cambria" w:eastAsia="Cambria" w:hAnsi="Cambria"/>
          <w:sz w:val="21"/>
          <w:szCs w:val="21"/>
        </w:rPr>
        <w:t xml:space="preserve">Record invalid approval</w:t>
      </w:r>
    </w:p>
    <w:p>
      <w:pPr>
        <w:spacing w:after="20"/>
        <w:ind w:left="60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if</w:t>
      </w:r>
      <w:r>
        <w:rPr>
          <w:rFonts w:ascii="Cambria" w:cs="Cambria" w:eastAsia="Cambria" w:hAnsi="Cambria"/>
          <w:sz w:val="21"/>
          <w:szCs w:val="21"/>
        </w:rPr>
        <w:t xml:space="preserve"> participant is not in G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Record unauthorised approval attempt</w:t>
      </w:r>
    </w:p>
    <w:p>
      <w:pPr>
        <w:spacing w:after="20"/>
        <w:ind w:left="60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participant has already approved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duplicate approval</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16:  </w:t>
      </w:r>
      <w:r>
        <w:rPr>
          <w:rFonts w:ascii="Cambria" w:cs="Cambria" w:eastAsia="Cambria" w:hAnsi="Cambria"/>
          <w:color w:val="000000"/>
          <w:sz w:val="21"/>
          <w:szCs w:val="21"/>
        </w:rPr>
        <w:t xml:space="preserve">Record signature_data[g] ← (signer,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Update valid approval set A</w:t>
      </w:r>
      <w:r>
        <w:rPr>
          <w:rFonts w:ascii="Cambria" w:cs="Cambria" w:eastAsia="Cambria" w:hAnsi="Cambria"/>
          <w:sz w:val="21"/>
          <w:szCs w:val="21"/>
          <w:vertAlign w:val="subscript"/>
        </w:rPr>
        <w:t xml:space="preserve">v</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|A</w:t>
      </w:r>
      <w:r>
        <w:rPr>
          <w:rFonts w:ascii="Cambria" w:cs="Cambria" w:eastAsia="Cambria" w:hAnsi="Cambria"/>
          <w:sz w:val="21"/>
          <w:szCs w:val="21"/>
          <w:vertAlign w:val="subscript"/>
        </w:rPr>
        <w:t xml:space="preserve">v</w:t>
      </w:r>
      <w:r>
        <w:rPr>
          <w:rFonts w:ascii="Cambria" w:cs="Cambria" w:eastAsia="Cambria" w:hAnsi="Cambria"/>
          <w:sz w:val="21"/>
          <w:szCs w:val="21"/>
        </w:rPr>
        <w:t xml:space="preserve">| ≥ 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sz w:val="21"/>
          <w:szCs w:val="21"/>
        </w:rPr>
        <w:t xml:space="preserve">Activate authorisation</w:t>
      </w:r>
    </w:p>
    <w:p>
      <w:pPr>
        <w:spacing w:after="20"/>
        <w:ind w:left="600"/>
      </w:pPr>
      <w:r>
        <w:rPr>
          <w:rFonts w:ascii="Cambria" w:cs="Cambria" w:eastAsia="Cambria" w:hAnsi="Cambria"/>
          <w:color w:val="000000"/>
          <w:sz w:val="18"/>
          <w:szCs w:val="18"/>
        </w:rPr>
        <w:t xml:space="preserve">20:  </w:t>
      </w:r>
      <w:r>
        <w:rPr>
          <w:rFonts w:ascii="Cambria" w:cs="Cambria" w:eastAsia="Cambria" w:hAnsi="Cambria"/>
          <w:color w:val="000000"/>
          <w:sz w:val="21"/>
          <w:szCs w:val="21"/>
        </w:rPr>
        <w:t xml:space="preserve">state ← PENDING_TOKEN</w:t>
      </w:r>
    </w:p>
    <w:p>
      <w:pPr>
        <w:spacing w:after="20"/>
        <w:ind w:left="600"/>
      </w:pPr>
      <w:r>
        <w:rPr>
          <w:rFonts w:ascii="Cambria" w:cs="Cambria" w:eastAsia="Cambria" w:hAnsi="Cambria"/>
          <w:color w:val="000000"/>
          <w:sz w:val="18"/>
          <w:szCs w:val="18"/>
        </w:rPr>
        <w:t xml:space="preserve">21:  </w:t>
      </w:r>
      <w:r>
        <w:rPr>
          <w:rFonts w:ascii="Cambria" w:cs="Cambria" w:eastAsia="Cambria" w:hAnsi="Cambria"/>
          <w:color w:val="000000"/>
          <w:sz w:val="21"/>
          <w:szCs w:val="21"/>
        </w:rPr>
        <w:t xml:space="preserve">submit mintConsentV3(addr</w:t>
      </w:r>
      <w:r>
        <w:rPr>
          <w:rFonts w:ascii="Cambria" w:cs="Cambria" w:eastAsia="Cambria" w:hAnsi="Cambria"/>
          <w:color w:val="000000"/>
          <w:sz w:val="21"/>
          <w:szCs w:val="21"/>
          <w:vertAlign w:val="subscript"/>
        </w:rPr>
        <w:t xml:space="preserve">p</w:t>
      </w:r>
      <w:r>
        <w:rPr>
          <w:rFonts w:ascii="Cambria" w:cs="Cambria" w:eastAsia="Cambria" w:hAnsi="Cambria"/>
          <w:color w:val="000000"/>
          <w:sz w:val="21"/>
          <w:szCs w:val="21"/>
        </w:rPr>
        <w:t xml:space="preserve">, addr</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keccak(P</w:t>
      </w:r>
      <w:r>
        <w:rPr>
          <w:rFonts w:ascii="Cambria" w:cs="Cambria" w:eastAsia="Cambria" w:hAnsi="Cambria"/>
          <w:color w:val="000000"/>
          <w:sz w:val="21"/>
          <w:szCs w:val="21"/>
          <w:vertAlign w:val="subscript"/>
        </w:rPr>
        <w:t xml:space="preserve">u</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L, burnAuth) via the owner account   ▷ background job; reconciled on next lookup</w:t>
      </w:r>
    </w:p>
    <w:p>
      <w:pPr>
        <w:spacing w:after="20"/>
        <w:ind w:left="600"/>
      </w:pPr>
      <w:r>
        <w:rPr>
          <w:rFonts w:ascii="Cambria" w:cs="Cambria" w:eastAsia="Cambria" w:hAnsi="Cambria"/>
          <w:color w:val="000000"/>
          <w:sz w:val="18"/>
          <w:szCs w:val="18"/>
        </w:rPr>
        <w:t xml:space="preserve">22:  </w:t>
      </w:r>
      <w:r>
        <w:rPr>
          <w:rFonts w:ascii="Cambria" w:cs="Cambria" w:eastAsia="Cambria" w:hAnsi="Cambria"/>
          <w:color w:val="000000"/>
          <w:sz w:val="21"/>
          <w:szCs w:val="21"/>
        </w:rPr>
        <w:t xml:space="preserve">on confirmation: state ← ACTIVE; record the token identifier</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threshold-satisfied event</w:t>
      </w:r>
    </w:p>
    <w:p>
      <w:pPr>
        <w:spacing w:after="20"/>
        <w:ind w:left="600"/>
      </w:pPr>
      <w:r>
        <w:rPr>
          <w:rFonts w:ascii="Cambria" w:cs="Cambria" w:eastAsia="Cambria" w:hAnsi="Cambria"/>
          <w:color w:val="000000"/>
          <w:sz w:val="18"/>
          <w:szCs w:val="18"/>
        </w:rPr>
        <w:t xml:space="preserve">24: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ACTIVATED   ▷ activation is distinct from the access decision</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else</w:t>
      </w:r>
    </w:p>
    <w:p>
      <w:pPr>
        <w:spacing w:after="20"/>
        <w:ind w:left="600"/>
      </w:pPr>
      <w:r>
        <w:rPr>
          <w:rFonts w:ascii="Cambria" w:cs="Cambria" w:eastAsia="Cambria" w:hAnsi="Cambria"/>
          <w:color w:val="555555"/>
          <w:sz w:val="18"/>
          <w:szCs w:val="18"/>
        </w:rPr>
        <w:t xml:space="preserve">26:  </w:t>
      </w:r>
      <w:r>
        <w:rPr>
          <w:rFonts w:ascii="Cambria" w:cs="Cambria" w:eastAsia="Cambria" w:hAnsi="Cambria"/>
          <w:sz w:val="21"/>
          <w:szCs w:val="21"/>
        </w:rPr>
        <w:t xml:space="preserve">Keep consent in pending state</w:t>
      </w:r>
    </w:p>
    <w:p>
      <w:pPr>
        <w:spacing w:after="20"/>
        <w:ind w:left="600"/>
      </w:pPr>
      <w:r>
        <w:rPr>
          <w:rFonts w:ascii="Cambria" w:cs="Cambria" w:eastAsia="Cambria" w:hAnsi="Cambria"/>
          <w:color w:val="555555"/>
          <w:sz w:val="18"/>
          <w:szCs w:val="18"/>
        </w:rPr>
        <w:t xml:space="preserve">27:  </w:t>
      </w:r>
      <w:r>
        <w:rPr>
          <w:rFonts w:ascii="Cambria" w:cs="Cambria" w:eastAsia="Cambria" w:hAnsi="Cambria"/>
          <w:sz w:val="21"/>
          <w:szCs w:val="21"/>
        </w:rPr>
        <w:t xml:space="preserve">Record threshold-pending event</w:t>
      </w:r>
    </w:p>
    <w:p>
      <w:pPr>
        <w:spacing w:after="20"/>
        <w:ind w:left="600"/>
      </w:pPr>
      <w:r>
        <w:rPr>
          <w:rFonts w:ascii="Cambria" w:cs="Cambria" w:eastAsia="Cambria" w:hAnsi="Cambria"/>
          <w:color w:val="555555"/>
          <w:sz w:val="18"/>
          <w:szCs w:val="18"/>
        </w:rPr>
        <w:t xml:space="preserve">28:  </w:t>
      </w:r>
      <w:r>
        <w:rPr>
          <w:rFonts w:ascii="Cambria" w:cs="Cambria" w:eastAsia="Cambria" w:hAnsi="Cambria"/>
          <w:b/>
          <w:bCs/>
          <w:sz w:val="21"/>
          <w:szCs w:val="21"/>
        </w:rPr>
        <w:t xml:space="preserve">return</w:t>
      </w:r>
      <w:r>
        <w:rPr>
          <w:rFonts w:ascii="Cambria" w:cs="Cambria" w:eastAsia="Cambria" w:hAnsi="Cambria"/>
          <w:sz w:val="21"/>
          <w:szCs w:val="21"/>
        </w:rPr>
        <w:t xml:space="preserve"> PENDING</w:t>
      </w:r>
    </w:p>
    <w:p>
      <w:pPr>
        <w:spacing w:after="20"/>
        <w:ind w:left="240"/>
      </w:pPr>
      <w:r>
        <w:rPr>
          <w:rFonts w:ascii="Cambria" w:cs="Cambria" w:eastAsia="Cambria" w:hAnsi="Cambria"/>
          <w:color w:val="555555"/>
          <w:sz w:val="18"/>
          <w:szCs w:val="18"/>
        </w:rPr>
        <w:t xml:space="preserve">29:  </w:t>
      </w:r>
      <w:r>
        <w:rPr>
          <w:rFonts w:ascii="Cambria" w:cs="Cambria" w:eastAsia="Cambria" w:hAnsi="Cambria"/>
          <w:b/>
          <w:bCs/>
          <w:sz w:val="21"/>
          <w:szCs w:val="21"/>
        </w:rPr>
        <w:t xml:space="preserve">end if</w:t>
      </w:r>
    </w:p>
    <w:p>
      <w:pPr>
        <w:pBdr>
          <w:bottom w:val="single" w:color="000000" w:sz="12"/>
        </w:pBdr>
        <w:spacing w:after="60"/>
      </w:pPr>
    </w:p>
    <w:p>
      <w:pPr>
        <w:spacing w:after="160"/>
      </w:pPr>
    </w:p>
    <w:p>
      <w:pPr>
        <w:pStyle w:val="Heading2"/>
        <w:spacing w:after="160" w:before="280"/>
      </w:pPr>
      <w:r>
        <w:t xml:space="preserve">6.4  Policy- and Context-Aware Access Control for RO4</w:t>
      </w:r>
    </w:p>
    <w:p>
      <w:pPr>
        <w:spacing w:after="140" w:line="300"/>
        <w:jc w:val="both"/>
      </w:pPr>
      <w:r>
        <w:rPr>
          <w:rFonts w:ascii="Cambria" w:cs="Cambria" w:eastAsia="Cambria" w:hAnsi="Cambria"/>
          <w:sz w:val="24"/>
          <w:szCs w:val="24"/>
        </w:rPr>
        <w:t xml:space="preserve">RO4 addresses RQ4 by developing a policy-aware authorisation mechanism that evaluates the purpose and data scope of a requested operation against the constraints defined by the consent.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Let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 the data scope authorised by the consent and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denote the data scope requested by the participant. The scope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 = 1 ⟺ 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(57)</w:t>
      </w:r>
    </w:p>
    <w:p>
      <w:pPr>
        <w:spacing w:after="140" w:line="300"/>
        <w:jc w:val="both"/>
      </w:pPr>
      <w:r>
        <w:rPr>
          <w:rFonts w:ascii="Cambria" w:cs="Cambria" w:eastAsia="Cambria" w:hAnsi="Cambria"/>
          <w:sz w:val="24"/>
          <w:szCs w:val="24"/>
        </w:rPr>
        <w:t xml:space="preserve">The policy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U</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(58)</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U</w:t>
      </w:r>
      <w:r>
        <w:rPr>
          <w:rFonts w:ascii="Cambria" w:cs="Cambria" w:eastAsia="Cambria" w:hAnsi="Cambria"/>
          <w:sz w:val="24"/>
          <w:szCs w:val="24"/>
        </w:rPr>
        <w:t xml:space="preserve">(C, R) represents purpose compatibility and V</w:t>
      </w:r>
      <w:r>
        <w:rPr>
          <w:rFonts w:ascii="Cambria" w:cs="Cambria" w:eastAsia="Cambria" w:hAnsi="Cambria"/>
          <w:sz w:val="24"/>
          <w:szCs w:val="24"/>
          <w:vertAlign w:val="subscript"/>
        </w:rPr>
        <w:t xml:space="preserve">S</w:t>
      </w:r>
      <w:r>
        <w:rPr>
          <w:rFonts w:ascii="Cambria" w:cs="Cambria" w:eastAsia="Cambria" w:hAnsi="Cambria"/>
          <w:sz w:val="24"/>
          <w:szCs w:val="24"/>
        </w:rPr>
        <w:t xml:space="preserve">(C, R) represents data-scope compatibility. The complete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authorisation decision is</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r>
        <w:rPr>
          <w:rFonts w:ascii="Cambria" w:cs="Cambria" w:eastAsia="Cambria" w:hAnsi="Cambria"/>
          <w:color w:val="000000"/>
          <w:sz w:val="22"/>
          <w:szCs w:val="22"/>
        </w:rPr>
        <w:t xml:space="preserve">	(59)</w:t>
      </w:r>
    </w:p>
    <w:p>
      <w:pPr>
        <w:spacing w:after="140" w:line="300"/>
        <w:jc w:val="both"/>
      </w:pPr>
      <w:r>
        <w:rPr>
          <w:rFonts w:ascii="Cambria" w:cs="Cambria" w:eastAsia="Cambria" w:hAnsi="Cambria"/>
          <w:color w:val="000000"/>
          <w:sz w:val="24"/>
          <w:szCs w:val="24"/>
        </w:rPr>
        <w:t xml:space="preserve">where the five verification functions are evaluated at every access request, and the resulting decision matrix is recorded in the audit ledger together with each GRANTED or DENIED outcome.</w:t>
      </w:r>
    </w:p>
    <w:p>
      <w:pPr>
        <w:pStyle w:val="Heading3"/>
        <w:spacing w:after="160" w:before="280"/>
      </w:pPr>
      <w:r>
        <w:t xml:space="preserve">6.4.1  RO4 Policy-Aware Access Workflow</w:t>
      </w:r>
    </w:p>
    <w:p>
      <w:pPr>
        <w:spacing w:after="140" w:line="300"/>
        <w:jc w:val="both"/>
      </w:pPr>
      <w:r>
        <w:rPr>
          <w:rFonts w:ascii="Cambria" w:cs="Cambria" w:eastAsia="Cambria" w:hAnsi="Cambria"/>
          <w:sz w:val="24"/>
          <w:szCs w:val="24"/>
        </w:rPr>
        <w:t xml:space="preserve">The workflow begins when a doctor submits a request for patient data. The system retrieves the relevant consent object and verifies the requesting participant. It then checks whether the required multi-party authorisation has been established. After the identity and authorisation conditions are satisfied, the system evaluates the requested purpose and data scope. A request is permitted only when the purpose is compatible with the consent and the requested data scope is contained within the authorised scope. 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For example, if</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(60)</w:t>
      </w:r>
    </w:p>
    <w:p>
      <w:pPr>
        <w:spacing w:after="140" w:line="300"/>
        <w:jc w:val="both"/>
      </w:pPr>
      <w:r>
        <w:rPr>
          <w:rFonts w:ascii="Cambria" w:cs="Cambria" w:eastAsia="Cambria" w:hAnsi="Cambria"/>
          <w:sz w:val="24"/>
          <w:szCs w:val="24"/>
        </w:rPr>
        <w:t xml:space="preserve">and</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(61)</w:t>
      </w:r>
    </w:p>
    <w:p>
      <w:pPr>
        <w:spacing w:after="140" w:line="300"/>
        <w:jc w:val="both"/>
      </w:pPr>
      <w:r>
        <w:rPr>
          <w:rFonts w:ascii="Cambria" w:cs="Cambria" w:eastAsia="Cambria" w:hAnsi="Cambria"/>
          <w:sz w:val="24"/>
          <w:szCs w:val="24"/>
        </w:rPr>
        <w:t xml:space="preserve">then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(62)</w:t>
      </w:r>
    </w:p>
    <w:p>
      <w:pPr>
        <w:spacing w:after="140" w:line="300"/>
        <w:jc w:val="both"/>
      </w:pPr>
      <w:r>
        <w:rPr>
          <w:rFonts w:ascii="Cambria" w:cs="Cambria" w:eastAsia="Cambria" w:hAnsi="Cambria"/>
          <w:sz w:val="24"/>
          <w:szCs w:val="24"/>
        </w:rPr>
        <w:t xml:space="preserve">and the request must be denied. This rule prevents a legitimate participant from obtaining data outside the patient’s authorised scope.</w:t>
      </w:r>
    </w:p>
    <w:p>
      <w:pPr>
        <w:keepNext/>
        <w:spacing w:after="60" w:before="140"/>
        <w:jc w:val="center"/>
      </w:pPr>
      <w:r>
        <w:drawing>
          <wp:inline distT="0" distB="0" distL="0" distR="0">
            <wp:extent cx="3810000" cy="6943725"/>
            <wp:effectExtent t="0" r="0" b="0" l="0"/>
            <wp:docPr id="1" name="gfig10.png" descr="Figure 14: RO4 workflow for policy- and context-aware access control" title="Figure 14: RO4 workflow for policy- and context-aware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694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14: RO4 workflow for policy- and context-aware access control</w:t>
      </w:r>
    </w:p>
    <w:p>
      <w:pPr>
        <w:jc w:val="center"/>
      </w:pPr>
      <w:r>
        <w:rPr>
          <w:rFonts w:ascii="Cambria" w:cs="Cambria" w:eastAsia="Cambria" w:hAnsi="Cambria"/>
          <w:i/>
          <w:iCs/>
          <w:sz w:val="20"/>
          <w:szCs w:val="20"/>
        </w:rPr>
        <w:t xml:space="preserve">[Figure 14: RO4 workflow for policy- and context-aware access control]</w:t>
      </w:r>
    </w:p>
    <w:p>
      <w:pPr>
        <w:pStyle w:val="Heading3"/>
        <w:spacing w:after="160" w:before="280"/>
      </w:pPr>
      <w:r>
        <w:t xml:space="preserve">6.4.2  Algorithm 4: Policy-Aware Access Decision</w:t>
      </w:r>
    </w:p>
    <w:p>
      <w:pPr>
        <w:pBdr>
          <w:top w:val="single" w:color="000000" w:sz="12"/>
          <w:bottom w:val="single" w:color="000000" w:sz="6"/>
        </w:pBdr>
        <w:spacing w:after="40" w:before="220"/>
      </w:pPr>
      <w:r>
        <w:rPr>
          <w:rFonts w:ascii="Cambria" w:cs="Cambria" w:eastAsia="Cambria" w:hAnsi="Cambria"/>
          <w:b/>
          <w:bCs/>
          <w:sz w:val="21"/>
          <w:szCs w:val="21"/>
        </w:rPr>
        <w:t xml:space="preserve">Algorithm 4 </w:t>
      </w:r>
      <w:r>
        <w:rPr>
          <w:rFonts w:ascii="Cambria" w:cs="Cambria" w:eastAsia="Cambria" w:hAnsi="Cambria"/>
          <w:sz w:val="21"/>
          <w:szCs w:val="21"/>
        </w:rPr>
        <w:t xml:space="preserve">Policy-Aware Access Decision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access request R, requesting participant u</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Access decision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Verify DID and VC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identity or authority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Evaluate consent state</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consent is not active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Verify multi-party authorisation</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threshold is not satisfied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requested purpose</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purpose is incompatible with consent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Evaluate requested data scope</w:t>
      </w:r>
    </w:p>
    <w:p>
      <w:pPr>
        <w:spacing w:after="20"/>
        <w:ind w:left="240"/>
      </w:pPr>
      <w:r>
        <w:rPr>
          <w:rFonts w:ascii="Cambria" w:cs="Cambria" w:eastAsia="Cambria" w:hAnsi="Cambria"/>
          <w:color w:val="000000"/>
          <w:sz w:val="18"/>
          <w:szCs w:val="18"/>
        </w:rPr>
        <w:t xml:space="preserve">22: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 or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S</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24: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26: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t &lt;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or t &gt;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27: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Jur(R) ≠ Jur(C)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28:  </w:t>
      </w:r>
      <w:r>
        <w:rPr>
          <w:rFonts w:ascii="Cambria" w:cs="Cambria" w:eastAsia="Cambria" w:hAnsi="Cambria"/>
          <w:color w:val="000000"/>
          <w:sz w:val="21"/>
          <w:szCs w:val="21"/>
        </w:rPr>
        <w:t xml:space="preserve">Generate and verify a Groth16 proof that Poseidon(secret, expiry) equals the public commitment and that t ≤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record proof_mode = groth16</w:t>
      </w:r>
    </w:p>
    <w:p>
      <w:pPr>
        <w:spacing w:after="20"/>
        <w:ind w:left="240"/>
      </w:pPr>
      <w:r>
        <w:rPr>
          <w:rFonts w:ascii="Cambria" w:cs="Cambria" w:eastAsia="Cambria" w:hAnsi="Cambria"/>
          <w:color w:val="555555"/>
          <w:sz w:val="18"/>
          <w:szCs w:val="18"/>
        </w:rPr>
        <w:t xml:space="preserve">29:  </w:t>
      </w:r>
      <w:r>
        <w:rPr>
          <w:rFonts w:ascii="Cambria" w:cs="Cambria" w:eastAsia="Cambria" w:hAnsi="Cambria"/>
          <w:sz w:val="21"/>
          <w:szCs w:val="21"/>
        </w:rPr>
        <w:t xml:space="preserve">Retrieve authorised healthcare data</w:t>
      </w:r>
    </w:p>
    <w:p>
      <w:pPr>
        <w:spacing w:after="20"/>
        <w:ind w:left="240"/>
      </w:pPr>
      <w:r>
        <w:rPr>
          <w:rFonts w:ascii="Cambria" w:cs="Cambria" w:eastAsia="Cambria" w:hAnsi="Cambria"/>
          <w:color w:val="555555"/>
          <w:sz w:val="18"/>
          <w:szCs w:val="18"/>
        </w:rPr>
        <w:t xml:space="preserve">30:  </w:t>
      </w:r>
      <w:r>
        <w:rPr>
          <w:rFonts w:ascii="Cambria" w:cs="Cambria" w:eastAsia="Cambria" w:hAnsi="Cambria"/>
          <w:sz w:val="21"/>
          <w:szCs w:val="21"/>
        </w:rPr>
        <w:t xml:space="preserve">Record granted decision</w:t>
      </w:r>
    </w:p>
    <w:p>
      <w:pPr>
        <w:spacing w:after="20"/>
        <w:ind w:left="240"/>
      </w:pPr>
      <w:r>
        <w:rPr>
          <w:rFonts w:ascii="Cambria" w:cs="Cambria" w:eastAsia="Cambria" w:hAnsi="Cambria"/>
          <w:color w:val="555555"/>
          <w:sz w:val="18"/>
          <w:szCs w:val="18"/>
        </w:rPr>
        <w:t xml:space="preserve">31:  </w:t>
      </w:r>
      <w:r>
        <w:rPr>
          <w:rFonts w:ascii="Cambria" w:cs="Cambria" w:eastAsia="Cambria" w:hAnsi="Cambria"/>
          <w:b/>
          <w:bCs/>
          <w:sz w:val="21"/>
          <w:szCs w:val="21"/>
        </w:rPr>
        <w:t xml:space="preserve">return</w:t>
      </w:r>
      <w:r>
        <w:rPr>
          <w:rFonts w:ascii="Cambria" w:cs="Cambria" w:eastAsia="Cambria" w:hAnsi="Cambria"/>
          <w:sz w:val="21"/>
          <w:szCs w:val="21"/>
        </w:rPr>
        <w:t xml:space="preserve"> ALLOW</w:t>
      </w:r>
    </w:p>
    <w:p>
      <w:pPr>
        <w:pBdr>
          <w:bottom w:val="single" w:color="000000" w:sz="12"/>
        </w:pBdr>
        <w:spacing w:after="60"/>
      </w:pPr>
    </w:p>
    <w:p>
      <w:pPr>
        <w:spacing w:after="160"/>
      </w:pPr>
    </w:p>
    <w:p>
      <w:pPr>
        <w:spacing w:after="140" w:line="300"/>
        <w:jc w:val="both"/>
      </w:pPr>
      <w:r>
        <w:rPr>
          <w:rFonts w:ascii="Cambria" w:cs="Cambria" w:eastAsia="Cambria" w:hAnsi="Cambria"/>
          <w:sz w:val="24"/>
          <w:szCs w:val="24"/>
        </w:rP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spacing w:after="140" w:line="300"/>
        <w:jc w:val="both"/>
      </w:pPr>
      <w:r>
        <w:rPr>
          <w:rFonts w:ascii="Cambria" w:cs="Cambria" w:eastAsia="Cambria" w:hAnsi="Cambria"/>
          <w:sz w:val="24"/>
          <w:szCs w:val="24"/>
        </w:rP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p>
      <w:pPr>
        <w:pStyle w:val="Heading3"/>
        <w:spacing w:after="160" w:before="280"/>
      </w:pPr>
      <w:r>
        <w:t xml:space="preserve">6.4.3  Procedure for Policy-Aware Access Decision</w:t>
      </w:r>
    </w:p>
    <w:p>
      <w:pPr>
        <w:spacing w:after="140" w:line="300"/>
        <w:jc w:val="both"/>
      </w:pPr>
      <w:r>
        <w:rPr>
          <w:rFonts w:ascii="Cambria" w:cs="Cambria" w:eastAsia="Cambria" w:hAnsi="Cambria"/>
          <w:sz w:val="24"/>
          <w:szCs w:val="24"/>
        </w:rP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 1. Step 1 – Receive and Parse the Access Request. The system receives an access request R from requesting participant u. The request specifies the healthcare resources requested by the participant and the intended purpose of access. The requested data scope is denoted by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while the purpose associated with the request is denoted by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access request can therefore be represented as R = (u,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system associates R with the relevant consent object C before continuing with the authorisation process. 2. Step 2 – Verify the Requesting Participant’s DID and VC. The system verifies the DID and VC associated with participant u. This step invokes the identity and authority verification procedure defined in Algorithm 2. 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 Formally,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must hold before the request can proceed to the subsequent authorisation stages. 3. Step 3 – Evaluate the Current Consent State. After successful identity verification, the system evaluates the current state of consent object C. The system determines whether the consent is active and whether it remains within its defined validity period. In particular, the system verifies that the consent has not expired, been revoked, or otherwise transitioned into an inactive state. If State(C) ≠ ACTIVE, the access request is denied and the decision is recorded.</w:t>
      </w:r>
    </w:p>
    <w:p>
      <w:pPr>
        <w:spacing w:after="140" w:line="300"/>
        <w:jc w:val="both"/>
      </w:pPr>
      <w:r>
        <w:rPr>
          <w:rFonts w:ascii="Cambria" w:cs="Cambria" w:eastAsia="Cambria" w:hAnsi="Cambria"/>
          <w:sz w:val="24"/>
          <w:szCs w:val="24"/>
        </w:rPr>
        <w:t xml:space="preserve">4. Step 4 – Verify Multi-Party Authorisation. The system verifies whether the multi-party authorisation requirement associated with consent object C has been satisfied.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is evaluated against the required threshold N. The authorisation condition is expressed as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If the threshold has not been satisfied, the consent cannot be used to authorise the requested access. The system therefore records a denied decision and returns DENY. 5. Step 5 – Evaluate the Requested Purpose. The system compares the purpose specified in the access request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with the purpose permitted by the consent object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purpose compatibility condition can be represented as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t>
      </w:r>
      <w:r>
        <w:rPr>
          <w:rFonts w:ascii="Cambria" w:cs="Cambria" w:eastAsia="Cambria" w:hAnsi="Cambria"/>
          <w:color w:val="000000"/>
          <w:sz w:val="24"/>
          <w:szCs w:val="24"/>
        </w:rPr>
        <w:t xml:space="preserve">which means the requested purpose is required to satisfy the privacy constraint P</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before access can proceed.</w:t>
      </w:r>
      <w:r>
        <w:rPr>
          <w:rFonts w:ascii="Cambria" w:cs="Cambria" w:eastAsia="Cambria" w:hAnsi="Cambria"/>
          <w:sz w:val="24"/>
          <w:szCs w:val="24"/>
        </w:rPr>
        <w:t xml:space="preserve"> </w:t>
      </w:r>
      <w:r>
        <w:rPr>
          <w:rFonts w:ascii="Cambria" w:cs="Cambria" w:eastAsia="Cambria" w:hAnsi="Cambria"/>
          <w:color w:val="000000"/>
          <w:sz w:val="24"/>
          <w:szCs w:val="24"/>
        </w:rPr>
        <w:t xml:space="preserve">The evaluation pipeline is designed so that a request violating the privacy constraint is refused before any data is released; a formal proof of this property forms part of the next stage security analysis.</w:t>
      </w:r>
      <w:r>
        <w:rPr>
          <w:rFonts w:ascii="Cambria" w:cs="Cambria" w:eastAsia="Cambria" w:hAnsi="Cambria"/>
          <w:sz w:val="24"/>
          <w:szCs w:val="24"/>
        </w:rPr>
        <w:t xml:space="preserve"> If the requested purpose is incompatible with the patient’s consent, the request is denied. This step prevents a participant from using otherwise valid credentials and consent to access healthcare information for a purpose that was not authorised by the patient. 6. Step 6 – Evaluate the Requested Data Scope. The system evaluates whether the requested data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is contained within the data scope authorised by the consent, denoted by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required containment relationship is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If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requested access exceeds the patient’s authorised data scope. The system records a denied decision and returns DENY. This step is particularly important for fine-grained healthcare data access because authorisation to access one category of healthcare information does not imply authorisation to access all categories of the patient’s record. 7. Step 7 – Evaluate the Complete Authorisation Policy. After the individual conditions have been successfully evaluated, the system performs the final policy evaluation. The decision is based on the conjunction of identity validity, active consent, sufficient multi-party approval, purpose compatibility, and scope containment. The overall authorisation condition can be represented as Authorised(R, C, u)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Active(C)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PurposeMatch(P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ScopeMatch(S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Access can proceed only when all required conditions evaluate to true. 8. Step 8 – Generate or Verify Access Evidence. 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 This evidence provides an auditable relationship between the access request and the conditions that justified the resulting authorisation. 9. Step 9 – Retrieve the Authorised Healthcare Data. Once the request has been successfully authorised, the system retrieves only the healthcare data satisfying the authorised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retrieval operation must enforce the same scope constraints that were evaluated during the policy decision. Thus, Data</w:t>
      </w:r>
      <w:r>
        <w:rPr>
          <w:rFonts w:ascii="Cambria" w:cs="Cambria" w:eastAsia="Cambria" w:hAnsi="Cambria"/>
          <w:sz w:val="24"/>
          <w:szCs w:val="24"/>
          <w:vertAlign w:val="subscript"/>
        </w:rPr>
        <w:t xml:space="preserve">returned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This prevents a mismatch between the policy decision and the actual data returned to the requester. 10. Step 10 – Record the Granted Decision. The system records the successful access-authorisation event. The recorded evidence may include the request identifier, consent identifier, requester identity, authorised purpose, authorised data scope, authorisation result, and relevant timestamp. The resulting event provides an auditable record of why and under which conditions access was granted. 11. Step 11 – Return the Final Access Decision. If all mandatory conditions have been satisfied, the system returns AccessDecision = ALLOW. If any mandatory condition fails during the evaluation process, the system records the corresponding denial evidence and returns AccessDecision = DENY. The overall decision process can therefore be represented as R → DID/VC → Consent State → Threshold → Purpose → Scope → Policy Eval. → Evidence → Data Retr. → { ALLOW; DENY }</w:t>
      </w:r>
    </w:p>
    <w:p>
      <w:pPr>
        <w:spacing w:after="140" w:line="300"/>
        <w:jc w:val="both"/>
      </w:pPr>
      <w:r>
        <w:rPr>
          <w:rFonts w:ascii="Cambria" w:cs="Cambria" w:eastAsia="Cambria" w:hAnsi="Cambria"/>
          <w:color w:val="000000"/>
          <w:sz w:val="24"/>
          <w:szCs w:val="24"/>
        </w:rPr>
        <w:t xml:space="preserve">In the implemented system the approval threshold is N-of-N: N = |G|, so that every designated guardian must sign, and the evaluated configuration is accordingly 2-of-2. Consequently, a configurable k-of-n threshold remains an item of future work rather than a property of the demonstrated prototype.</w:t>
      </w:r>
    </w:p>
    <w:p>
      <w:pPr>
        <w:spacing w:after="140" w:line="300"/>
        <w:jc w:val="both"/>
      </w:pPr>
      <w:r>
        <w:rPr>
          <w:rFonts w:ascii="Cambria" w:cs="Cambria" w:eastAsia="Cambria" w:hAnsi="Cambria"/>
          <w:color w:val="000000"/>
          <w:sz w:val="24"/>
          <w:szCs w:val="24"/>
        </w:rPr>
        <w:t xml:space="preserve">In the demonstrated prototype, purpose compatibility is evaluated as an exact match against the consent purpose, which is stored on-chain as keccak256(purpose). Therefore, a formal proof that no execution path can violate the privacy policy is deliberately left to future work.</w:t>
      </w:r>
    </w:p>
    <w:p>
      <w:pPr>
        <w:spacing w:after="140" w:line="300"/>
        <w:jc w:val="both"/>
      </w:pPr>
      <w:r>
        <w:rPr>
          <w:rFonts w:ascii="Cambria" w:cs="Cambria" w:eastAsia="Cambria" w:hAnsi="Cambria"/>
          <w:sz w:val="24"/>
          <w:szCs w:val="24"/>
        </w:rPr>
        <w:t xml:space="preserve">The final access decision can be formally expressed as ALLOW ⟺ Identity ∧ Consent ∧ Authority ∧ Threshold ∧ Purpose ∧ Scope ∧ Evidence where the individual conditions represent verified participant identity, active consent, sufficient authority, satisfied multi-party approval, compatible purpose, authorised data scope, and sufficient decision evidence, respectively. This procedure establishes an important distinction between authentication, consent, and authorisation.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 The procedure also implements the principle of least privilege through the explicit scope-containment condition that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 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The resulting end-to-end authorisation lifecycle can be summarised as</w:t>
      </w:r>
    </w:p>
    <w:p>
      <w:pPr>
        <w:tabs>
          <w:tab w:val="right" w:pos="9360"/>
        </w:tabs>
        <w:spacing w:after="160" w:before="60"/>
        <w:jc w:val="center"/>
      </w:pPr>
      <w:r>
        <w:rPr>
          <w:rFonts w:ascii="Cambria Math" w:cs="Cambria Math" w:eastAsia="Cambria Math" w:hAnsi="Cambria Math"/>
          <w:i/>
          <w:iCs/>
          <w:sz w:val="22"/>
          <w:szCs w:val="22"/>
        </w:rPr>
        <w:t xml:space="preserve">Consent Creation ⟶ Identity Verification ⟶ Multi-Party Auth ⟶ Policy Decision</w:t>
      </w:r>
    </w:p>
    <w:p>
      <w:pPr>
        <w:spacing w:after="140" w:line="300"/>
        <w:jc w:val="both"/>
      </w:pPr>
      <w:r>
        <w:rPr>
          <w:rFonts w:ascii="Cambria" w:cs="Cambria" w:eastAsia="Cambria" w:hAnsi="Cambria"/>
          <w:sz w:val="24"/>
          <w:szCs w:val="24"/>
        </w:rP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p>
      <w:pPr>
        <w:pStyle w:val="Heading2"/>
        <w:spacing w:after="160" w:before="280"/>
      </w:pPr>
      <w:r>
        <w:t xml:space="preserve">6.5  Temporal and Lifecycle Trust for RO5</w:t>
      </w:r>
    </w:p>
    <w:p>
      <w:pPr>
        <w:spacing w:after="140" w:line="300"/>
        <w:jc w:val="both"/>
      </w:pPr>
      <w:r>
        <w:rPr>
          <w:rFonts w:ascii="Cambria" w:cs="Cambria" w:eastAsia="Cambria" w:hAnsi="Cambria"/>
          <w:sz w:val="24"/>
          <w:szCs w:val="24"/>
        </w:rPr>
        <w:t xml:space="preserve">RO5 addresses RQ5 and extends the foundational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authorisation model with temporal validity and consent lifecycle controls. This objective belongs primarily to CA3 because it investigates how an authorisation remains trustworthy as time passes and as the consent state changes. The current stage model evaluates identity, collective authorisation, and policy compliance. RO5 extends this model by introducing temporal and lifecycle conditions that</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1,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0, otherwise.</w:t>
      </w:r>
      <w:r>
        <w:rPr>
          <w:rFonts w:ascii="Cambria" w:cs="Cambria" w:eastAsia="Cambria" w:hAnsi="Cambria"/>
          <w:sz w:val="22"/>
          <w:szCs w:val="22"/>
        </w:rPr>
        <w:t xml:space="preserve">	(63)</w:t>
      </w:r>
    </w:p>
    <w:p>
      <w:pPr>
        <w:spacing w:after="140" w:line="300"/>
        <w:jc w:val="both"/>
      </w:pPr>
      <w:r>
        <w:rPr>
          <w:rFonts w:ascii="Cambria" w:cs="Cambria" w:eastAsia="Cambria" w:hAnsi="Cambria"/>
          <w:sz w:val="24"/>
          <w:szCs w:val="24"/>
        </w:rPr>
        <w:t xml:space="preserve">The lifecycle condition can be expressed as</w:t>
      </w:r>
    </w:p>
    <w:p>
      <w:pPr>
        <w:tabs>
          <w:tab w:val="right" w:pos="9360"/>
        </w:tabs>
        <w:spacing w:after="160" w:before="60"/>
        <w:jc w:val="center"/>
      </w:pPr>
      <w:r>
        <w:rPr>
          <w:rFonts w:ascii="Cambria Math" w:cs="Cambria Math" w:eastAsia="Cambria Math" w:hAnsi="Cambria Math"/>
          <w:i/>
          <w:iCs/>
          <w:color w:val="000000"/>
          <w:sz w:val="22"/>
          <w:szCs w:val="22"/>
        </w:rPr>
        <w:t xml:space="preserve">V</w:t>
      </w:r>
      <w:r>
        <w:rPr>
          <w:rFonts w:ascii="Cambria Math" w:cs="Cambria Math" w:eastAsia="Cambria Math" w:hAnsi="Cambria Math"/>
          <w:i/>
          <w:iCs/>
          <w:color w:val="000000"/>
          <w:sz w:val="22"/>
          <w:szCs w:val="22"/>
          <w:vertAlign w:val="subscript"/>
        </w:rPr>
        <w:t xml:space="preserve">L</w:t>
      </w:r>
      <w:r>
        <w:rPr>
          <w:rFonts w:ascii="Cambria Math" w:cs="Cambria Math" w:eastAsia="Cambria Math" w:hAnsi="Cambria Math"/>
          <w:i/>
          <w:iCs/>
          <w:color w:val="000000"/>
          <w:sz w:val="22"/>
          <w:szCs w:val="22"/>
        </w:rPr>
        <w:t xml:space="preserve">(C, R) = 1 ⟺ Jur(R) = Jur(C) ∨ Jur(C) = ∅</w:t>
      </w:r>
      <w:r>
        <w:rPr>
          <w:rFonts w:ascii="Cambria" w:cs="Cambria" w:eastAsia="Cambria" w:hAnsi="Cambria"/>
          <w:color w:val="000000"/>
          <w:sz w:val="22"/>
          <w:szCs w:val="22"/>
        </w:rPr>
        <w:t xml:space="preserve">	(64)</w:t>
      </w:r>
    </w:p>
    <w:p>
      <w:pPr>
        <w:spacing w:after="140" w:line="300"/>
        <w:jc w:val="both"/>
      </w:pPr>
      <w:r>
        <w:rPr>
          <w:rFonts w:ascii="Cambria" w:cs="Cambria" w:eastAsia="Cambria" w:hAnsi="Cambria"/>
          <w:color w:val="000000"/>
          <w:sz w:val="24"/>
          <w:szCs w:val="24"/>
        </w:rPr>
        <w:t xml:space="preserve">where Jur(·) denotes the jurisdiction attribute, recorded on-chain as a two-letter ISO code, and where lifecycle state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rather than within this predicate. This is important because it is precisely this check that produced the demonstrated denial in which a request declaring jurisdiction SA was refused against a consent issued for AU.</w:t>
      </w:r>
    </w:p>
    <w:p>
      <w:pPr>
        <w:spacing w:after="140" w:line="300"/>
        <w:jc w:val="both"/>
      </w:pPr>
      <w:r>
        <w:rPr>
          <w:rFonts w:ascii="Cambria" w:cs="Cambria" w:eastAsia="Cambria" w:hAnsi="Cambria"/>
          <w:sz w:val="24"/>
          <w:szCs w:val="24"/>
        </w:rPr>
        <w:t xml:space="preserve">The extended authorisation decision is therefore</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(65)</w:t>
      </w:r>
    </w:p>
    <w:p>
      <w:pPr>
        <w:spacing w:after="140" w:line="300"/>
        <w:jc w:val="both"/>
      </w:pPr>
      <w:r>
        <w:rPr>
          <w:rFonts w:ascii="Cambria" w:cs="Cambria" w:eastAsia="Cambria" w:hAnsi="Cambria"/>
          <w:sz w:val="24"/>
          <w:szCs w:val="24"/>
        </w:rP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p>
      <w:pPr>
        <w:pStyle w:val="Heading3"/>
        <w:spacing w:after="160" w:before="280"/>
      </w:pPr>
      <w:r>
        <w:t xml:space="preserve">6.5.1  RO5 Temporal and Lifecycle Workflow</w:t>
      </w:r>
    </w:p>
    <w:p>
      <w:pPr>
        <w:spacing w:after="140" w:line="300"/>
        <w:jc w:val="both"/>
      </w:pPr>
      <w:r>
        <w:rPr>
          <w:rFonts w:ascii="Cambria" w:cs="Cambria" w:eastAsia="Cambria" w:hAnsi="Cambria"/>
          <w:color w:val="000000"/>
          <w:sz w:val="24"/>
          <w:szCs w:val="24"/>
        </w:rPr>
        <w:t xml:space="preserve">Temporal and lifecycle enforcement is implemented in the demonstrated prototype. In particular, the Consent Engine evaluates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 t ≤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at every access request, the deployed contract stores the notBefore and expiry fields and exposes the checkValid and checkValidAt functions, and revocation is executed both in the application state and as an on-chain revoke transaction confirmed in block 11,771,307.</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implemented</w:t>
      </w:r>
      <w:r>
        <w:rPr>
          <w:rFonts w:ascii="Cambria" w:cs="Cambria" w:eastAsia="Cambria" w:hAnsi="Cambria"/>
          <w:sz w:val="24"/>
          <w:szCs w:val="24"/>
        </w:rPr>
        <w:t xml:space="preserve"> workflow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pStyle w:val="Heading3"/>
        <w:spacing w:after="160" w:before="280"/>
      </w:pPr>
      <w:r>
        <w:t xml:space="preserve">6.5.2  Procedure for Temporal and Lifecycle Validation</w:t>
      </w:r>
    </w:p>
    <w:p>
      <w:pPr>
        <w:spacing w:after="140" w:line="300"/>
        <w:jc w:val="both"/>
      </w:pPr>
      <w:r>
        <w:rPr>
          <w:rFonts w:ascii="Cambria" w:cs="Cambria" w:eastAsia="Cambria" w:hAnsi="Cambria"/>
          <w:sz w:val="24"/>
          <w:szCs w:val="24"/>
        </w:rP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 1. Step 1 – Retrieve the Consent Validity Interval. The system retrieves the start time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and expiry time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associated with consent object C. These temporal attributes define the period during which the consent is potentially valid. The consent validity interval is represented as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system uses the current time t to determine whether the consent is currently within its defined validity period. 2. Step 2 – Validate the Current Time. The system compares the current time t with the consent validity interval. Temporal validity requires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If t &lt;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or t &gt;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consent is considered temporally invalid. The system records the temporal invalidity evidence and returns INVALID. This step prevents a consent from being used before its effective start time or after its expiration time. 3. Step 3 – Retrieve the Current Lifecycle State. If the temporal condition is satisfied, the system retrieves the current lifecycle state of consent object C. Typical lifecycle states may include CREATED, PENDING, ACTIVE, SUSPENDED, REVOKED, and EXPIRED, depending on the system configuration. The current state is used to determine whether the requested operation can legally and logically be performed. 4. Step 4 – Validate State-Dependent Operations. The system evaluates whether the current lifecycle state permits the requested operation q. Different operations may be permitted only in specific lifecycle states. For example, activation may require a consent to be in a pending state, while data access may require the consent to be active.</w:t>
      </w:r>
    </w:p>
    <w:p>
      <w:pPr>
        <w:spacing w:after="140" w:line="300"/>
        <w:jc w:val="both"/>
      </w:pPr>
      <w:r>
        <w:rPr>
          <w:rFonts w:ascii="Cambria" w:cs="Cambria" w:eastAsia="Cambria" w:hAnsi="Cambria"/>
          <w:color w:val="000000"/>
          <w:sz w:val="24"/>
          <w:szCs w:val="24"/>
        </w:rPr>
        <w:t xml:space="preserve">The implemented lifecycle states are PENDING_SIGNATURE, PENDING_TOKEN, NOT_STARTED, ACTIVE, EXPIRED and REVOKED.</w:t>
      </w:r>
    </w:p>
    <w:p>
      <w:pPr>
        <w:spacing w:after="140" w:line="300"/>
        <w:jc w:val="both"/>
      </w:pPr>
      <w:r>
        <w:rPr>
          <w:rFonts w:ascii="Cambria" w:cs="Cambria" w:eastAsia="Cambria" w:hAnsi="Cambria"/>
          <w:sz w:val="24"/>
          <w:szCs w:val="24"/>
        </w:rPr>
        <w:t xml:space="preserve">The state transition condition can be represented as State(C) |= q. If the current state does not permit operation q, the system records an invalid lifecycle-state event and returns INVALID. 5. Step 5 – Check Revocation Status. The system explicitly checks whether consent object C has been revoked. Revocation represents a deliberate termination of the previously granted consent and must therefore override an otherwise valid temporal interval. Formally, Revoked(C) = false must hold for the consent to remain usable. If Revoked(C) = true, the system records revocation-based invalidity and returns INVALID. 6. Step 6 – Validate the Requested Lifecycle Transition. If the consent is temporally valid, in an appropriate lifecycle state, and has not been revoked, the system validates the requested transition q. The transition is evaluated against the predefined lifecycle-transition policy: State(C) →</w:t>
      </w:r>
      <w:r>
        <w:rPr>
          <w:rFonts w:ascii="Cambria" w:cs="Cambria" w:eastAsia="Cambria" w:hAnsi="Cambria"/>
          <w:sz w:val="24"/>
          <w:szCs w:val="24"/>
          <w:vertAlign w:val="superscript"/>
        </w:rPr>
        <w:t xml:space="preserve">q</w:t>
      </w:r>
      <w:r>
        <w:rPr>
          <w:rFonts w:ascii="Cambria" w:cs="Cambria" w:eastAsia="Cambria" w:hAnsi="Cambria"/>
          <w:sz w:val="24"/>
          <w:szCs w:val="24"/>
        </w:rPr>
        <w:t xml:space="preserve"> State′(C). The transition is valid only when q is explicitly permitted from the current state. If the transition is not permitted, the system records an unauthorised state-transition event and returns INVALID. 7. Step 7 – Establish Temporal and Lifecycle Consistency. After all individual checks have succeeded, the system establishes that the consent is simultaneously valid in terms of time, lifecycle state, revocation status, and requested transition. The overall lifecycle-validity condition can therefore be expressed as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TimeValid(C, t) ∧ StateValid(C, q) ∧ ¬Revoked(C) ∧ TransitionValid(C, q). Only when all four conditions are satisfied can the consent proceed to the subsequent operation. 8. Step 8 – Record Temporal and Lifecycle Evidence. The system records evidence associated with the successful validation. The evidence may include the consent identifier, current timestamp, validity interval, current lifecycle state, revocation status, requested transition, and validation result. This evidence establishes an auditable relationship between the consent’s lifecycle state and the operation performed at a particular point in time. </w:t>
      </w:r>
      <w:r>
        <w:rPr>
          <w:rFonts w:ascii="Cambria" w:cs="Cambria" w:eastAsia="Cambria" w:hAnsi="Cambria"/>
          <w:color w:val="000000"/>
          <w:sz w:val="24"/>
          <w:szCs w:val="24"/>
        </w:rPr>
        <w:t xml:space="preserve">Here 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denotes the composite temporal–state predicate evaluated by this procedure; it is distinct from the jurisdictional predicate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of the decision rule, which is evaluated separately.</w:t>
      </w:r>
    </w:p>
    <w:p>
      <w:pPr>
        <w:spacing w:after="140" w:line="300"/>
        <w:jc w:val="both"/>
      </w:pPr>
      <w:r>
        <w:rPr>
          <w:rFonts w:ascii="Cambria" w:cs="Cambria" w:eastAsia="Cambria" w:hAnsi="Cambria"/>
          <w:sz w:val="24"/>
          <w:szCs w:val="24"/>
        </w:rPr>
        <w:t xml:space="preserve">9. Step 9 – Return the Lifecycle Validation Result. If all temporal and lifecycle conditions are satisfied, the system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VALID. If any mandatory condition fails, the procedure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INVALID. The overall validation process can therefore be represented as C →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State(C) → Revocation → q → Lifecycle Validation → Evidence → { VALID; INVALID }. The complete lifecycle-validity condition can be summarised as VALID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 State(C) |= q ∧ ¬Revoked(C) ∧ TransitionPermitted(q) This procedure establishes that consent validity is not a static property. Instead, the validity of consent is a function of both time and lifecycle state that Validity(C) = f(t, State(C), Revocation(C)). Consequently, a consent that was valid at time t</w:t>
      </w:r>
      <w:r>
        <w:rPr>
          <w:rFonts w:ascii="Cambria" w:cs="Cambria" w:eastAsia="Cambria" w:hAnsi="Cambria"/>
          <w:sz w:val="24"/>
          <w:szCs w:val="24"/>
          <w:vertAlign w:val="subscript"/>
        </w:rPr>
        <w:t xml:space="preserve">1</w:t>
      </w:r>
      <w:r>
        <w:rPr>
          <w:rFonts w:ascii="Cambria" w:cs="Cambria" w:eastAsia="Cambria" w:hAnsi="Cambria"/>
          <w:sz w:val="24"/>
          <w:szCs w:val="24"/>
        </w:rPr>
        <w:t xml:space="preserve"> may become invalid at a later time t</w:t>
      </w:r>
      <w:r>
        <w:rPr>
          <w:rFonts w:ascii="Cambria" w:cs="Cambria" w:eastAsia="Cambria" w:hAnsi="Cambria"/>
          <w:sz w:val="24"/>
          <w:szCs w:val="24"/>
          <w:vertAlign w:val="subscript"/>
        </w:rPr>
        <w:t xml:space="preserve">2</w:t>
      </w:r>
      <w:r>
        <w:rPr>
          <w:rFonts w:ascii="Cambria" w:cs="Cambria" w:eastAsia="Cambria" w:hAnsi="Cambria"/>
          <w:sz w:val="24"/>
          <w:szCs w:val="24"/>
        </w:rPr>
        <w:t xml:space="preserve"> because it has expired, been revoked, suspended, or otherwise transitioned into a state that does not permit the requested operation. The explicit lifecycle validation also introduces an important distinction between consent existence and consent usability.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 ConsentExists(C) ⇏ ConsentUsable(C, t). Instead, ConsentUsable(C, t) ⇒ TimeValid(C, t) ∧ StateValid(C) ∧ ¬Revoked(C). 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overall flow can therefore be summarised as Consent → Identity → Authority → Policy → Temporal/Lifecycle Validation → Access</w:t>
      </w:r>
    </w:p>
    <w:p>
      <w:pPr>
        <w:spacing w:after="140" w:line="300"/>
        <w:jc w:val="both"/>
      </w:pPr>
      <w:r>
        <w:rPr>
          <w:rFonts w:ascii="Cambria" w:cs="Cambria" w:eastAsia="Cambria" w:hAnsi="Cambria"/>
          <w:color w:val="000000"/>
          <w:sz w:val="24"/>
          <w:szCs w:val="24"/>
        </w:rPr>
        <w:t xml:space="preserve">the lifecycle validation mechanism can therefore be interpreted as a per-request validity layer: validity is re-established at each evaluated access request and recorded as a STATE_CHECK event in the audit ledger, rather than being assumed to persist between requests.</w:t>
      </w:r>
    </w:p>
    <w:p>
      <w:pPr>
        <w:spacing w:after="140" w:line="300"/>
        <w:jc w:val="both"/>
      </w:pPr>
      <w:r>
        <w:rPr>
          <w:rFonts w:ascii="Cambria" w:cs="Cambria" w:eastAsia="Cambria" w:hAnsi="Cambria"/>
          <w:sz w:val="24"/>
          <w:szCs w:val="24"/>
        </w:rPr>
        <w:t xml:space="preserve">Rather than treating authorisation as a one-time event, this approach enables the system to determine whether authorisation remains valid at the precise time an operation is requested. This is particularly important for dynamic consent environments in which permissions may expire, be revoked, suspended, renewed, or otherwise modified during the lifecycle of a healthcare data-sharing relationship.</w:t>
      </w:r>
    </w:p>
    <w:p>
      <w:pPr>
        <w:pStyle w:val="Heading3"/>
        <w:spacing w:after="160" w:before="280"/>
      </w:pPr>
      <w:r>
        <w:t xml:space="preserve">6.5.3  Algorithm 5: Temporal and Lifecycle Validation</w:t>
      </w:r>
    </w:p>
    <w:p>
      <w:pPr>
        <w:pBdr>
          <w:top w:val="single" w:color="000000" w:sz="12"/>
          <w:bottom w:val="single" w:color="000000" w:sz="6"/>
        </w:pBdr>
        <w:spacing w:after="40" w:before="220"/>
      </w:pPr>
      <w:r>
        <w:rPr>
          <w:rFonts w:ascii="Cambria" w:cs="Cambria" w:eastAsia="Cambria" w:hAnsi="Cambria"/>
          <w:b/>
          <w:bCs/>
          <w:sz w:val="21"/>
          <w:szCs w:val="21"/>
        </w:rPr>
        <w:t xml:space="preserve">Algorithm 5 </w:t>
      </w:r>
      <w:r>
        <w:rPr>
          <w:rFonts w:ascii="Cambria" w:cs="Cambria" w:eastAsia="Cambria" w:hAnsi="Cambria"/>
          <w:sz w:val="21"/>
          <w:szCs w:val="21"/>
        </w:rPr>
        <w:t xml:space="preserve">Temporal and Lifecycle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current time t, requested transition q</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Lifecycle validity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consent start time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and expiry time t</w:t>
      </w:r>
      <w:r>
        <w:rPr>
          <w:rFonts w:ascii="Cambria" w:cs="Cambria" w:eastAsia="Cambria" w:hAnsi="Cambria"/>
          <w:sz w:val="21"/>
          <w:szCs w:val="21"/>
          <w:vertAlign w:val="subscript"/>
        </w:rPr>
        <w:t xml:space="preserve">e</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t &lt;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or t &gt;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temporal invalidity</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Retrieve current lifecycle state of C</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current state does not permit the requested operation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invalid lifecycle state</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Check whether C has been revoked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C is revoked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revocation-based invalidity</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Validate requested transition q</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transition q is not permitted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unauthorised state transition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valid temporal and lifecycle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spacing w:after="140" w:line="300"/>
        <w:jc w:val="both"/>
      </w:pPr>
      <w:r>
        <w:rPr>
          <w:rFonts w:ascii="Cambria" w:cs="Cambria" w:eastAsia="Cambria" w:hAnsi="Cambria"/>
          <w:color w:val="000000"/>
          <w:sz w:val="24"/>
          <w:szCs w:val="24"/>
        </w:rPr>
        <w:t xml:space="preserve">Algorithm 5 is implemented in the current prototype. Its checks are executed at every access request and recorded as STATE_CHECK events in the audit ledger, so that expiration, revocation and controlled state transitions already condition the demonstrated access decisions rather than awaiting a later implementation stage.</w:t>
      </w:r>
    </w:p>
    <w:p>
      <w:pPr>
        <w:keepNext/>
        <w:spacing w:after="60" w:before="140"/>
        <w:jc w:val="center"/>
      </w:pPr>
      <w:r>
        <w:drawing>
          <wp:inline distT="0" distB="0" distL="0" distR="0">
            <wp:extent cx="4095750" cy="5876925"/>
            <wp:effectExtent t="0" r="0" b="0" l="0"/>
            <wp:docPr id="1" name="gfig11.png" descr="Figure 15: RO5 workflow for temporal and consent lifecycle trust" title="Figure 15: RO5 workflow for temporal and consent lifecycle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5876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15: RO5 workflow for temporal and consent lifecycle trust</w:t>
      </w:r>
    </w:p>
    <w:p>
      <w:pPr>
        <w:jc w:val="center"/>
      </w:pPr>
      <w:r>
        <w:rPr>
          <w:rFonts w:ascii="Cambria" w:cs="Cambria" w:eastAsia="Cambria" w:hAnsi="Cambria"/>
          <w:i/>
          <w:iCs/>
          <w:sz w:val="20"/>
          <w:szCs w:val="20"/>
        </w:rPr>
        <w:t xml:space="preserve">[Figure 15: RO5 workflow for temporal and consent lifecycle trust]</w:t>
      </w:r>
    </w:p>
    <w:p>
      <w:pPr>
        <w:spacing w:after="140" w:line="300"/>
        <w:jc w:val="both"/>
      </w:pPr>
      <w:r>
        <w:rPr>
          <w:rFonts w:ascii="Cambria" w:cs="Cambria" w:eastAsia="Cambria" w:hAnsi="Cambria"/>
          <w:sz w:val="24"/>
          <w:szCs w:val="24"/>
        </w:rPr>
        <w:t xml:space="preserve">Algorithm 5 extends the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decision process by ensuring that consent validity is dynamic rather than permanent.</w:t>
      </w:r>
    </w:p>
    <w:p>
      <w:pPr>
        <w:pStyle w:val="Heading2"/>
        <w:spacing w:after="160" w:before="280"/>
      </w:pPr>
      <w:r>
        <w:t xml:space="preserve">6.6  Formal Security Assurance and Empirical Validation for RO6</w:t>
      </w:r>
    </w:p>
    <w:p>
      <w:pPr>
        <w:spacing w:after="140" w:line="300"/>
        <w:jc w:val="both"/>
      </w:pPr>
      <w:r>
        <w:rPr>
          <w:rFonts w:ascii="Cambria" w:cs="Cambria" w:eastAsia="Cambria" w:hAnsi="Cambria"/>
          <w:sz w:val="24"/>
          <w:szCs w:val="24"/>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 The formal decision model is expressed as</w:t>
      </w:r>
    </w:p>
    <w:p>
      <w:pPr>
        <w:spacing w:after="140" w:line="300"/>
        <w:jc w:val="both"/>
      </w:pPr>
      <w:r>
        <w:rPr>
          <w:rFonts w:ascii="Cambria" w:cs="Cambria" w:eastAsia="Cambria" w:hAnsi="Cambria"/>
          <w:color w:val="000000"/>
          <w:sz w:val="24"/>
          <w:szCs w:val="24"/>
        </w:rPr>
        <w:t xml:space="preserve">The empirical half of this objective has been carried out on the demonstrated prototype, whereas formal proofs and model checking of the authorisation properties remain future work. Figure 16 accordingly presents the RO6 workflow for security assurance, in which the empirical branch has been executed and the formal branch remains planned.</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(66)</w:t>
      </w:r>
    </w:p>
    <w:p>
      <w:pPr>
        <w:spacing w:after="140" w:line="300"/>
        <w:jc w:val="both"/>
      </w:pPr>
      <w:r>
        <w:rPr>
          <w:rFonts w:ascii="Cambria" w:cs="Cambria" w:eastAsia="Cambria" w:hAnsi="Cambria"/>
          <w:color w:val="000000"/>
          <w:sz w:val="24"/>
          <w:szCs w:val="24"/>
        </w:rPr>
        <w:t xml:space="preserve">Decision(C, R) = ALLOW ⇒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where this soundness property is the one actually validated: each conjunct is exercised by a dedicated per-dimension failure test that confirms access is denied when that predicate alone fails.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(67)</w:t>
      </w:r>
    </w:p>
    <w:p>
      <w:pPr>
        <w:spacing w:after="140" w:line="300"/>
        <w:jc w:val="both"/>
      </w:pPr>
      <w:r>
        <w:rPr>
          <w:rFonts w:ascii="Cambria" w:cs="Cambria" w:eastAsia="Cambria" w:hAnsi="Cambria"/>
          <w:sz w:val="24"/>
          <w:szCs w:val="24"/>
        </w:rPr>
        <w:t xml:space="preserve">This implication expresses the soundness requirement that every granted request must satisfy the identity, authorisation, and policy conditions. Conversely, if any mandatory condition is violated, the request must be denied:</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Decision(C, R) = DENY.</w:t>
      </w:r>
      <w:r>
        <w:rPr>
          <w:rFonts w:ascii="Cambria" w:cs="Cambria" w:eastAsia="Cambria" w:hAnsi="Cambria"/>
          <w:sz w:val="22"/>
          <w:szCs w:val="22"/>
        </w:rPr>
        <w:t xml:space="preserve">	(68)</w:t>
      </w:r>
    </w:p>
    <w:p>
      <w:pPr>
        <w:pStyle w:val="Heading3"/>
        <w:spacing w:after="160" w:before="280"/>
      </w:pPr>
      <w:r>
        <w:t xml:space="preserve">6.6.1  RO6 Assurance and Validation Workflow</w:t>
      </w:r>
    </w:p>
    <w:p>
      <w:pPr>
        <w:spacing w:after="140" w:line="300"/>
        <w:jc w:val="both"/>
      </w:pPr>
      <w:r>
        <w:rPr>
          <w:rFonts w:ascii="Cambria" w:cs="Cambria" w:eastAsia="Cambria" w:hAnsi="Cambria"/>
          <w:sz w:val="24"/>
          <w:szCs w:val="24"/>
        </w:rPr>
        <w:t xml:space="preserve">The validation process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 The HALAH prototype provides the implementation basis for this evaluation. The current system includes separate patient, guardian, doctor, and auditor interfaces. It also records consent creation, guardian approval, token minting, state checks, and data-access events.</w:t>
      </w:r>
    </w:p>
    <w:p>
      <w:pPr>
        <w:pStyle w:val="Heading3"/>
        <w:spacing w:after="160" w:before="280"/>
      </w:pPr>
      <w:r>
        <w:t xml:space="preserve">6.6.2  Procedure for Formal and Empirical Authorisation Validation</w:t>
      </w:r>
    </w:p>
    <w:p>
      <w:pPr>
        <w:spacing w:after="140" w:line="300"/>
        <w:jc w:val="both"/>
      </w:pPr>
      <w:r>
        <w:rPr>
          <w:rFonts w:ascii="Cambria" w:cs="Cambria" w:eastAsia="Cambria" w:hAnsi="Cambria"/>
          <w:sz w:val="24"/>
          <w:szCs w:val="24"/>
        </w:rPr>
        <w:t xml:space="preserve">The Formal and Empirical Authorisation Validation procedure evaluates whether the proposed framework F correctly implements the intended authorisation model under normal, invalid, and adversarial conditions. Rather than validating the framework only through successful</w:t>
      </w:r>
    </w:p>
    <w:p>
      <w:pPr>
        <w:keepNext/>
        <w:spacing w:after="60" w:before="140"/>
        <w:jc w:val="center"/>
      </w:pPr>
      <w:r>
        <w:drawing>
          <wp:inline distT="0" distB="0" distL="0" distR="0">
            <wp:extent cx="4762500" cy="5343525"/>
            <wp:effectExtent t="0" r="0" b="0" l="0"/>
            <wp:docPr id="1" name="gfig12.png" descr="Figure 16: RO6 workflow for formal security assurance and empirical validation" title="Figure 16: RO6 workflow for formal security assurance and empi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5343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16: RO6 workflow for formal security assurance and empirical validation</w:t>
      </w:r>
    </w:p>
    <w:p>
      <w:pPr>
        <w:jc w:val="center"/>
      </w:pPr>
      <w:r>
        <w:rPr>
          <w:rFonts w:ascii="Cambria" w:cs="Cambria" w:eastAsia="Cambria" w:hAnsi="Cambria"/>
          <w:i/>
          <w:iCs/>
          <w:sz w:val="20"/>
          <w:szCs w:val="20"/>
        </w:rPr>
        <w:t xml:space="preserve">[Figure 16: RO6 workflow for formal security assurance and empirical validation]</w:t>
      </w:r>
    </w:p>
    <w:p>
      <w:pPr>
        <w:spacing w:after="140" w:line="300"/>
        <w:jc w:val="both"/>
      </w:pPr>
      <w:r>
        <w:rPr>
          <w:rFonts w:ascii="Cambria" w:cs="Cambria" w:eastAsia="Cambria" w:hAnsi="Cambria"/>
          <w:sz w:val="24"/>
          <w:szCs w:val="24"/>
        </w:rPr>
        <w:t xml:space="preserve">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 1. Step 1 – Define the Expected Authorisation Properties. The first step is to define the security and authorisation properties P that the framework is expected to satisfy. These properties provide the formal evaluation criteria against which the observed system behaviour will subsequently be compared. The properties may include authorisation soundness, correct denial of unauthorised requests, threshold correctness, policy compliance, scope enforcement, temporal consistency, and audit consistency. Formally, P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2. Step 2 – Define Valid Scenarios. The system defines a set of valid scenarios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representing legitimate healthcare data-access workflows. These scenarios should contain valid patient identities, valid credentials, active consent, sufficient authority, satisfied multi-party approval, compatible purposes, and authorised data scopes. The purpose of these scenarios is to verify that legitimate requests are successfully authorised and that the framework does not incorrectly reject valid operations. 3. Step 3 – Define Negative Scenarios. The system defines a set of negative scenarios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 4. Step 4 – Define Adversarial Scenarios. The system defines adversarial scenarios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 representing attempts to circumvent or manipulate the authorisation process. Such scenarios may include replayed approvals, duplicate approvals, unauthorised participants attempting to satisfy a threshold, invalid or forged credentials, attempts to access data outside the authorised scope, and attempts to use a revoked or expired consent object. The adversarial test set is particularly important because a framework should not only demonstrate that legitimate requests succeed, but also demonstrate resilience against foreseeable attempts to bypass its security controls. 5. Step 5 – Construct the Complete Validation Scenario Set. The three scenario classes are combined into the complete validation set: S =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Each scenario s ∈ S is associated with an expected authorisation outcome and the security properties that it is intended to evaluate. 6. Step 6 – Execute Each Scenario Using the Framework. The system executes each scenario s using the implemented framework F. During execution, the framework performs the corresponding consent, identity, authority, threshold, policy, scope, and lifecycle checks. The execution process is treated as an empirical observation of the implemented authorisation model that F(s)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where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denotes the observed authorisation decision. 7. Step 7 – Collect the Observed Authorisation Decision. After each scenario has been executed, the system records the resulting authorisation decision. Depending on the operation, the observed result may be ALLOW, DENY, PENDING, or another explicitly defined lifecycle state. The observed decision is stored together with the corresponding scenario identifier to enable subsequent comparison with the expected outcome. 8. Step 8 – Collect Supporting Authorisation Evidence. 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 The collected evidence can therefore be represented as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{E</w:t>
      </w:r>
      <w:r>
        <w:rPr>
          <w:rFonts w:ascii="Cambria" w:cs="Cambria" w:eastAsia="Cambria" w:hAnsi="Cambria"/>
          <w:sz w:val="24"/>
          <w:szCs w:val="24"/>
          <w:vertAlign w:val="subscript"/>
        </w:rPr>
        <w:t xml:space="preserve">I</w:t>
      </w:r>
      <w:r>
        <w:rPr>
          <w:rFonts w:ascii="Cambria" w:cs="Cambria" w:eastAsia="Cambria" w:hAnsi="Cambria"/>
          <w:sz w:val="24"/>
          <w:szCs w:val="24"/>
        </w:rPr>
        <w:t xml:space="preserve">, E</w:t>
      </w:r>
      <w:r>
        <w:rPr>
          <w:rFonts w:ascii="Cambria" w:cs="Cambria" w:eastAsia="Cambria" w:hAnsi="Cambria"/>
          <w:sz w:val="24"/>
          <w:szCs w:val="24"/>
          <w:vertAlign w:val="subscript"/>
        </w:rPr>
        <w:t xml:space="preserve">A</w:t>
      </w:r>
      <w:r>
        <w:rPr>
          <w:rFonts w:ascii="Cambria" w:cs="Cambria" w:eastAsia="Cambria" w:hAnsi="Cambria"/>
          <w:sz w:val="24"/>
          <w:szCs w:val="24"/>
        </w:rPr>
        <w:t xml:space="preserve">, E</w:t>
      </w:r>
      <w:r>
        <w:rPr>
          <w:rFonts w:ascii="Cambria" w:cs="Cambria" w:eastAsia="Cambria" w:hAnsi="Cambria"/>
          <w:sz w:val="24"/>
          <w:szCs w:val="24"/>
          <w:vertAlign w:val="subscript"/>
        </w:rPr>
        <w:t xml:space="preserve">C</w:t>
      </w:r>
      <w:r>
        <w:rPr>
          <w:rFonts w:ascii="Cambria" w:cs="Cambria" w:eastAsia="Cambria" w:hAnsi="Cambria"/>
          <w:sz w:val="24"/>
          <w:szCs w:val="24"/>
        </w:rPr>
        <w:t xml:space="preserve">, E</w:t>
      </w:r>
      <w:r>
        <w:rPr>
          <w:rFonts w:ascii="Cambria" w:cs="Cambria" w:eastAsia="Cambria" w:hAnsi="Cambria"/>
          <w:sz w:val="24"/>
          <w:szCs w:val="24"/>
          <w:vertAlign w:val="subscript"/>
        </w:rPr>
        <w:t xml:space="preserve">T</w:t>
      </w:r>
      <w:r>
        <w:rPr>
          <w:rFonts w:ascii="Cambria" w:cs="Cambria" w:eastAsia="Cambria" w:hAnsi="Cambria"/>
          <w:sz w:val="24"/>
          <w:szCs w:val="24"/>
        </w:rPr>
        <w:t xml:space="preserve">, E</w:t>
      </w:r>
      <w:r>
        <w:rPr>
          <w:rFonts w:ascii="Cambria" w:cs="Cambria" w:eastAsia="Cambria" w:hAnsi="Cambria"/>
          <w:sz w:val="24"/>
          <w:szCs w:val="24"/>
          <w:vertAlign w:val="subscript"/>
        </w:rPr>
        <w:t xml:space="preserve">P</w:t>
      </w:r>
      <w:r>
        <w:rPr>
          <w:rFonts w:ascii="Cambria" w:cs="Cambria" w:eastAsia="Cambria" w:hAnsi="Cambria"/>
          <w:sz w:val="24"/>
          <w:szCs w:val="24"/>
        </w:rPr>
        <w:t xml:space="preserve">,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E</w:t>
      </w:r>
      <w:r>
        <w:rPr>
          <w:rFonts w:ascii="Cambria" w:cs="Cambria" w:eastAsia="Cambria" w:hAnsi="Cambria"/>
          <w:sz w:val="24"/>
          <w:szCs w:val="24"/>
          <w:vertAlign w:val="subscript"/>
        </w:rPr>
        <w:t xml:space="preserve">L</w:t>
      </w:r>
      <w:r>
        <w:rPr>
          <w:rFonts w:ascii="Cambria" w:cs="Cambria" w:eastAsia="Cambria" w:hAnsi="Cambria"/>
          <w:sz w:val="24"/>
          <w:szCs w:val="24"/>
        </w:rPr>
        <w:t xml:space="preserve">}, where the individual components represent identity, authority, consent, threshold, policy, scope, and lifecycle evidence. 9. Step 9 – Compare Observed and Expected Decisions. The observed decision is compared with the expected decision defined for scenario s. Let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denote the expected decision and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denote the observed decision. The scenario passes when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Otherwise, the scenario is classified as a validation failure.</w:t>
      </w:r>
    </w:p>
    <w:p>
      <w:pPr>
        <w:spacing w:after="140" w:line="300"/>
        <w:jc w:val="both"/>
      </w:pPr>
      <w:r>
        <w:rPr>
          <w:rFonts w:ascii="Cambria" w:cs="Cambria" w:eastAsia="Cambria" w:hAnsi="Cambria"/>
          <w:sz w:val="24"/>
          <w:szCs w:val="24"/>
        </w:rPr>
        <w:t xml:space="preserve">10. Step 10 – Record the Scenario Result. The system records whether each scenario has passed or failed. For each failure, the corresponding condition, observed behaviour, expected behaviour, and supporting evidence are retained for subsequent analysis. This enables validation results to be traced from the final decision back to the individual authorisation conditions that produced that decision. 11. Step 11 – Evaluate Authorisation Soundness. The system evaluates the soundness property to determine whether every granted request satisfies the required authorisation conditions. Formally,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Authorised(s) = TRUE. A sound framework should not grant access when one or more mandatory authorisation conditions are violated. 12. Step 12 – Evaluate Denial Correctness. The system evaluates whether invalid or unauthorised requests are correctly denied. The denial property can be represented as Authorised(s) = FALSE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This evaluation is particularly important for negative and adversarial scenarios because successful operation under valid conditions alone cannot demonstrate that unauthorised access is reliably prevented. 13. Step 13 – Evaluate Threshold Correctness. The system evaluates whether multi-party authorisation is activated only when the required threshold condition is satisfied. The expected threshold property is Authorisation(C) = ALLOW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evaluation should also verify that invalid, duplicate, or unauthorised approvals do not contribute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This ensures that the threshold cannot be artificially satisfied by repeated or illegitimate approval submissions. 14. Step 14 – Evaluate Policy and Scope Enforcement. The system evaluates whether every granted request satisfies the consent-defined policy and data-scope constraints. In particular, the scope enforcement property is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 evaluation should verify that a participant cannot obtain healthcare resources outside the scope authorised by the patient’s consent, even when the participant possesses a valid identity and authority credential. Purpose compatibility is evaluated similarly: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15. Step 15 – Evaluate Audit Consistency. The system evaluates whether the recorded audit evidence is consistent with the actual authorisation decision and the underlying verification events. For an access event e, the audit record should provide sufficient evidence to establish a relationship between the request, requester, consent, policy evaluation, authorisation result, and timestamp. Therefore, Audit(e) ⊨ Decision(e). An audit inconsistency occurs when the recorded evidence does not correspond to the actual system decision or when critical authorisation evidence is missing. 16. Step 16 – Analyse Failures and Limitations. Any failed scenario is analysed to determine the source and significance of the failure. The analysis distinguishes between implementation defects, policy-definition errors, integration problems, incomplete security controls, and limitations of the experimental environment. The purpose of this step is not to conceal unsuccessful cases but to determine whether observed failures represent violations of the intended security properties or limitations that should be addressed in future work. 17. Step 17 – Consolidate the Validation Results. Finally, the individual scenario results and property-level evaluations are consolidated into an overall validation result. The resulting evidence includes: V = {R</w:t>
      </w:r>
      <w:r>
        <w:rPr>
          <w:rFonts w:ascii="Cambria" w:cs="Cambria" w:eastAsia="Cambria" w:hAnsi="Cambria"/>
          <w:sz w:val="24"/>
          <w:szCs w:val="24"/>
          <w:vertAlign w:val="subscript"/>
        </w:rPr>
        <w:t xml:space="preserve">scenario</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R</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The framework is considered empirically consistent with the specified authorisation model when the observed decisions satisfy the expected outcomes across the defined validation scenarios and no critical security property is violated. The overall validation process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P → S</w:t>
      </w:r>
      <w:r>
        <w:rPr>
          <w:rFonts w:ascii="Cambria Math" w:cs="Cambria Math" w:eastAsia="Cambria Math" w:hAnsi="Cambria Math"/>
          <w:i/>
          <w:iCs/>
          <w:sz w:val="22"/>
          <w:szCs w:val="22"/>
          <w:vertAlign w:val="subscript"/>
        </w:rPr>
        <w:t xml:space="preserve">valid</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negative</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adv</w:t>
      </w:r>
      <w:r>
        <w:rPr>
          <w:rFonts w:ascii="Cambria Math" w:cs="Cambria Math" w:eastAsia="Cambria Math" w:hAnsi="Cambria Math"/>
          <w:i/>
          <w:iCs/>
          <w:sz w:val="22"/>
          <w:szCs w:val="22"/>
        </w:rPr>
        <w:t xml:space="preserve"> → F(s)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E</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exp</w:t>
      </w:r>
      <w:r>
        <w:rPr>
          <w:rFonts w:ascii="Cambria Math" w:cs="Cambria Math" w:eastAsia="Cambria Math" w:hAnsi="Cambria Math"/>
          <w:i/>
          <w:iCs/>
          <w:sz w:val="22"/>
          <w:szCs w:val="22"/>
        </w:rPr>
        <w:t xml:space="preserve"> → Property Evaluation → Failure Analysis → Validation Evidence</w:t>
      </w:r>
    </w:p>
    <w:p>
      <w:pPr>
        <w:spacing w:after="140" w:line="300"/>
        <w:jc w:val="both"/>
      </w:pPr>
      <w:r>
        <w:rPr>
          <w:rFonts w:ascii="Cambria" w:cs="Cambria" w:eastAsia="Cambria" w:hAnsi="Cambria"/>
          <w:sz w:val="24"/>
          <w:szCs w:val="24"/>
        </w:rPr>
        <w:t xml:space="preserve">The fundamental scenario-level validation criterion is Pass(s)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while the framework-level validation can be expressed as: Valid(F)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This procedure establishes a distinction between functional correctness and security correctness.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 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 positive security property of granting legitimate access and the negative security property of preventing illegitimate access. The validation procedure also provides traceability between the final access decision and its supporting evidence. For each scenario, the decision can be interpreted as: Decision(s) = f(Identity, Authority, Consent, Threshold, Purpose, Scope, Lifecycle, Evidence). Consequently, validation does not merely determine whether the final output is ALLOW or DENY ; it also determines whether the underlying evidence is consistent with the decision. This is particularly important for a trust-aware framework because a correct decision without sufficient supporting evidence cannot provide strong assurance regarding how the decision was reached. The relationship between the six algorithms can therefore be represented as Algorithm 1 : Create Consent Algorithm 2 : Verify Identity and Authority Algorithm 3 : Establish Multi-Party Authorisation Algorithm 4 : Evaluate Access Request Algorithm 5 : Validate Temporal and Lifecycle State Algorithm 6 : Validate the Complete Framework 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 Design → Implementation → Execution → Observation → Verification → Validation The resulting validation methodology provides empirical evidence that the proposed authorisation model is not merely conceptually defined but is operationally enforceable and testable under legitimate, invalid, and adversarial conditions.</w:t>
      </w:r>
    </w:p>
    <w:p>
      <w:pPr>
        <w:pBdr>
          <w:top w:val="single" w:color="000000" w:sz="12"/>
          <w:bottom w:val="single" w:color="000000" w:sz="6"/>
        </w:pBdr>
        <w:spacing w:after="40" w:before="220"/>
      </w:pPr>
      <w:r>
        <w:rPr>
          <w:rFonts w:ascii="Cambria" w:cs="Cambria" w:eastAsia="Cambria" w:hAnsi="Cambria"/>
          <w:b/>
          <w:bCs/>
          <w:sz w:val="21"/>
          <w:szCs w:val="21"/>
        </w:rPr>
        <w:t xml:space="preserve">Algorithm 6 </w:t>
      </w:r>
      <w:r>
        <w:rPr>
          <w:rFonts w:ascii="Cambria" w:cs="Cambria" w:eastAsia="Cambria" w:hAnsi="Cambria"/>
          <w:sz w:val="21"/>
          <w:szCs w:val="21"/>
        </w:rPr>
        <w:t xml:space="preserve">Formal and Empirical Authorisation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Framework implementation F, validation scenarios S, security properties P</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Validation evidence and evaluation results</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Define expected authorisation properties P</w:t>
      </w:r>
    </w:p>
    <w:p>
      <w:pPr>
        <w:spacing w:after="20"/>
        <w:ind w:left="240"/>
      </w:pPr>
      <w:r>
        <w:rPr>
          <w:rFonts w:ascii="Cambria" w:cs="Cambria" w:eastAsia="Cambria" w:hAnsi="Cambria"/>
          <w:color w:val="555555"/>
          <w:sz w:val="18"/>
          <w:szCs w:val="18"/>
        </w:rPr>
        <w:t xml:space="preserve">2:  </w:t>
      </w:r>
      <w:r>
        <w:rPr>
          <w:rFonts w:ascii="Cambria" w:cs="Cambria" w:eastAsia="Cambria" w:hAnsi="Cambria"/>
          <w:sz w:val="21"/>
          <w:szCs w:val="21"/>
        </w:rPr>
        <w:t xml:space="preserve">Define valid scenarios S ∗ valid</w:t>
      </w:r>
    </w:p>
    <w:p>
      <w:pPr>
        <w:spacing w:after="20"/>
        <w:ind w:left="240"/>
      </w:pPr>
      <w:r>
        <w:rPr>
          <w:rFonts w:ascii="Cambria" w:cs="Cambria" w:eastAsia="Cambria" w:hAnsi="Cambria"/>
          <w:color w:val="555555"/>
          <w:sz w:val="18"/>
          <w:szCs w:val="18"/>
        </w:rPr>
        <w:t xml:space="preserve">3:  </w:t>
      </w:r>
      <w:r>
        <w:rPr>
          <w:rFonts w:ascii="Cambria" w:cs="Cambria" w:eastAsia="Cambria" w:hAnsi="Cambria"/>
          <w:sz w:val="21"/>
          <w:szCs w:val="21"/>
        </w:rPr>
        <w:t xml:space="preserve">Define negative scenarios S ∗ negative</w:t>
      </w:r>
    </w:p>
    <w:p>
      <w:pPr>
        <w:spacing w:after="20"/>
        <w:ind w:left="240"/>
      </w:pPr>
      <w:r>
        <w:rPr>
          <w:rFonts w:ascii="Cambria" w:cs="Cambria" w:eastAsia="Cambria" w:hAnsi="Cambria"/>
          <w:color w:val="555555"/>
          <w:sz w:val="18"/>
          <w:szCs w:val="18"/>
        </w:rPr>
        <w:t xml:space="preserve">4:  </w:t>
      </w:r>
      <w:r>
        <w:rPr>
          <w:rFonts w:ascii="Cambria" w:cs="Cambria" w:eastAsia="Cambria" w:hAnsi="Cambria"/>
          <w:sz w:val="21"/>
          <w:szCs w:val="21"/>
        </w:rPr>
        <w:t xml:space="preserve">Define adversarial scenarios S ∗ adv</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for</w:t>
      </w:r>
      <w:r>
        <w:rPr>
          <w:rFonts w:ascii="Cambria" w:cs="Cambria" w:eastAsia="Cambria" w:hAnsi="Cambria"/>
          <w:sz w:val="21"/>
          <w:szCs w:val="21"/>
        </w:rPr>
        <w:t xml:space="preserve"> each scenario s in S ∗ valid ∪ S ∗ negative ∪ S ∗ adv </w:t>
      </w:r>
      <w:r>
        <w:rPr>
          <w:rFonts w:ascii="Cambria" w:cs="Cambria" w:eastAsia="Cambria" w:hAnsi="Cambria"/>
          <w:b/>
          <w:bCs/>
          <w:sz w:val="21"/>
          <w:szCs w:val="21"/>
        </w:rPr>
        <w:t xml:space="preserve">do</w:t>
      </w:r>
    </w:p>
    <w:p>
      <w:pPr>
        <w:spacing w:after="20"/>
        <w:ind w:left="600"/>
      </w:pPr>
      <w:r>
        <w:rPr>
          <w:rFonts w:ascii="Cambria" w:cs="Cambria" w:eastAsia="Cambria" w:hAnsi="Cambria"/>
          <w:color w:val="555555"/>
          <w:sz w:val="18"/>
          <w:szCs w:val="18"/>
        </w:rPr>
        <w:t xml:space="preserve">6:  </w:t>
      </w:r>
      <w:r>
        <w:rPr>
          <w:rFonts w:ascii="Cambria" w:cs="Cambria" w:eastAsia="Cambria" w:hAnsi="Cambria"/>
          <w:sz w:val="21"/>
          <w:szCs w:val="21"/>
        </w:rPr>
        <w:t xml:space="preserve">Execute s using framework F</w:t>
      </w:r>
    </w:p>
    <w:p>
      <w:pPr>
        <w:spacing w:after="20"/>
        <w:ind w:left="600"/>
      </w:pPr>
      <w:r>
        <w:rPr>
          <w:rFonts w:ascii="Cambria" w:cs="Cambria" w:eastAsia="Cambria" w:hAnsi="Cambria"/>
          <w:color w:val="555555"/>
          <w:sz w:val="18"/>
          <w:szCs w:val="18"/>
        </w:rPr>
        <w:t xml:space="preserve">7:  </w:t>
      </w:r>
      <w:r>
        <w:rPr>
          <w:rFonts w:ascii="Cambria" w:cs="Cambria" w:eastAsia="Cambria" w:hAnsi="Cambria"/>
          <w:sz w:val="21"/>
          <w:szCs w:val="21"/>
        </w:rPr>
        <w:t xml:space="preserve">Collect authorisation decision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Collect identity, approval, policy, and audit evidence</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Compare observed decision with expected decision</w:t>
      </w:r>
    </w:p>
    <w:p>
      <w:pPr>
        <w:spacing w:after="20"/>
        <w:ind w:left="600"/>
      </w:pPr>
      <w:r>
        <w:rPr>
          <w:rFonts w:ascii="Cambria" w:cs="Cambria" w:eastAsia="Cambria" w:hAnsi="Cambria"/>
          <w:color w:val="555555"/>
          <w:sz w:val="18"/>
          <w:szCs w:val="18"/>
        </w:rPr>
        <w:t xml:space="preserve">10:  </w:t>
      </w:r>
      <w:r>
        <w:rPr>
          <w:rFonts w:ascii="Cambria" w:cs="Cambria" w:eastAsia="Cambria" w:hAnsi="Cambria"/>
          <w:sz w:val="21"/>
          <w:szCs w:val="21"/>
        </w:rPr>
        <w:t xml:space="preserve">Record pass or failure result</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for</w:t>
      </w:r>
    </w:p>
    <w:p>
      <w:pPr>
        <w:spacing w:after="20"/>
        <w:ind w:left="240"/>
      </w:pPr>
      <w:r>
        <w:rPr>
          <w:rFonts w:ascii="Cambria" w:cs="Cambria" w:eastAsia="Cambria" w:hAnsi="Cambria"/>
          <w:color w:val="555555"/>
          <w:sz w:val="18"/>
          <w:szCs w:val="18"/>
        </w:rPr>
        <w:t xml:space="preserve">12:  </w:t>
      </w:r>
      <w:r>
        <w:rPr>
          <w:rFonts w:ascii="Cambria" w:cs="Cambria" w:eastAsia="Cambria" w:hAnsi="Cambria"/>
          <w:sz w:val="21"/>
          <w:szCs w:val="21"/>
        </w:rPr>
        <w:t xml:space="preserve">Evaluate soundness property</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Evaluate denial property</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Evaluate threshold correctness</w:t>
      </w:r>
    </w:p>
    <w:p>
      <w:pPr>
        <w:spacing w:after="20"/>
        <w:ind w:left="240"/>
      </w:pPr>
      <w:r>
        <w:rPr>
          <w:rFonts w:ascii="Cambria" w:cs="Cambria" w:eastAsia="Cambria" w:hAnsi="Cambria"/>
          <w:color w:val="555555"/>
          <w:sz w:val="18"/>
          <w:szCs w:val="18"/>
        </w:rPr>
        <w:t xml:space="preserve">15:  </w:t>
      </w:r>
      <w:r>
        <w:rPr>
          <w:rFonts w:ascii="Cambria" w:cs="Cambria" w:eastAsia="Cambria" w:hAnsi="Cambria"/>
          <w:sz w:val="21"/>
          <w:szCs w:val="21"/>
        </w:rPr>
        <w:t xml:space="preserve">Evaluate policy-scope enforcement</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audit consistency</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Analyse failures and limitations</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return</w:t>
      </w:r>
      <w:r>
        <w:rPr>
          <w:rFonts w:ascii="Cambria" w:cs="Cambria" w:eastAsia="Cambria" w:hAnsi="Cambria"/>
          <w:sz w:val="21"/>
          <w:szCs w:val="21"/>
        </w:rPr>
        <w:t xml:space="preserve"> Validation results</w:t>
      </w:r>
    </w:p>
    <w:p>
      <w:pPr>
        <w:pBdr>
          <w:bottom w:val="single" w:color="000000" w:sz="12"/>
        </w:pBdr>
        <w:spacing w:after="60"/>
      </w:pPr>
    </w:p>
    <w:p>
      <w:pPr>
        <w:spacing w:after="160"/>
      </w:pPr>
    </w:p>
    <w:p>
      <w:pPr>
        <w:pStyle w:val="Heading3"/>
        <w:spacing w:after="160" w:before="280"/>
      </w:pPr>
      <w:r>
        <w:t xml:space="preserve">6.6.3  Algorithm 6: Formal and Empirical Authorisation Validation</w:t>
      </w:r>
    </w:p>
    <w:p>
      <w:pPr>
        <w:spacing w:after="140" w:line="300"/>
        <w:jc w:val="both"/>
      </w:pPr>
      <w:r>
        <w:rPr>
          <w:rFonts w:ascii="Cambria" w:cs="Cambria" w:eastAsia="Cambria" w:hAnsi="Cambria"/>
          <w:sz w:val="24"/>
          <w:szCs w:val="24"/>
        </w:rP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 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p>
      <w:pPr>
        <w:pStyle w:val="Heading2"/>
        <w:spacing w:after="160" w:before="280"/>
      </w:pPr>
      <w:r>
        <w:t xml:space="preserve">6.7  Algorithms and the Research Objectives</w:t>
      </w:r>
    </w:p>
    <w:p>
      <w:pPr>
        <w:spacing w:after="140" w:line="300"/>
        <w:jc w:val="both"/>
      </w:pPr>
      <w:r>
        <w:rPr>
          <w:rFonts w:ascii="Cambria" w:cs="Cambria" w:eastAsia="Cambria" w:hAnsi="Cambria"/>
          <w:sz w:val="24"/>
          <w:szCs w:val="24"/>
        </w:rP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 The final two algorithms extend this foundational mechanism. Algorithm 5 introduces temporal and lifecycle validity, while Algorithm 6 provides formal and empirical assurance of the complete framework. This structure reflects the staged research design in which current stage establishes the foundational authorisation mechanisms and CA3 investigates their</w:t>
      </w:r>
    </w:p>
    <w:p>
      <w:pPr>
        <w:spacing w:after="140" w:line="300"/>
        <w:jc w:val="both"/>
      </w:pPr>
      <w:r>
        <w:rPr>
          <w:rFonts w:ascii="Cambria" w:cs="Cambria" w:eastAsia="Cambria" w:hAnsi="Cambria"/>
          <w:sz w:val="24"/>
          <w:szCs w:val="24"/>
        </w:rPr>
        <w:t xml:space="preserve">dynamic validity, security assurance, and comprehensive practical effectiveness. The overall trust-oriented authorisation process can therefore be summarised as Trustworthy Access with </w:t>
      </w:r>
      <w:r>
        <w:rPr>
          <w:rFonts w:ascii="Cambria" w:cs="Cambria" w:eastAsia="Cambria" w:hAnsi="Cambria"/>
          <w:color w:val="000000"/>
          <w:sz w:val="24"/>
          <w:szCs w:val="24"/>
        </w:rPr>
        <w:t xml:space="preserve">1) Identity Trust,</w:t>
      </w:r>
      <w:r>
        <w:rPr>
          <w:rFonts w:ascii="Cambria" w:cs="Cambria" w:eastAsia="Cambria" w:hAnsi="Cambria"/>
          <w:sz w:val="24"/>
          <w:szCs w:val="24"/>
        </w:rPr>
        <w:t xml:space="preserve"> </w:t>
      </w:r>
      <w:r>
        <w:rPr>
          <w:rFonts w:ascii="Cambria" w:cs="Cambria" w:eastAsia="Cambria" w:hAnsi="Cambria"/>
          <w:color w:val="000000"/>
          <w:sz w:val="24"/>
          <w:szCs w:val="24"/>
        </w:rPr>
        <w:t xml:space="preserve">2)</w:t>
      </w:r>
      <w:r>
        <w:rPr>
          <w:rFonts w:ascii="Cambria" w:cs="Cambria" w:eastAsia="Cambria" w:hAnsi="Cambria"/>
          <w:sz w:val="24"/>
          <w:szCs w:val="24"/>
        </w:rPr>
        <w:t xml:space="preserve"> Authority Trust, </w:t>
      </w:r>
      <w:r>
        <w:rPr>
          <w:rFonts w:ascii="Cambria" w:cs="Cambria" w:eastAsia="Cambria" w:hAnsi="Cambria"/>
          <w:color w:val="000000"/>
          <w:sz w:val="24"/>
          <w:szCs w:val="24"/>
        </w:rPr>
        <w:t xml:space="preserve">3)</w:t>
      </w:r>
      <w:r>
        <w:rPr>
          <w:rFonts w:ascii="Cambria" w:cs="Cambria" w:eastAsia="Cambria" w:hAnsi="Cambria"/>
          <w:sz w:val="24"/>
          <w:szCs w:val="24"/>
        </w:rPr>
        <w:t xml:space="preserve"> Collective Authorisation, </w:t>
      </w:r>
      <w:r>
        <w:rPr>
          <w:rFonts w:ascii="Cambria" w:cs="Cambria" w:eastAsia="Cambria" w:hAnsi="Cambria"/>
          <w:color w:val="000000"/>
          <w:sz w:val="24"/>
          <w:szCs w:val="24"/>
        </w:rPr>
        <w:t xml:space="preserve">4)</w:t>
      </w:r>
      <w:r>
        <w:rPr>
          <w:rFonts w:ascii="Cambria" w:cs="Cambria" w:eastAsia="Cambria" w:hAnsi="Cambria"/>
          <w:sz w:val="24"/>
          <w:szCs w:val="24"/>
        </w:rPr>
        <w:t xml:space="preserve"> Policy Compliance, </w:t>
      </w:r>
      <w:r>
        <w:rPr>
          <w:rFonts w:ascii="Cambria" w:cs="Cambria" w:eastAsia="Cambria" w:hAnsi="Cambria"/>
          <w:color w:val="000000"/>
          <w:sz w:val="24"/>
          <w:szCs w:val="24"/>
        </w:rPr>
        <w:t xml:space="preserve">5) </w:t>
      </w:r>
      <w:r>
        <w:rPr>
          <w:rFonts w:ascii="Cambria" w:cs="Cambria" w:eastAsia="Cambria" w:hAnsi="Cambria"/>
          <w:sz w:val="24"/>
          <w:szCs w:val="24"/>
        </w:rPr>
        <w:t xml:space="preserve">Temporal and Lifecycle Trust. For the current stage implementation, the operational decision is based on</w:t>
      </w:r>
    </w:p>
    <w:p>
      <w:pPr>
        <w:spacing w:after="140" w:line="300"/>
        <w:jc w:val="both"/>
      </w:pPr>
      <w:r>
        <w:rPr>
          <w:rFonts w:ascii="Cambria" w:cs="Cambria" w:eastAsia="Cambria" w:hAnsi="Cambria"/>
          <w:color w:val="000000"/>
          <w:sz w:val="24"/>
          <w:szCs w:val="24"/>
        </w:rPr>
        <w:t xml:space="preserve">Algorithms 1–5 are all realised in the current prototype, and the empirical branch of Algorithm 6 has been executed against it. Consequently, only the formal-assurance branch, together with configurable k-of-n thresholds and authenticated requesters, remains for the next stage.</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(69)</w:t>
      </w:r>
    </w:p>
    <w:p>
      <w:pPr>
        <w:spacing w:after="140" w:line="300"/>
        <w:jc w:val="both"/>
      </w:pPr>
      <w:r>
        <w:rPr>
          <w:rFonts w:ascii="Cambria" w:cs="Cambria" w:eastAsia="Cambria" w:hAnsi="Cambria"/>
          <w:sz w:val="24"/>
          <w:szCs w:val="24"/>
        </w:rPr>
        <w:t xml:space="preserve">The CA3 extension incorporates temporal and lifecycle conditions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(70)</w:t>
      </w:r>
    </w:p>
    <w:p>
      <w:pPr>
        <w:spacing w:after="140" w:line="300"/>
        <w:jc w:val="both"/>
      </w:pPr>
      <w:r>
        <w:rPr>
          <w:rFonts w:ascii="Cambria" w:cs="Cambria" w:eastAsia="Cambria" w:hAnsi="Cambria"/>
          <w:color w:val="000000"/>
          <w:sz w:val="24"/>
          <w:szCs w:val="24"/>
        </w:rPr>
        <w:t xml:space="preserve">The implemented system enforces the complete rule of Equation (70): access is granted only when all five predicates hold, revocation is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and every decision, whether granted or denied, is logged together with the full decision matrix; Equation (69) is retained as the historical current-stage formulation.</w:t>
      </w:r>
    </w:p>
    <w:p>
      <w:pPr>
        <w:spacing w:after="140" w:line="300"/>
        <w:jc w:val="both"/>
      </w:pPr>
      <w:r>
        <w:rPr>
          <w:rFonts w:ascii="Cambria" w:cs="Cambria" w:eastAsia="Cambria" w:hAnsi="Cambria"/>
          <w:sz w:val="24"/>
          <w:szCs w:val="24"/>
        </w:rPr>
        <w:t xml:space="preserve">These equations demonstrate that trust is not provided by blockchain alone. Blockchain contributes integrity, tamper resistance, persistence, and auditability.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p>
      <w:pPr>
        <w:spacing w:after="140" w:line="300"/>
        <w:jc w:val="both"/>
      </w:pPr>
      <w:r>
        <w:rPr>
          <w:rFonts w:ascii="Cambria" w:cs="Cambria" w:eastAsia="Cambria" w:hAnsi="Cambria"/>
          <w:color w:val="000000"/>
          <w:sz w:val="24"/>
          <w:szCs w:val="24"/>
        </w:rPr>
        <w:t xml:space="preserve">The remainder of this chapter moves from the formal design to its realisation. Section 6.8 presents the implemented HALAH system and its live demonstration on the Sepolia test network, so that every algorithm introduced above can be traced to observable behaviour and to publicly verifiable on-chain transactions.</w:t>
      </w:r>
    </w:p>
    <w:p>
      <w:pPr>
        <w:pStyle w:val="Heading2"/>
        <w:pageBreakBefore/>
        <w:spacing w:after="160" w:before="280"/>
      </w:pPr>
      <w:r>
        <w:rPr>
          <w:color w:val="000000"/>
        </w:rPr>
        <w:t xml:space="preserve">6.8  Implementation and Live Demonstration of the Proposed Solution</w:t>
      </w:r>
    </w:p>
    <w:p>
      <w:pPr>
        <w:spacing w:after="140" w:line="300"/>
        <w:jc w:val="both"/>
      </w:pPr>
      <w:r>
        <w:rPr>
          <w:rFonts w:ascii="Cambria" w:cs="Cambria" w:eastAsia="Cambria" w:hAnsi="Cambria"/>
          <w:color w:val="000000"/>
          <w:sz w:val="24"/>
          <w:szCs w:val="24"/>
        </w:rPr>
        <w:t xml:space="preserve">The HALAH implementation provides a role-based patient consent management environment that operationalises the proposed multi-party healthcare data-sharing framework. The subsystem is organised around four principal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and cryptographically activated on a public blockchain. It is then continuously checked for validity, subsequently used to control access to specific electronic medical record (EMR) modules, and finally revoked by the patient.</w:t>
      </w:r>
    </w:p>
    <w:p>
      <w:pPr>
        <w:spacing w:after="140" w:line="300"/>
        <w:jc w:val="both"/>
      </w:pPr>
      <w:r>
        <w:rPr>
          <w:rFonts w:ascii="Cambria" w:cs="Cambria" w:eastAsia="Cambria" w:hAnsi="Cambria"/>
          <w:color w:val="000000"/>
          <w:sz w:val="24"/>
          <w:szCs w:val="24"/>
        </w:rPr>
        <w:t xml:space="preserve">The activation and revocation of a consent are not confined to the application. Instead, they are executed as real transactions on the </w:t>
      </w:r>
      <w:r>
        <w:rPr>
          <w:rFonts w:ascii="Cambria" w:cs="Cambria" w:eastAsia="Cambria" w:hAnsi="Cambria"/>
          <w:b/>
          <w:bCs/>
          <w:color w:val="000000"/>
          <w:sz w:val="24"/>
          <w:szCs w:val="24"/>
        </w:rPr>
        <w:t xml:space="preserve">Ethereum Sepolia</w:t>
      </w:r>
      <w:r>
        <w:rPr>
          <w:rFonts w:ascii="Cambria" w:cs="Cambria" w:eastAsia="Cambria" w:hAnsi="Cambria"/>
          <w:color w:val="000000"/>
          <w:sz w:val="24"/>
          <w:szCs w:val="24"/>
        </w:rPr>
        <w:t xml:space="preserve"> test network. Consequently, the essential state changes of a consent can be verified by any third party on a public block explorer. The overall workflow implemented by the system is therefore consistent with the proposed authorisation model as</w:t>
      </w:r>
    </w:p>
    <w:p>
      <w:pPr>
        <w:spacing w:after="160" w:before="60"/>
        <w:jc w:val="center"/>
      </w:pPr>
      <w:r>
        <w:rPr>
          <w:rFonts w:ascii="Cambria Math" w:cs="Cambria Math" w:eastAsia="Cambria Math" w:hAnsi="Cambria Math"/>
          <w:i/>
          <w:iCs/>
          <w:color w:val="000000"/>
          <w:sz w:val="22"/>
          <w:szCs w:val="22"/>
        </w:rPr>
        <w:t xml:space="preserve">Create Consent → Guardian Approval → Multi-signature Validation → On-chain Consent Activation</w:t>
      </w:r>
    </w:p>
    <w:p>
      <w:pPr>
        <w:spacing w:after="160" w:before="60"/>
        <w:jc w:val="center"/>
      </w:pPr>
      <w:r>
        <w:rPr>
          <w:rFonts w:ascii="Cambria Math" w:cs="Cambria Math" w:eastAsia="Cambria Math" w:hAnsi="Cambria Math"/>
          <w:i/>
          <w:iCs/>
          <w:color w:val="000000"/>
          <w:sz w:val="22"/>
          <w:szCs w:val="22"/>
        </w:rPr>
        <w:t xml:space="preserve">→ Doctor Access → Consent Revocation → Independent Audit</w:t>
      </w:r>
    </w:p>
    <w:p>
      <w:pPr>
        <w:spacing w:after="140" w:line="300"/>
        <w:jc w:val="both"/>
      </w:pPr>
      <w:r>
        <w:rPr>
          <w:rFonts w:ascii="Cambria" w:cs="Cambria" w:eastAsia="Cambria" w:hAnsi="Cambria"/>
          <w:color w:val="000000"/>
          <w:sz w:val="24"/>
          <w:szCs w:val="24"/>
        </w:rPr>
        <w:t xml:space="preserve">This sequence provides an end-to-end demonstration of how the conceptual consent model is translated into an operational healthcare data-sharing process. Each stage is documented below with a screenshot of the running system and, where the stage produces a blockchain transaction, with the corresponding transaction on Sepolia Etherscan.</w:t>
      </w:r>
    </w:p>
    <w:p>
      <w:pPr>
        <w:spacing w:after="140" w:line="300"/>
        <w:jc w:val="both"/>
      </w:pPr>
      <w:r>
        <w:rPr>
          <w:rFonts w:ascii="Cambria" w:cs="Cambria" w:eastAsia="Cambria" w:hAnsi="Cambria"/>
          <w:color w:val="000000"/>
          <w:sz w:val="24"/>
          <w:szCs w:val="24"/>
        </w:rPr>
        <w:t xml:space="preserve">This operational sequence realises the trust-oriented authorisation model developed in the preceding sections of this chapter. The consent object of Eq. (51), the identity and authority verification of Algorithm 2, the threshold-based multi-party authorisation of Algorithm 3, and the trust-predicate evaluation of Figure 8 are each exercised in this workflow by a real transaction on the Ethereum Sepolia test network, so the conceptual model and the running system can be verified against one another.</w:t>
      </w:r>
    </w:p>
    <w:p>
      <w:pPr>
        <w:pStyle w:val="Heading3"/>
        <w:spacing w:after="160" w:before="280"/>
      </w:pPr>
      <w:r>
        <w:rPr>
          <w:color w:val="000000"/>
        </w:rPr>
        <w:t xml:space="preserve">6.8.1  The HALAH System</w:t>
      </w:r>
    </w:p>
    <w:p>
      <w:pPr>
        <w:spacing w:after="140" w:line="300"/>
        <w:jc w:val="both"/>
      </w:pPr>
      <w:r>
        <w:rPr>
          <w:rFonts w:ascii="Cambria" w:cs="Cambria" w:eastAsia="Cambria" w:hAnsi="Cambria"/>
          <w:color w:val="000000"/>
          <w:sz w:val="24"/>
          <w:szCs w:val="24"/>
        </w:rPr>
        <w:t xml:space="preserve">The main HALAH subsystem presents itself as a Patient Consent Management Platform for History Access by Authorised Healthcare Providers. The subsystem provides a role-oriented environment in which different participants interact with the same consent lifecycle according to their respective authorisation responsibilities.</w:t>
      </w:r>
    </w:p>
    <w:p>
      <w:pPr>
        <w:spacing w:after="140" w:line="300"/>
        <w:jc w:val="both"/>
      </w:pPr>
      <w:r>
        <w:rPr>
          <w:rFonts w:ascii="Cambria" w:cs="Cambria" w:eastAsia="Cambria" w:hAnsi="Cambria"/>
          <w:color w:val="000000"/>
          <w:sz w:val="24"/>
          <w:szCs w:val="24"/>
        </w:rP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on-chain anchoring and audit recording.</w:t>
      </w:r>
    </w:p>
    <w:p>
      <w:pPr>
        <w:spacing w:after="140" w:line="300"/>
        <w:jc w:val="both"/>
      </w:pPr>
      <w:r>
        <w:rPr>
          <w:rFonts w:ascii="Cambria" w:cs="Cambria" w:eastAsia="Cambria" w:hAnsi="Cambria"/>
          <w:color w:val="000000"/>
          <w:sz w:val="24"/>
          <w:szCs w:val="24"/>
        </w:rPr>
        <w:t xml:space="preserve">This design corresponds to the overall HALAH architecture, in which decentralised identifiers (DIDs) provide identity pointers, the consent object defines the authorisation conditions, cryptographic signatures provide evidence of approval, and the blockchain-based ledger provides lifecycle traceability.</w:t>
      </w:r>
    </w:p>
    <w:p>
      <w:pPr>
        <w:keepNext/>
        <w:spacing w:after="60" w:before="140"/>
        <w:jc w:val="center"/>
      </w:pPr>
      <w:r>
        <w:drawing>
          <wp:inline distT="0" distB="0" distL="0" distR="0">
            <wp:extent cx="5715000" cy="3257550"/>
            <wp:effectExtent t="0" r="0" b="0" l="0"/>
            <wp:docPr id="1" name="n_compile.png" descr="Figure 17: Compilation of ConsentSBTv3 in Remix: the compiler reports a successful compilation and the contract is selected for deployment." title="Figure 17: Compilation of ConsentSBTv3 in Remix: the compiler reports a successful compilation and the contract is selected fo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57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17: Compilation of ConsentSBTv3 in Remix: the compiler reports a successful compilation and the contract is selected for deployment.</w:t>
      </w:r>
    </w:p>
    <w:p>
      <w:pPr>
        <w:spacing w:after="140" w:line="300"/>
        <w:jc w:val="both"/>
      </w:pPr>
      <w:r>
        <w:rPr>
          <w:rFonts w:ascii="Cambria" w:cs="Cambria" w:eastAsia="Cambria" w:hAnsi="Cambria"/>
          <w:color w:val="000000"/>
          <w:sz w:val="24"/>
          <w:szCs w:val="24"/>
        </w:rPr>
        <w:t xml:space="preserve">As shown in the figure above, the consent token contract, </w:t>
      </w:r>
      <w:r>
        <w:rPr>
          <w:rFonts w:ascii="Cambria" w:cs="Cambria" w:eastAsia="Cambria" w:hAnsi="Cambria"/>
          <w:b/>
          <w:bCs/>
          <w:color w:val="000000"/>
          <w:sz w:val="24"/>
          <w:szCs w:val="24"/>
        </w:rPr>
        <w:t xml:space="preserve">ConsentSBTv3</w:t>
      </w:r>
      <w:r>
        <w:rPr>
          <w:rFonts w:ascii="Cambria" w:cs="Cambria" w:eastAsia="Cambria" w:hAnsi="Cambria"/>
          <w:color w:val="000000"/>
          <w:sz w:val="24"/>
          <w:szCs w:val="24"/>
        </w:rPr>
        <w:t xml:space="preserve">, was first compiled in Remix without errors; the deployment record lists solc 0.8.34 with the optimiser enabled. The contract was then deployed to the Sepolia test network from the project test wallet through MetaMask. The contract implements a soulbound ERC-721 token. Transfers between accounts are blocked. Consequently, an activated consent can never be traded or moved; burning is possible only through the ERC-5484 consensual-burn interface. Each token stores the pseudonymous patient and requester addresses, a hash of the purpose, the validity window, a two-letter jurisdiction code and a revocation flag. The purpose is stored only as a keccak256 hash, and no medical content is written to the chain; the plaintext purpose and the EMR data remain in the application.</w:t>
      </w:r>
    </w:p>
    <w:p>
      <w:pPr>
        <w:keepNext/>
        <w:spacing w:after="60" w:before="140"/>
        <w:jc w:val="center"/>
      </w:pPr>
      <w:r>
        <w:drawing>
          <wp:inline distT="0" distB="0" distL="0" distR="0">
            <wp:extent cx="5334000" cy="5124450"/>
            <wp:effectExtent t="0" r="0" b="0" l="0"/>
            <wp:docPr id="1" name="g_deploy.png" descr="Figure 18: Deployment of ConsentSBTv3 from Remix through MetaMask on the Sepolia network." title="Figure 18: Deployment of ConsentSBTv3 from Remix through MetaMask on the Sepoli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5124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18: Deployment of ConsentSBTv3 from Remix through MetaMask on the Sepolia network.</w:t>
      </w:r>
    </w:p>
    <w:p>
      <w:pPr>
        <w:spacing w:after="140" w:line="300"/>
        <w:jc w:val="both"/>
      </w:pPr>
      <w:r>
        <w:rPr>
          <w:rFonts w:ascii="Cambria" w:cs="Cambria" w:eastAsia="Cambria" w:hAnsi="Cambria"/>
          <w:color w:val="000000"/>
          <w:sz w:val="24"/>
          <w:szCs w:val="24"/>
        </w:rPr>
        <w:t xml:space="preserve">As shown in the figure above, the deployment is an ordinary Ethereum transaction that the wallet owner must explicitly confirm: the project test wallet (displayed as BNHP Ministry Test Wallet) shows the target network (Sepolia), the estimated network fee and the account nonce before the contract is created. This is important because it demonstrates that consent activation in HALAH ultimately rests on the same transaction-signing discipline as any other blockchain operation.</w:t>
      </w:r>
    </w:p>
    <w:p>
      <w:pPr>
        <w:keepNext/>
        <w:spacing w:after="60" w:before="140"/>
        <w:jc w:val="center"/>
      </w:pPr>
      <w:r>
        <w:drawing>
          <wp:inline distT="0" distB="0" distL="0" distR="0">
            <wp:extent cx="5524500" cy="4105275"/>
            <wp:effectExtent t="0" r="0" b="0" l="0"/>
            <wp:docPr id="1" name="n_verified.png" descr="Figure 19: Remix after deployment: the contract appears under Deployed Contracts and the source verification service reports Verification Successful." title="Figure 19: Remix after deployment: the contract appears under Deployed Contracts and the source verification service reports Verification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4105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19: Remix after deployment: the contract appears under Deployed Contracts and the source verification service reports Verification Successful.</w:t>
      </w:r>
    </w:p>
    <w:p>
      <w:pPr>
        <w:spacing w:after="140" w:line="300"/>
        <w:jc w:val="both"/>
      </w:pPr>
      <w:r>
        <w:rPr>
          <w:rFonts w:ascii="Cambria" w:cs="Cambria" w:eastAsia="Cambria" w:hAnsi="Cambria"/>
          <w:color w:val="000000"/>
          <w:sz w:val="24"/>
          <w:szCs w:val="24"/>
        </w:rPr>
        <w:t xml:space="preserve">As shown in the figure above, the deployed instance is listed in Remix under Deployed Contracts, and the source code was submitted for verification, which completed with Verification Successful. This is important because it ties the published bytecode on Sepolia to the audited Solidity source, so any party can confirm which rules the consent registry actually enforces.</w:t>
      </w:r>
    </w:p>
    <w:p>
      <w:pPr>
        <w:keepNext/>
        <w:spacing w:after="60" w:before="140"/>
        <w:jc w:val="center"/>
      </w:pPr>
      <w:r>
        <w:drawing>
          <wp:inline distT="0" distB="0" distL="0" distR="0">
            <wp:extent cx="5715000" cy="2486025"/>
            <wp:effectExtent t="0" r="0" b="0" l="0"/>
            <wp:docPr id="1" name="g_etherscan.png" descr="Figure 20: The deployed contract on Sepolia Etherscan, with the creator wallet, the MedicalConsent (CONSENT) token tracker and the first mint transaction." title="Figure 20: The deployed contract on Sepolia Etherscan, with the creator wallet, the MedicalConsent (CONSENT) token tracker and the first mint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20: The deployed contract on Sepolia Etherscan, with the creator wallet, the MedicalConsent (CONSENT) token tracker and the first mint transaction.</w:t>
      </w:r>
    </w:p>
    <w:p>
      <w:pPr>
        <w:spacing w:after="140" w:line="300"/>
        <w:jc w:val="both"/>
      </w:pPr>
      <w:r>
        <w:rPr>
          <w:rFonts w:ascii="Cambria" w:cs="Cambria" w:eastAsia="Cambria" w:hAnsi="Cambria"/>
          <w:color w:val="000000"/>
          <w:sz w:val="24"/>
          <w:szCs w:val="24"/>
        </w:rPr>
        <w:t xml:space="preserve">As shown in the figure above, the deployed contract is publicly listed at 0x0EC3617581DEC63A7f2bb162DC14d088916ADc73 on Sepolia Etherscan, together with its creator wallet and the token tracker MedicalConsent (CONSENT). Consequently, the existence of the consent registry itself, and every activation or revocation recorded on it, can be inspected independently of the HALAH application.</w:t>
      </w:r>
    </w:p>
    <w:p>
      <w:pPr>
        <w:pStyle w:val="Heading3"/>
        <w:spacing w:after="160" w:before="280"/>
      </w:pPr>
      <w:r>
        <w:rPr>
          <w:color w:val="000000"/>
        </w:rPr>
        <w:t xml:space="preserve">6.8.2  Create Smart Consent Contract: Patient Subsystem</w:t>
      </w:r>
    </w:p>
    <w:p>
      <w:pPr>
        <w:spacing w:after="140" w:line="300"/>
        <w:jc w:val="both"/>
      </w:pPr>
      <w:r>
        <w:rPr>
          <w:rFonts w:ascii="Cambria" w:cs="Cambria" w:eastAsia="Cambria" w:hAnsi="Cambria"/>
          <w:color w:val="000000"/>
          <w:sz w:val="24"/>
          <w:szCs w:val="24"/>
        </w:rPr>
        <w:t xml:space="preserve">The first functional subsystem is the Create Smart Consent Contract module. This module represents the patient-side initiation of a consent transaction and corresponds directly to the construction of the proposed consent object.</w:t>
      </w:r>
    </w:p>
    <w:p>
      <w:pPr>
        <w:spacing w:after="140" w:line="300"/>
        <w:jc w:val="both"/>
      </w:pPr>
      <w:r>
        <w:rPr>
          <w:rFonts w:ascii="Cambria" w:cs="Cambria" w:eastAsia="Cambria" w:hAnsi="Cambria"/>
          <w:color w:val="000000"/>
          <w:sz w:val="24"/>
          <w:szCs w:val="24"/>
        </w:rPr>
        <w:t xml:space="preserve">The subsystem requires the patient to specify the Patient DID, Authorised Doctor DID, Data Access Scope, Designated Guardian DIDs, the Jurisdiction, and the temporal validity of the consent. These fields collectively operationalise the proposed consent representation:</w:t>
      </w:r>
    </w:p>
    <w:p>
      <w:pPr>
        <w:spacing w:after="160" w:before="60"/>
        <w:jc w:val="center"/>
      </w:pPr>
      <w:r>
        <w:rPr>
          <w:rFonts w:ascii="Cambria Math" w:cs="Cambria Math" w:eastAsia="Cambria Math" w:hAnsi="Cambria Math"/>
          <w:i/>
          <w:iCs/>
          <w:color w:val="000000"/>
          <w:sz w:val="22"/>
          <w:szCs w:val="22"/>
        </w:rPr>
        <w:t xml:space="preserve">C = (I, A, P, T, L, E)</w:t>
      </w:r>
    </w:p>
    <w:p>
      <w:pPr>
        <w:spacing w:after="140" w:line="300"/>
        <w:jc w:val="both"/>
      </w:pPr>
      <w:r>
        <w:rPr>
          <w:rFonts w:ascii="Cambria" w:cs="Cambria" w:eastAsia="Cambria" w:hAnsi="Cambria"/>
          <w:color w:val="000000"/>
          <w:sz w:val="24"/>
          <w:szCs w:val="24"/>
        </w:rPr>
        <w:t xml:space="preserve">where the identity of the patient is represented through a DID, the authorised actor is explicitly specified, the permitted data scope is constrained to selected EMR modules, the temporal fields define when the authorisation becomes valid and when it expires, the jurisdiction field constrains where the consent may be exercised, and the enforcement state records whether the consent is active or revoked.</w:t>
      </w:r>
    </w:p>
    <w:p>
      <w:pPr>
        <w:spacing w:after="140" w:line="300"/>
        <w:jc w:val="both"/>
      </w:pPr>
      <w:r>
        <w:rPr>
          <w:rFonts w:ascii="Cambria" w:cs="Cambria" w:eastAsia="Cambria" w:hAnsi="Cambria"/>
          <w:color w:val="000000"/>
          <w:sz w:val="24"/>
          <w:szCs w:val="24"/>
        </w:rPr>
        <w:t xml:space="preserve">The form fields therefore instantiate the consent object defined in Section 6.1. </w:t>
      </w:r>
      <w:r>
        <w:rPr>
          <w:rFonts w:ascii="Cambria" w:cs="Cambria" w:eastAsia="Cambria" w:hAnsi="Cambria"/>
          <w:color w:val="000000"/>
          <w:sz w:val="24"/>
          <w:szCs w:val="24"/>
        </w:rPr>
        <w:t xml:space="preserve">The demonstrated representation realises the six-component object C = (I, A, P, T, L, E) of Eq. (51) and Figure 11</w:t>
      </w:r>
      <w:r>
        <w:rPr>
          <w:rFonts w:ascii="Cambria" w:cs="Cambria" w:eastAsia="Cambria" w:hAnsi="Cambria"/>
          <w:color w:val="000000"/>
          <w:sz w:val="24"/>
          <w:szCs w:val="24"/>
        </w:rPr>
        <w:t xml:space="preserve">, in which the temporal validity window T, captured through the Start Time and Expiry Time fields, and the jurisdiction L are stored on-chain by the deployed ConsentSBTv3 contract and evaluated at every access decision.</w:t>
      </w:r>
    </w:p>
    <w:p>
      <w:pPr>
        <w:keepNext/>
        <w:spacing w:after="60" w:before="140"/>
        <w:jc w:val="center"/>
      </w:pPr>
      <w:r>
        <w:drawing>
          <wp:inline distT="0" distB="0" distL="0" distR="0">
            <wp:extent cx="5334000" cy="3943350"/>
            <wp:effectExtent t="0" r="0" b="0" l="0"/>
            <wp:docPr id="1" name="M1.png" descr="Figure 21: The patient subsystem after consent creation: four EMR modules, two designated guardians, jurisdiction AU, and the state PENDING_SIGNATURE." title="Figure 21: The patient subsystem after consent creation: four EMR modules, two designated guardians, jurisdiction AU, and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21: The patient subsystem after consent creation: four EMR modules, two designated guardians, jurisdiction AU, and the state PENDING_SIGNATURE.</w:t>
      </w:r>
    </w:p>
    <w:p>
      <w:pPr>
        <w:spacing w:after="140" w:line="300"/>
        <w:jc w:val="both"/>
      </w:pPr>
      <w:r>
        <w:rPr>
          <w:rFonts w:ascii="Cambria" w:cs="Cambria" w:eastAsia="Cambria" w:hAnsi="Cambria"/>
          <w:color w:val="000000"/>
          <w:sz w:val="24"/>
          <w:szCs w:val="24"/>
        </w:rPr>
        <w:t xml:space="preserve">As shown in the figure above, the Patient DID provides the identity pointer for the data subject, while the Authorised Doctor DID limits the intended healthcare recipient. This is important because the implementation does not represent consent as a general permission to access a patient's medical information. Instead, the authorisation is bound to a specific identity and therefore supports subject-specific and actor-specific access control.</w:t>
      </w:r>
    </w:p>
    <w:p>
      <w:pPr>
        <w:spacing w:after="140" w:line="300"/>
        <w:jc w:val="both"/>
      </w:pPr>
      <w:r>
        <w:rPr>
          <w:rFonts w:ascii="Cambria" w:cs="Cambria" w:eastAsia="Cambria" w:hAnsi="Cambria"/>
          <w:color w:val="000000"/>
          <w:sz w:val="24"/>
          <w:szCs w:val="24"/>
        </w:rPr>
        <w:t xml:space="preserve">The Data Access Scope is particularly important to the proposed framework. Instead of granting access to the complete EMR, the patient selects particular modules; in the demonstrated transaction all four modules (Observation, Medication, Condition and Procedure) were selected. This implements the principle of purpose- and scope-limited consent and corresponds to the P component of the consent object. The implementation additionally validates the input before the consent is stored: a consent with an empty data scope is rejected, and every guardian entry must be a well-formed DID.</w:t>
      </w:r>
    </w:p>
    <w:p>
      <w:pPr>
        <w:spacing w:after="140" w:line="300"/>
        <w:jc w:val="both"/>
      </w:pPr>
      <w:r>
        <w:rPr>
          <w:rFonts w:ascii="Cambria" w:cs="Cambria" w:eastAsia="Cambria" w:hAnsi="Cambria"/>
          <w:color w:val="000000"/>
          <w:sz w:val="24"/>
          <w:szCs w:val="24"/>
        </w:rPr>
        <w:t xml:space="preserve">The Designated Guardian DIDs 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spacing w:after="140" w:line="300"/>
        <w:jc w:val="both"/>
      </w:pPr>
      <w:r>
        <w:rPr>
          <w:rFonts w:ascii="Cambria" w:cs="Cambria" w:eastAsia="Cambria" w:hAnsi="Cambria"/>
          <w:color w:val="000000"/>
          <w:sz w:val="24"/>
          <w:szCs w:val="24"/>
        </w:rPr>
        <w:t xml:space="preserve">Finally, the Start Time and Expiry Time implement temporal constraints on the consent, and the Jurisdiction field records the legal territory (AU in the demonstrated transaction). Consequently, authorisation is not represented as a permanent or universal permission. Instead, the consent has a defined lifecycle and territory and can subsequently be evaluated by the Consent Engine according to both. At this point the consent exists only in the application ledger, in the state PENDING_SIGNATURE; nothing is written to the blockchain until the guardians have approved.</w:t>
      </w:r>
    </w:p>
    <w:p>
      <w:pPr>
        <w:spacing w:after="140" w:line="300"/>
        <w:jc w:val="both"/>
      </w:pPr>
      <w:r>
        <w:rPr>
          <w:rFonts w:ascii="Cambria" w:cs="Cambria" w:eastAsia="Cambria" w:hAnsi="Cambria"/>
          <w:color w:val="000000"/>
          <w:sz w:val="24"/>
          <w:szCs w:val="24"/>
        </w:rPr>
        <w:t xml:space="preserve">Two consent lifecycles appear in the demonstration and should be distinguished. The evaluated consent, f050c29a, was carried through the complete lifecycle — activation as </w:t>
      </w:r>
      <w:r>
        <w:rPr>
          <w:rFonts w:ascii="Cambria" w:cs="Cambria" w:eastAsia="Cambria" w:hAnsi="Cambria"/>
          <w:b/>
          <w:bCs/>
          <w:color w:val="000000"/>
          <w:sz w:val="24"/>
          <w:szCs w:val="24"/>
        </w:rPr>
        <w:t xml:space="preserve">token #1</w:t>
      </w:r>
      <w:r>
        <w:rPr>
          <w:rFonts w:ascii="Cambria" w:cs="Cambria" w:eastAsia="Cambria" w:hAnsi="Cambria"/>
          <w:color w:val="000000"/>
          <w:sz w:val="24"/>
          <w:szCs w:val="24"/>
        </w:rPr>
        <w:t xml:space="preserve">, granted access, refused access and final revocation — and all transaction evidence in this chapter follows it. Because a revoked consent cannot be photographed in its earlier states, the screenshots of consent creation, guardian approval and granted access were captured from a second lifecycle with the same configuration — the same four-module scope, the same guardians, jurisdiction, purpose and doctor — executed for a different demonstration patient (consent 04da25f5, anchored as </w:t>
      </w:r>
      <w:r>
        <w:rPr>
          <w:rFonts w:ascii="Cambria" w:cs="Cambria" w:eastAsia="Cambria" w:hAnsi="Cambria"/>
          <w:b/>
          <w:bCs/>
          <w:color w:val="000000"/>
          <w:sz w:val="24"/>
          <w:szCs w:val="24"/>
        </w:rPr>
        <w:t xml:space="preserve">token #2</w:t>
      </w:r>
      <w:r>
        <w:rPr>
          <w:rFonts w:ascii="Cambria" w:cs="Cambria" w:eastAsia="Cambria" w:hAnsi="Cambria"/>
          <w:color w:val="000000"/>
          <w:sz w:val="24"/>
          <w:szCs w:val="24"/>
        </w:rPr>
        <w:t xml:space="preserve"> in block 11,771,581). The two lifecycles were executed with the same code and the same contract.</w:t>
      </w:r>
    </w:p>
    <w:p>
      <w:pPr>
        <w:spacing w:after="140" w:line="300"/>
        <w:jc w:val="both"/>
      </w:pPr>
      <w:r>
        <w:rPr>
          <w:rFonts w:ascii="Cambria" w:cs="Cambria" w:eastAsia="Cambria" w:hAnsi="Cambria"/>
          <w:color w:val="000000"/>
          <w:sz w:val="24"/>
          <w:szCs w:val="24"/>
        </w:rPr>
        <w:t xml:space="preserve">From a system perspective, this module therefore corresponds primarily to </w:t>
      </w:r>
      <w:r>
        <w:rPr>
          <w:rFonts w:ascii="Cambria" w:cs="Cambria" w:eastAsia="Cambria" w:hAnsi="Cambria"/>
          <w:b/>
          <w:bCs/>
          <w:color w:val="000000"/>
          <w:sz w:val="24"/>
          <w:szCs w:val="24"/>
        </w:rPr>
        <w:t xml:space="preserve">Consent Object Construction and Patient Initiation</w:t>
      </w:r>
      <w:r>
        <w:rPr>
          <w:rFonts w:ascii="Cambria" w:cs="Cambria" w:eastAsia="Cambria" w:hAnsi="Cambria"/>
          <w:color w:val="000000"/>
          <w:sz w:val="24"/>
          <w:szCs w:val="24"/>
        </w:rPr>
        <w:t xml:space="preserve">.</w:t>
      </w:r>
    </w:p>
    <w:p>
      <w:pPr>
        <w:pStyle w:val="Heading3"/>
        <w:spacing w:after="160" w:before="280"/>
      </w:pPr>
      <w:r>
        <w:rPr>
          <w:color w:val="000000"/>
        </w:rPr>
        <w:t xml:space="preserve">6.8.3  Guardian Cryptographic Approval</w:t>
      </w:r>
    </w:p>
    <w:p>
      <w:pPr>
        <w:spacing w:after="140" w:line="300"/>
        <w:jc w:val="both"/>
      </w:pPr>
      <w:r>
        <w:rPr>
          <w:rFonts w:ascii="Cambria" w:cs="Cambria" w:eastAsia="Cambria" w:hAnsi="Cambria"/>
          <w:color w:val="000000"/>
          <w:sz w:val="24"/>
          <w:szCs w:val="24"/>
        </w:rPr>
        <w:t xml:space="preserve">The second part is the Guardian Cryptographic Approval. As shown in the figure below, it operationalises the multi-party authorisation component of the proposed framework.</w:t>
      </w:r>
    </w:p>
    <w:p>
      <w:pPr>
        <w:keepNext/>
        <w:spacing w:after="60" w:before="140"/>
        <w:jc w:val="center"/>
      </w:pPr>
      <w:r>
        <w:drawing>
          <wp:inline distT="0" distB="0" distL="0" distR="0">
            <wp:extent cx="5334000" cy="1914525"/>
            <wp:effectExtent t="0" r="0" b="0" l="0"/>
            <wp:docPr id="1" name="n_guardA.png" descr="Figure 22: The guardian subsystem at the first approval: the EIP-712 signature of did:parent:A is verified and the multi-signature count is 1/2." title="Figure 22: The guardian subsystem at the first approval: the EIP-712 signature of did:parent:A is verified and the multi-signature count i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22: The guardian subsystem at the first approval: the EIP-712 signature of did:parent:A is verified and the multi-signature count is 1/2.</w:t>
      </w:r>
    </w:p>
    <w:p>
      <w:pPr>
        <w:spacing w:after="140" w:line="300"/>
        <w:jc w:val="both"/>
      </w:pPr>
      <w:r>
        <w:rPr>
          <w:rFonts w:ascii="Cambria" w:cs="Cambria" w:eastAsia="Cambria" w:hAnsi="Cambria"/>
          <w:color w:val="000000"/>
          <w:sz w:val="24"/>
          <w:szCs w:val="24"/>
        </w:rPr>
        <w:t xml:space="preserve">As shown in the figure above, the first guardian (did:parent:A) approves the consent and the subsystem reports EIP-712 signature verified (signer 0x3Af549b0…) with the multi-signature count 1/2. The consent remains pending, because the approval condition has not yet been satisfied. The second guardian then repeats the same procedure.</w:t>
      </w:r>
    </w:p>
    <w:p>
      <w:pPr>
        <w:keepNext/>
        <w:spacing w:after="60" w:before="140"/>
        <w:jc w:val="center"/>
      </w:pPr>
      <w:r>
        <w:drawing>
          <wp:inline distT="0" distB="0" distL="0" distR="0">
            <wp:extent cx="5334000" cy="3133725"/>
            <wp:effectExtent t="0" r="0" b="0" l="0"/>
            <wp:docPr id="1" name="M2.png" descr="Figure 23: The guardian subsystem at the moment of the second approval: the EIP-712 signature is verified, the 2/2 threshold is reached, the SBT is minted in the local ledger and the Sepolia anchoring starts in the background." title="Figure 23: The guardian subsystem at the moment of the second approval: the EIP-712 signature is verified, the 2/2 threshold is reached, the SBT is minted in the local ledger and the Sepolia anchoring starts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13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23: The guardian subsystem at the moment of the second approval: the EIP-712 signature is verified, the 2/2 threshold is reached, the SBT is minted in the local ledger and the Sepolia anchoring starts in the background.</w:t>
      </w:r>
    </w:p>
    <w:p>
      <w:pPr>
        <w:spacing w:after="140" w:line="300"/>
        <w:jc w:val="both"/>
      </w:pPr>
      <w:r>
        <w:rPr>
          <w:rFonts w:ascii="Cambria" w:cs="Cambria" w:eastAsia="Cambria" w:hAnsi="Cambria"/>
          <w:color w:val="000000"/>
          <w:sz w:val="24"/>
          <w:szCs w:val="24"/>
        </w:rPr>
        <w:t xml:space="preserve">As shown in the figure above, the guardian first enters the target Consent ID, after which the system retrieves the corresponding active transaction and displays the associated patient DID. The guardian then selects their own Guardian DID identity and approves the consent with an EIP-712 typed-data signature, which binds the approval to this specific consent, this guardian and this network (chainId 11155111). The system verifies each signature by recovering the signer address and comparing it with the address associated with that guardian DID. A signature produced for another consent, another guardian or another chain is rejected, and the interface refuses a second signature from the same guardian.</w:t>
      </w:r>
    </w:p>
    <w:p>
      <w:pPr>
        <w:spacing w:after="140" w:line="300"/>
        <w:jc w:val="both"/>
      </w:pPr>
      <w:r>
        <w:rPr>
          <w:rFonts w:ascii="Cambria" w:cs="Cambria" w:eastAsia="Cambria" w:hAnsi="Cambria"/>
          <w:color w:val="000000"/>
          <w:sz w:val="24"/>
          <w:szCs w:val="24"/>
        </w:rPr>
        <w:t xml:space="preserve">Each approval is evaluated by the procedure formalised in Algorithm 3. In the implemented configuration the authorisation threshold is derived from the designated guardian set as N = |G|, so that every listed guardian must produce a valid EIP-712 signature before activation; the demonstrated 2-of-2 ceremony is consequently an N-of-N instantiation of the threshold condition of Eq. (54).</w:t>
      </w:r>
    </w:p>
    <w:p>
      <w:pPr>
        <w:spacing w:after="140" w:line="300"/>
        <w:jc w:val="both"/>
      </w:pPr>
      <w:r>
        <w:rPr>
          <w:rFonts w:ascii="Cambria" w:cs="Cambria" w:eastAsia="Cambria" w:hAnsi="Cambria"/>
          <w:color w:val="000000"/>
          <w:sz w:val="24"/>
          <w:szCs w:val="24"/>
        </w:rPr>
        <w:t xml:space="preserve">The subsystem subsequently reports:</w:t>
      </w:r>
    </w:p>
    <w:p>
      <w:pPr>
        <w:spacing w:after="140" w:line="300"/>
        <w:jc w:val="both"/>
      </w:pPr>
      <w:r>
        <w:rPr>
          <w:rFonts w:ascii="Cambria" w:cs="Cambria" w:eastAsia="Cambria" w:hAnsi="Cambria"/>
          <w:color w:val="000000"/>
          <w:sz w:val="24"/>
          <w:szCs w:val="24"/>
        </w:rPr>
        <w:t xml:space="preserve">EIP-712 signature verified (signer 0x39B12b87…). Multi-sig: 2/2</w:t>
      </w:r>
    </w:p>
    <w:p>
      <w:pPr>
        <w:spacing w:after="140" w:line="300"/>
        <w:jc w:val="both"/>
      </w:pPr>
      <w:r>
        <w:rPr>
          <w:rFonts w:ascii="Cambria" w:cs="Cambria" w:eastAsia="Cambria" w:hAnsi="Cambria"/>
          <w:color w:val="000000"/>
          <w:sz w:val="24"/>
          <w:szCs w:val="24"/>
        </w:rPr>
        <w:t xml:space="preserve">This is an important implementation-level demonstration because the consent is not activated merely because the patient created it. Instead, the system requires the predefined guardian approval condition to be satisfied. The implementation therefore enforces the logical authorisation rule:</w:t>
      </w:r>
    </w:p>
    <w:p>
      <w:pPr>
        <w:spacing w:after="160" w:before="60"/>
        <w:jc w:val="center"/>
      </w:pPr>
      <w:r>
        <w:rPr>
          <w:rFonts w:ascii="Cambria Math" w:cs="Cambria Math" w:eastAsia="Cambria Math" w:hAnsi="Cambria Math"/>
          <w:i/>
          <w:iCs/>
          <w:color w:val="000000"/>
          <w:sz w:val="22"/>
          <w:szCs w:val="22"/>
        </w:rPr>
        <w:t xml:space="preserve">ALLOW = VI ∧ VA ∧ VP ∧ VT ∧ VL</w:t>
      </w:r>
    </w:p>
    <w:p>
      <w:pPr>
        <w:spacing w:after="140" w:line="300"/>
        <w:jc w:val="both"/>
      </w:pPr>
      <w:r>
        <w:rPr>
          <w:rFonts w:ascii="Cambria" w:cs="Cambria" w:eastAsia="Cambria" w:hAnsi="Cambria"/>
          <w:color w:val="000000"/>
          <w:sz w:val="24"/>
          <w:szCs w:val="24"/>
        </w:rPr>
        <w:t xml:space="preserve">where identity verification, authorisation verification, purpose verification, temporal verification and jurisdictional verification must all be satisfied before access can be granted. For the demonstrated two-guardian configuration, the approval process can also be represented as:</w:t>
      </w:r>
    </w:p>
    <w:p>
      <w:pPr>
        <w:spacing w:after="160" w:before="60"/>
        <w:jc w:val="center"/>
      </w:pPr>
      <w:r>
        <w:rPr>
          <w:rFonts w:ascii="Cambria Math" w:cs="Cambria Math" w:eastAsia="Cambria Math" w:hAnsi="Cambria Math"/>
          <w:i/>
          <w:iCs/>
          <w:color w:val="000000"/>
          <w:sz w:val="22"/>
          <w:szCs w:val="22"/>
        </w:rPr>
        <w:t xml:space="preserve">Σ g∈G  Sign(g, C)  ≥  |G| = 2</w:t>
      </w:r>
    </w:p>
    <w:p>
      <w:pPr>
        <w:spacing w:after="140" w:line="300"/>
        <w:jc w:val="both"/>
      </w:pPr>
      <w:r>
        <w:rPr>
          <w:rFonts w:ascii="Cambria" w:cs="Cambria" w:eastAsia="Cambria" w:hAnsi="Cambria"/>
          <w:color w:val="000000"/>
          <w:sz w:val="24"/>
          <w:szCs w:val="24"/>
        </w:rPr>
        <w:t xml:space="preserve">where G represents the designated guardians and every listed guardian must provide a valid signature for activation. Once the required signatures have been obtained, the subsystem displays SBT MINTED together with the Soulbound Token identifier, and a background job submits the mint transaction to Sepolia. While the background job is running, the subsystem reports the intermediate state explicitly.</w:t>
      </w:r>
    </w:p>
    <w:p>
      <w:pPr>
        <w:keepNext/>
        <w:spacing w:after="60" w:before="140"/>
        <w:jc w:val="center"/>
      </w:pPr>
      <w:r>
        <w:drawing>
          <wp:inline distT="0" distB="0" distL="0" distR="0">
            <wp:extent cx="5334000" cy="2657475"/>
            <wp:effectExtent t="0" r="0" b="0" l="0"/>
            <wp:docPr id="1" name="n_anchoring.png" descr="Figure 24: The guardian subsystem while the mint transaction is pending: the 2/2 threshold is reached but not yet anchored, the anchoring runs in the background, and a repeated signature from the same guardian is refused." title="Figure 24: The guardian subsystem while the mint transaction is pending: the 2/2 threshold is reached but not yet anchored, the anchoring runs in the background, and a repeated signature from the same guardian is 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657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24: The guardian subsystem while the mint transaction is pending: the 2/2 threshold is reached but not yet anchored, the anchoring runs in the background, and a repeated signature from the same guardian is refused.</w:t>
      </w:r>
    </w:p>
    <w:p>
      <w:pPr>
        <w:spacing w:after="140" w:line="300"/>
        <w:jc w:val="both"/>
      </w:pPr>
      <w:r>
        <w:rPr>
          <w:rFonts w:ascii="Cambria" w:cs="Cambria" w:eastAsia="Cambria" w:hAnsi="Cambria"/>
          <w:color w:val="000000"/>
          <w:sz w:val="24"/>
          <w:szCs w:val="24"/>
        </w:rPr>
        <w:t xml:space="preserve">As shown in the figure above, the subsystem reports that the threshold has been reached but the consent is not yet anchored, offers a manual synchronisation with the chain, and refuses a second signature from the same guardian. This is important because the one-signature-per-guardian rule prevents a single guardian from satisfying the multi-signature threshold alone. When the guardian later re-enters the Consent ID, the subsystem reports Already anchored on Sepolia together with the on-chain token number (token #2 for the photographed lifecycle, token #1 for the evaluated consent).</w:t>
      </w:r>
    </w:p>
    <w:p>
      <w:pPr>
        <w:keepNext/>
        <w:spacing w:after="60" w:before="140"/>
        <w:jc w:val="center"/>
      </w:pPr>
      <w:r>
        <w:drawing>
          <wp:inline distT="0" distB="0" distL="0" distR="0">
            <wp:extent cx="5143500" cy="1828800"/>
            <wp:effectExtent t="0" r="0" b="0" l="0"/>
            <wp:docPr id="1" name="M2b.png" descr="Figure 25: The guardian subsystem revisited after the background job has completed: 'Already anchored on Sepolia - token #2'." title="Figure 25: The guardian subsystem revisited after the background job has completed: 'Already anchored on Sepolia - tok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18288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25: The guardian subsystem revisited after the background job has completed: 'Already anchored on Sepolia - token #2'.</w:t>
      </w:r>
    </w:p>
    <w:p>
      <w:pPr>
        <w:spacing w:after="140" w:line="300"/>
        <w:jc w:val="both"/>
      </w:pPr>
      <w:r>
        <w:rPr>
          <w:rFonts w:ascii="Cambria" w:cs="Cambria" w:eastAsia="Cambria" w:hAnsi="Cambria"/>
          <w:color w:val="000000"/>
          <w:sz w:val="24"/>
          <w:szCs w:val="24"/>
        </w:rPr>
        <w:t xml:space="preserve">As shown in the figure above, the anchored state persists across sessions and navigation, because it is read back from the ledger rather than from the page. This provides a visible representation of the transition from a pending consent transaction to an activated, publicly recorded consent state. The SBT therefore functions in the implementation as a persistent cryptographic representation of the completed consent authorisation rather than as a transferable asset.</w:t>
      </w:r>
    </w:p>
    <w:p>
      <w:pPr>
        <w:keepNext/>
        <w:spacing w:after="60" w:before="140"/>
        <w:jc w:val="center"/>
      </w:pPr>
      <w:r>
        <w:drawing>
          <wp:inline distT="0" distB="0" distL="0" distR="0">
            <wp:extent cx="5715000" cy="4181475"/>
            <wp:effectExtent t="0" r="0" b="0" l="0"/>
            <wp:docPr id="1" name="M3.png" descr="Figure 26: The anchoring transaction of the evaluated consent on Sepolia Etherscan: status Success, block 11,771,243, 'Mint 1 of MedicalConsent' to the pseudonymous patient address (function selector 0x1e1e7c76, mintConsentV3)." title="Figure 26: The anchoring transaction of the evaluated consent on Sepolia Etherscan: status Success, block 11,771,243, 'Mint 1 of MedicalConsent' to the pseudonymous patient address (function selector 0x1e1e7c76, mintConsent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181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26: The anchoring transaction of the evaluated consent on Sepolia Etherscan: status Success, block 11,771,243, 'Mint 1 of MedicalConsent' to the pseudonymous patient address (function selector 0x1e1e7c76, mintConsentV3).</w:t>
      </w:r>
    </w:p>
    <w:p>
      <w:pPr>
        <w:spacing w:after="140" w:line="300"/>
        <w:jc w:val="both"/>
      </w:pPr>
      <w:r>
        <w:rPr>
          <w:rFonts w:ascii="Cambria" w:cs="Cambria" w:eastAsia="Cambria" w:hAnsi="Cambria"/>
          <w:color w:val="000000"/>
          <w:sz w:val="24"/>
          <w:szCs w:val="24"/>
        </w:rPr>
        <w:t xml:space="preserve">As shown in the figure above, the anchoring of the evaluated consent (token #1) is an ordinary, publicly verifiable transaction: Etherscan reports the status Success, the block number 11,771,243, the transaction fee, and the transfer of one MedicalConsent token to the pseudonymous patient address derived from the patient DID. The transaction can be inspected on Sepolia Etherscan (mint transaction 0x8be1b99e…daf13d, listed in the verification links of Section 6.8.12). This provides an implementation-level demonstration that consent activation can be verified independently of the application.</w:t>
      </w:r>
    </w:p>
    <w:p>
      <w:pPr>
        <w:spacing w:after="140" w:line="300"/>
        <w:jc w:val="both"/>
      </w:pPr>
      <w:r>
        <w:rPr>
          <w:rFonts w:ascii="Cambria" w:cs="Cambria" w:eastAsia="Cambria" w:hAnsi="Cambria"/>
          <w:color w:val="000000"/>
          <w:sz w:val="24"/>
          <w:szCs w:val="24"/>
        </w:rPr>
        <w:t xml:space="preserve">The guardian subsystem consequently corresponds to </w:t>
      </w:r>
      <w:r>
        <w:rPr>
          <w:rFonts w:ascii="Cambria" w:cs="Cambria" w:eastAsia="Cambria" w:hAnsi="Cambria"/>
          <w:b/>
          <w:bCs/>
          <w:color w:val="000000"/>
          <w:sz w:val="24"/>
          <w:szCs w:val="24"/>
        </w:rPr>
        <w:t xml:space="preserve">Multi-Party Approval, Cryptographic Verification and Consent Activation</w:t>
      </w:r>
      <w:r>
        <w:rPr>
          <w:rFonts w:ascii="Cambria" w:cs="Cambria" w:eastAsia="Cambria" w:hAnsi="Cambria"/>
          <w:color w:val="000000"/>
          <w:sz w:val="24"/>
          <w:szCs w:val="24"/>
        </w:rPr>
        <w:t xml:space="preserve"> in the proposed architecture.</w:t>
      </w:r>
    </w:p>
    <w:p>
      <w:pPr>
        <w:pStyle w:val="Heading3"/>
        <w:spacing w:after="160" w:before="280"/>
      </w:pPr>
      <w:r>
        <w:rPr>
          <w:color w:val="000000"/>
        </w:rPr>
        <w:t xml:space="preserve">6.8.4  Secure Patient Data Access for the Doctor</w:t>
      </w:r>
    </w:p>
    <w:p>
      <w:pPr>
        <w:spacing w:after="140" w:line="300"/>
        <w:jc w:val="both"/>
      </w:pPr>
      <w:r>
        <w:rPr>
          <w:rFonts w:ascii="Cambria" w:cs="Cambria" w:eastAsia="Cambria" w:hAnsi="Cambria"/>
          <w:color w:val="000000"/>
          <w:sz w:val="24"/>
          <w:szCs w:val="24"/>
        </w:rPr>
        <w:t xml:space="preserve">The third module is the Secure Patient Data Access module and represents the healthcare-provider side of the authorisation process.</w:t>
      </w:r>
    </w:p>
    <w:p>
      <w:pPr>
        <w:spacing w:after="140" w:line="300"/>
        <w:jc w:val="both"/>
      </w:pPr>
      <w:r>
        <w:rPr>
          <w:rFonts w:ascii="Cambria" w:cs="Cambria" w:eastAsia="Cambria" w:hAnsi="Cambria"/>
          <w:color w:val="000000"/>
          <w:sz w:val="24"/>
          <w:szCs w:val="24"/>
        </w:rPr>
        <w:t xml:space="preserve">The doctor enters an authorised Consent ID, after which the system retrieves and displays the associated consent information. The subsystem shows the patient DID, Consent ID, purpose, and current consent state:</w:t>
      </w:r>
    </w:p>
    <w:p>
      <w:pPr>
        <w:spacing w:after="160" w:before="60"/>
        <w:jc w:val="center"/>
      </w:pPr>
      <w:r>
        <w:rPr>
          <w:rFonts w:ascii="Cambria Math" w:cs="Cambria Math" w:eastAsia="Cambria Math" w:hAnsi="Cambria Math"/>
          <w:i/>
          <w:iCs/>
          <w:color w:val="000000"/>
          <w:sz w:val="22"/>
          <w:szCs w:val="22"/>
        </w:rPr>
        <w:t xml:space="preserve">State = ACTIVE</w:t>
      </w:r>
    </w:p>
    <w:p>
      <w:pPr>
        <w:spacing w:after="140" w:line="300"/>
        <w:jc w:val="both"/>
      </w:pPr>
      <w:r>
        <w:rPr>
          <w:rFonts w:ascii="Cambria" w:cs="Cambria" w:eastAsia="Cambria" w:hAnsi="Cambria"/>
          <w:color w:val="000000"/>
          <w:sz w:val="24"/>
          <w:szCs w:val="24"/>
        </w:rPr>
        <w:t xml:space="preserve">This is important because the doctor does not directly access patient data based solely on possession of a Consent ID. The system first evaluates whether the underlying authorisation remains valid, and it does so for every component of the consent object. The decision matrix displayed to the doctor reports the outcome of each check individually.</w:t>
      </w:r>
    </w:p>
    <w:p>
      <w:pPr>
        <w:keepNext/>
        <w:spacing w:after="60" w:before="140"/>
        <w:jc w:val="center"/>
      </w:pPr>
      <w:r>
        <w:drawing>
          <wp:inline distT="0" distB="0" distL="0" distR="0">
            <wp:extent cx="5334000" cy="4200525"/>
            <wp:effectExtent t="0" r="0" b="0" l="0"/>
            <wp:docPr id="1" name="g_doc_au.png" descr="Figure 27: The doctor subsystem with requester jurisdiction AU (the evaluated consent f050c29a, captured before its revocation): all five checks report PASS, ALLOW = PASS, and the consent state is ACTIVE." title="Figure 27: The doctor subsystem with requester jurisdiction AU (the evaluated consent f050c29a, captured before its revocation): all five checks report PASS, ALLOW = PASS, and the consent state i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27: The doctor subsystem with requester jurisdiction AU (the evaluated consent f050c29a, captured before its revocation): all five checks report PASS, ALLOW = PASS, and the consent state is ACTIVE.</w:t>
      </w:r>
    </w:p>
    <w:p>
      <w:pPr>
        <w:spacing w:after="140" w:line="300"/>
        <w:jc w:val="both"/>
      </w:pPr>
      <w:r>
        <w:rPr>
          <w:rFonts w:ascii="Cambria" w:cs="Cambria" w:eastAsia="Cambria" w:hAnsi="Cambria"/>
          <w:color w:val="000000"/>
          <w:sz w:val="24"/>
          <w:szCs w:val="24"/>
        </w:rPr>
        <w:t xml:space="preserve">As shown in the figure above, the five checks VI (identity), VA (authorisation), VP (purpose), VT (time) and VL (jurisdiction) all report PASS, and consequently ALLOW = PASS. The subsystem then presents the Authorised Data Scope, showing that only the EMR modules specified in the original consent are available. In the demonstrated transaction, the authorised modules are:</w:t>
      </w:r>
    </w:p>
    <w:p>
      <w:pPr>
        <w:spacing w:after="160" w:before="60"/>
        <w:jc w:val="center"/>
      </w:pPr>
      <w:r>
        <w:rPr>
          <w:rFonts w:ascii="Cambria Math" w:cs="Cambria Math" w:eastAsia="Cambria Math" w:hAnsi="Cambria Math"/>
          <w:i/>
          <w:iCs/>
          <w:color w:val="000000"/>
          <w:sz w:val="22"/>
          <w:szCs w:val="22"/>
        </w:rPr>
        <w:t xml:space="preserve">Scope = { Observation, Medication, Condition, Procedure }</w:t>
      </w:r>
    </w:p>
    <w:p>
      <w:pPr>
        <w:spacing w:after="140" w:line="300"/>
        <w:jc w:val="both"/>
      </w:pPr>
      <w:r>
        <w:rPr>
          <w:rFonts w:ascii="Cambria" w:cs="Cambria" w:eastAsia="Cambria" w:hAnsi="Cambria"/>
          <w:color w:val="000000"/>
          <w:sz w:val="24"/>
          <w:szCs w:val="24"/>
        </w:rPr>
        <w:t xml:space="preserve">The five columns of the decision matrix are the operational form of the decision rule Decision(C, R) = ALLOW ⟺ VI(u) ∧ VA(C) ∧ VP(C, R) ∧ VT(C, t) ∧ VL(C), which extends the three-predicate rule of Eq. (59) with the temporal and jurisdictional verdicts. The jurisdiction predicate is satisfied if and only if the requester's declared jurisdiction equals the jurisdiction recorded in the consent, which the jurisdiction-violation demonstration below confirms empirically.</w:t>
      </w:r>
    </w:p>
    <w:p>
      <w:pPr>
        <w:keepNext/>
        <w:spacing w:after="60" w:before="140"/>
        <w:jc w:val="center"/>
      </w:pPr>
      <w:r>
        <w:drawing>
          <wp:inline distT="0" distB="0" distL="0" distR="0">
            <wp:extent cx="3429000" cy="4848225"/>
            <wp:effectExtent t="0" r="0" b="0" l="0"/>
            <wp:docPr id="1" name="predicate_flow.png" descr="Figure 28: Trust Predicate Evaluation and Authorisation Decision Flow, as enforced by the implemented Consent Engine." title="Figure 28: Trust Predicate Evaluation and Authorisation Decision Flow, as enforced by the implemented Consent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429000" cy="48482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28: Trust Predicate Evaluation and Authorisation Decision Flow, as enforced by the implemented Consent Engine.</w:t>
      </w:r>
    </w:p>
    <w:p>
      <w:pPr>
        <w:spacing w:after="140" w:line="300"/>
        <w:jc w:val="both"/>
      </w:pPr>
      <w:r>
        <w:rPr>
          <w:rFonts w:ascii="Cambria" w:cs="Cambria" w:eastAsia="Cambria" w:hAnsi="Cambria"/>
          <w:color w:val="000000"/>
          <w:sz w:val="24"/>
          <w:szCs w:val="24"/>
        </w:rPr>
        <w:t xml:space="preserve">The doctor must subsequently select the modules to request; the request must be a non-empty subset of the authorised scope. The system displays the requested modules and performs cryptographic verification before granting access. In this version, the verification also generates and verifies a Groth16 zero-knowledge proof, whose public inputs are a Poseidon commitment and the current time, and whose private witnesses are a secret and the expiry time; the proof establishes that the commitment is satisfied and that the current time does not exceed the expiry. Because the prover and the verifier currently run on the same server, the proof demonstrates the integration of the zero-knowledge toolchain rather than an additional privacy guarantee (see the limitations discussed at the end of this section). The audit ledger records the proof mode (groth16) with every access granted in the demonstrated lifecycles, and the subsystem then shows the message Cryptographic Verification Successful — Access Granted.</w:t>
      </w:r>
    </w:p>
    <w:p>
      <w:pPr>
        <w:keepNext/>
        <w:spacing w:after="60" w:before="140"/>
        <w:jc w:val="center"/>
      </w:pPr>
      <w:r>
        <w:drawing>
          <wp:inline distT="0" distB="0" distL="0" distR="0">
            <wp:extent cx="5334000" cy="6229350"/>
            <wp:effectExtent t="0" r="0" b="0" l="0"/>
            <wp:docPr id="1" name="M4.png" descr="Figure 29: The doctor subsystem after verification (the photographed lifecycle 04da25f5 introduced earlier): access granted and the authorised medical records displayed per EMR module; the Observation module's Download CSV control is visible." title="Figure 29: The doctor subsystem after verification (the photographed lifecycle 04da25f5 introduced earlier): access granted and the authorised medical records displayed per EMR module; the Observation module's Download CSV control i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62293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29: The doctor subsystem after verification (the photographed lifecycle 04da25f5 introduced earlier): access granted and the authorised medical records displayed per EMR module; the Observation module's Download CSV control is visible.</w:t>
      </w:r>
    </w:p>
    <w:p>
      <w:pPr>
        <w:keepNext/>
        <w:spacing w:after="60" w:before="140"/>
        <w:jc w:val="center"/>
      </w:pPr>
      <w:r>
        <w:drawing>
          <wp:inline distT="0" distB="0" distL="0" distR="0">
            <wp:extent cx="5143500" cy="4314825"/>
            <wp:effectExtent t="0" r="0" b="0" l="0"/>
            <wp:docPr id="1" name="M4b.png" descr="Figure 30: The remaining authorised modules of the same request: the Condition and Procedure records, with the Condition module's export control visible." title="Figure 30: The remaining authorised modules of the same request: the Condition and Procedure records, with the Condition module's export control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43148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30: The remaining authorised modules of the same request: the Condition and Procedure records, with the Condition module's export control visible.</w:t>
      </w:r>
    </w:p>
    <w:p>
      <w:pPr>
        <w:spacing w:after="140" w:line="300"/>
        <w:jc w:val="both"/>
      </w:pPr>
      <w:r>
        <w:rPr>
          <w:rFonts w:ascii="Cambria" w:cs="Cambria" w:eastAsia="Cambria" w:hAnsi="Cambria"/>
          <w:color w:val="000000"/>
          <w:sz w:val="24"/>
          <w:szCs w:val="24"/>
        </w:rPr>
        <w:t xml:space="preserve">The two figures above demonstrate the transition from consent verification to data-access authorisation; the checks are recorded in the audit ledger as STATE_CHECK events, one for every evaluated access request, so validity is re-established at each request rather than assumed. This distinction is central to the HALAH design. Consent and data access are not treated as identical events. Instead, the flow proceeds as follows:</w:t>
      </w:r>
    </w:p>
    <w:p>
      <w:pPr>
        <w:spacing w:after="160" w:before="60"/>
        <w:jc w:val="center"/>
      </w:pPr>
      <w:r>
        <w:rPr>
          <w:rFonts w:ascii="Cambria Math" w:cs="Cambria Math" w:eastAsia="Cambria Math" w:hAnsi="Cambria Math"/>
          <w:i/>
          <w:iCs/>
          <w:color w:val="000000"/>
          <w:sz w:val="22"/>
          <w:szCs w:val="22"/>
        </w:rPr>
        <w:t xml:space="preserve">Consent → Verification → AccessDecision</w:t>
      </w:r>
    </w:p>
    <w:p>
      <w:pPr>
        <w:spacing w:after="140" w:line="300"/>
        <w:jc w:val="both"/>
      </w:pPr>
      <w:r>
        <w:rPr>
          <w:rFonts w:ascii="Cambria" w:cs="Cambria" w:eastAsia="Cambria" w:hAnsi="Cambria"/>
          <w:color w:val="000000"/>
          <w:sz w:val="24"/>
          <w:szCs w:val="24"/>
        </w:rPr>
        <w:t xml:space="preserve">The doctor is therefore authorised only when the requested resources are consistent with the consent object and the consent remains active. The final Authorised Medical Records section presents the actual data modules available to the doctor. Because the subsystem separates the OBSERVATION, MEDICATION, CONDITION and PROCEDURE modules, it provides a direct visual demonstration of fine-grained EMR access control.</w:t>
      </w:r>
    </w:p>
    <w:p>
      <w:pPr>
        <w:spacing w:after="140" w:line="300"/>
        <w:jc w:val="both"/>
      </w:pPr>
      <w:r>
        <w:rPr>
          <w:rFonts w:ascii="Cambria" w:cs="Cambria" w:eastAsia="Cambria" w:hAnsi="Cambria"/>
          <w:color w:val="000000"/>
          <w:sz w:val="24"/>
          <w:szCs w:val="24"/>
        </w:rPr>
        <w:t xml:space="preserve">Thus, the doctor subsystem corresponds to </w:t>
      </w:r>
      <w:r>
        <w:rPr>
          <w:rFonts w:ascii="Cambria" w:cs="Cambria" w:eastAsia="Cambria" w:hAnsi="Cambria"/>
          <w:b/>
          <w:bCs/>
          <w:color w:val="000000"/>
          <w:sz w:val="24"/>
          <w:szCs w:val="24"/>
        </w:rPr>
        <w:t xml:space="preserve">Consent-State Validation, Scope Enforcement and Authorised Data Access</w:t>
      </w:r>
      <w:r>
        <w:rPr>
          <w:rFonts w:ascii="Cambria" w:cs="Cambria" w:eastAsia="Cambria" w:hAnsi="Cambria"/>
          <w:color w:val="000000"/>
          <w:sz w:val="24"/>
          <w:szCs w:val="24"/>
        </w:rPr>
        <w:t xml:space="preserve">.</w:t>
      </w:r>
    </w:p>
    <w:p>
      <w:pPr>
        <w:pStyle w:val="Heading3"/>
        <w:spacing w:after="160" w:before="280"/>
      </w:pPr>
      <w:r>
        <w:rPr>
          <w:color w:val="000000"/>
        </w:rPr>
        <w:t xml:space="preserve">6.8.5  Negative Demonstration: Jurisdiction Violation</w:t>
      </w:r>
    </w:p>
    <w:p>
      <w:pPr>
        <w:spacing w:after="140" w:line="300"/>
        <w:jc w:val="both"/>
      </w:pPr>
      <w:r>
        <w:rPr>
          <w:rFonts w:ascii="Cambria" w:cs="Cambria" w:eastAsia="Cambria" w:hAnsi="Cambria"/>
          <w:color w:val="000000"/>
          <w:sz w:val="24"/>
          <w:szCs w:val="24"/>
        </w:rPr>
        <w:t xml:space="preserve">The fourth part is the negative demonstration. This is important because a consent framework must be evaluated not only on whether it grants legitimate access, but also on whether it refuses illegitimate access. The same doctor therefore repeated the request for the evaluated consent while declaring the requester jurisdiction as SA, whereas the consent was issued for AU.</w:t>
      </w:r>
    </w:p>
    <w:p>
      <w:pPr>
        <w:keepNext/>
        <w:spacing w:after="60" w:before="140"/>
        <w:jc w:val="center"/>
      </w:pPr>
      <w:r>
        <w:drawing>
          <wp:inline distT="0" distB="0" distL="0" distR="0">
            <wp:extent cx="5334000" cy="4200525"/>
            <wp:effectExtent t="0" r="0" b="0" l="0"/>
            <wp:docPr id="1" name="g_doc_sa.png" descr="Figure 31: The doctor subsystem with requester jurisdiction SA: VL reports FAIL and consequently ALLOW = FAIL, although the consent state remains ACTIVE." title="Figure 31: The doctor subsystem with requester jurisdiction SA: VL reports FAIL and consequently ALLOW = FAIL, although the consent state remain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31: The doctor subsystem with requester jurisdiction SA: VL reports FAIL and consequently ALLOW = FAIL, although the consent state remains ACTIVE.</w:t>
      </w:r>
    </w:p>
    <w:p>
      <w:pPr>
        <w:spacing w:after="140" w:line="300"/>
        <w:jc w:val="both"/>
      </w:pPr>
      <w:r>
        <w:rPr>
          <w:rFonts w:ascii="Cambria" w:cs="Cambria" w:eastAsia="Cambria" w:hAnsi="Cambria"/>
          <w:color w:val="000000"/>
          <w:sz w:val="24"/>
          <w:szCs w:val="24"/>
        </w:rPr>
        <w:t xml:space="preserve">As shown in the figure above, the decision matrix immediately reports VL = FAIL and consequently ALLOW = FAIL, even though the consent itself is still ACTIVE, the guardian signatures remain valid and all other checks pass. This is important because it demonstrates that the access decision is taken over the complete consent tuple rather than over the consent state alone.</w:t>
      </w:r>
    </w:p>
    <w:p>
      <w:pPr>
        <w:keepNext/>
        <w:spacing w:after="60" w:before="140"/>
        <w:jc w:val="center"/>
      </w:pPr>
      <w:r>
        <w:drawing>
          <wp:inline distT="0" distB="0" distL="0" distR="0">
            <wp:extent cx="5334000" cy="2638425"/>
            <wp:effectExtent t="0" r="0" b="0" l="0"/>
            <wp:docPr id="1" name="g_denied.png" descr="Figure 32: The refused request: 'Security Exception: Access Denied by ZK-Policy. Failed checks: VL'." title="Figure 32: The refused request: 'Security Exception: Access Denied by ZK-Policy. Failed checks: V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32: The refused request: 'Security Exception: Access Denied by ZK-Policy. Failed checks: VL'.</w:t>
      </w:r>
    </w:p>
    <w:p>
      <w:pPr>
        <w:spacing w:after="140" w:line="300"/>
        <w:jc w:val="both"/>
      </w:pPr>
      <w:r>
        <w:rPr>
          <w:rFonts w:ascii="Cambria" w:cs="Cambria" w:eastAsia="Cambria" w:hAnsi="Cambria"/>
          <w:color w:val="000000"/>
          <w:sz w:val="24"/>
          <w:szCs w:val="24"/>
        </w:rPr>
        <w:t xml:space="preserve">As shown in the figure above, when the doctor submits the request, access is refused and the failed check is named explicitly. The corresponding audit-ledger entry records the result DENIED together with the complete decision matrix, so that the refusal is itself auditable. This is important because the jurisdiction check is included in the access decision rather than merely displayed.</w:t>
      </w:r>
    </w:p>
    <w:p>
      <w:pPr>
        <w:spacing w:after="140" w:line="300"/>
        <w:jc w:val="both"/>
      </w:pPr>
      <w:r>
        <w:rPr>
          <w:rFonts w:ascii="Cambria" w:cs="Cambria" w:eastAsia="Cambria" w:hAnsi="Cambria"/>
          <w:color w:val="000000"/>
          <w:sz w:val="24"/>
          <w:szCs w:val="24"/>
        </w:rPr>
        <w:t xml:space="preserve">This demonstration corresponds to </w:t>
      </w:r>
      <w:r>
        <w:rPr>
          <w:rFonts w:ascii="Cambria" w:cs="Cambria" w:eastAsia="Cambria" w:hAnsi="Cambria"/>
          <w:b/>
          <w:bCs/>
          <w:color w:val="000000"/>
          <w:sz w:val="24"/>
          <w:szCs w:val="24"/>
        </w:rPr>
        <w:t xml:space="preserve">Jurisdictional Constraint Enforcement and Fail-Closed Access Control</w:t>
      </w:r>
      <w:r>
        <w:rPr>
          <w:rFonts w:ascii="Cambria" w:cs="Cambria" w:eastAsia="Cambria" w:hAnsi="Cambria"/>
          <w:color w:val="000000"/>
          <w:sz w:val="24"/>
          <w:szCs w:val="24"/>
        </w:rPr>
        <w:t xml:space="preserve">.</w:t>
      </w:r>
    </w:p>
    <w:p>
      <w:pPr>
        <w:pStyle w:val="Heading3"/>
        <w:spacing w:after="160" w:before="280"/>
      </w:pPr>
      <w:r>
        <w:rPr>
          <w:color w:val="000000"/>
        </w:rPr>
        <w:t xml:space="preserve">6.8.6  Consent Revocation</w:t>
      </w:r>
    </w:p>
    <w:p>
      <w:pPr>
        <w:spacing w:after="140" w:line="300"/>
        <w:jc w:val="both"/>
      </w:pPr>
      <w:r>
        <w:rPr>
          <w:rFonts w:ascii="Cambria" w:cs="Cambria" w:eastAsia="Cambria" w:hAnsi="Cambria"/>
          <w:color w:val="000000"/>
          <w:sz w:val="24"/>
          <w:szCs w:val="24"/>
        </w:rPr>
        <w:t xml:space="preserve">The fifth module is the Consent Revocation module. This module operationalises the enforcement component of the consent object, which requires that a patient can withdraw consent and that the withdrawal takes effect for every subsequent request. In the patient's My Consents view, each consent is listed with its state, signature count and token. The patient then selects Revoke, after which the system updates the application state and submits a revoke transaction to the contract on Sepolia.</w:t>
      </w:r>
    </w:p>
    <w:p>
      <w:pPr>
        <w:keepNext/>
        <w:spacing w:after="60" w:before="140"/>
        <w:jc w:val="center"/>
      </w:pPr>
      <w:r>
        <w:drawing>
          <wp:inline distT="0" distB="0" distL="0" distR="0">
            <wp:extent cx="5143500" cy="3714750"/>
            <wp:effectExtent t="0" r="0" b="0" l="0"/>
            <wp:docPr id="1" name="g_revoking.png" descr="Figure 33: The patient subsystem during revocation: 'Revoking on Sepolia - waiting for block confirmation…'." title="Figure 33: The patient subsystem during revocation: 'Revoking on Sepolia - waiting for block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43500" cy="3714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33: The patient subsystem during revocation: 'Revoking on Sepolia - waiting for block confirmation…'.</w:t>
      </w:r>
    </w:p>
    <w:p>
      <w:pPr>
        <w:spacing w:after="140" w:line="300"/>
        <w:jc w:val="both"/>
      </w:pPr>
      <w:r>
        <w:rPr>
          <w:rFonts w:ascii="Cambria" w:cs="Cambria" w:eastAsia="Cambria" w:hAnsi="Cambria"/>
          <w:color w:val="000000"/>
          <w:sz w:val="24"/>
          <w:szCs w:val="24"/>
        </w:rPr>
        <w:t xml:space="preserve">As shown in the figure above, the withdrawal is submitted as a blockchain transaction and the subsystem waits for the block confirmation before reporting the final state.</w:t>
      </w:r>
    </w:p>
    <w:p>
      <w:pPr>
        <w:keepNext/>
        <w:spacing w:after="60" w:before="140"/>
        <w:jc w:val="center"/>
      </w:pPr>
      <w:r>
        <w:drawing>
          <wp:inline distT="0" distB="0" distL="0" distR="0">
            <wp:extent cx="5334000" cy="3533775"/>
            <wp:effectExtent t="0" r="0" b="0" l="0"/>
            <wp:docPr id="1" name="g_revoked.png" descr="Figure 34: The patient subsystem after revocation: the evaluated consent f050c29a is REVOKED with token #1 (displayed as SBT-1). The other rows are earlier trial consents." title="Figure 34: The patient subsystem after revocation: the evaluated consent f050c29a is REVOKED with token #1 (displayed as SBT-1). The other rows are earlier trial cons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533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34: The patient subsystem after revocation: the evaluated consent f050c29a is REVOKED with token #1 (displayed as SBT-1). The other rows are earlier trial consents.</w:t>
      </w:r>
    </w:p>
    <w:p>
      <w:pPr>
        <w:spacing w:after="140" w:line="300"/>
        <w:jc w:val="both"/>
      </w:pPr>
      <w:r>
        <w:rPr>
          <w:rFonts w:ascii="Cambria" w:cs="Cambria" w:eastAsia="Cambria" w:hAnsi="Cambria"/>
          <w:color w:val="000000"/>
          <w:sz w:val="24"/>
          <w:szCs w:val="24"/>
        </w:rPr>
        <w:t xml:space="preserve">As shown in the figure above, the revoked consent is displayed as REVOKED together with its on-chain token number. The revocation was confirmed on Sepolia in block 11,771,307, and from that point the contract itself reports the token as no longer valid, so any verifier that reads the chain observes the withdrawal.</w:t>
      </w:r>
    </w:p>
    <w:p>
      <w:pPr>
        <w:spacing w:after="140" w:line="300"/>
        <w:jc w:val="both"/>
      </w:pPr>
      <w:r>
        <w:rPr>
          <w:rFonts w:ascii="Cambria" w:cs="Cambria" w:eastAsia="Cambria" w:hAnsi="Cambria"/>
          <w:color w:val="000000"/>
          <w:sz w:val="24"/>
          <w:szCs w:val="24"/>
        </w:rPr>
        <w:t xml:space="preserve">The demonstrated revocation completes the consent lifecycle anticipated by the temporal and lifecycle model of Section 6.5: the consent progresses through the controlled states PENDING_SIGNATURE, PENDING_TOKEN, NOT_STARTED, ACTIVE and REVOKED, and the activating and revoking transitions are themselves verifiable Sepolia transactions (blocks 11,771,243 and 11,771,307). Trust is therefore not treated as permanently established at the moment a consent is created, which is precisely the lifecycle-trust principle stated there.</w:t>
      </w:r>
    </w:p>
    <w:p>
      <w:pPr>
        <w:keepNext/>
        <w:spacing w:after="60" w:before="140"/>
        <w:jc w:val="center"/>
      </w:pPr>
      <w:r>
        <w:drawing>
          <wp:inline distT="0" distB="0" distL="0" distR="0">
            <wp:extent cx="5715000" cy="2009775"/>
            <wp:effectExtent t="0" r="0" b="0" l="0"/>
            <wp:docPr id="1" name="lifecycle_sm.png" descr="Figure 35: The implemented consent lifecycle: every consent progresses through controlled states, and the activating and revoking transitions are anchored as verifiable Sepolia transactions." title="Figure 35: The implemented consent lifecycle: every consent progresses through controlled states, and the activating and revoking transitions are anchored as verifiable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35: The implemented consent lifecycle: every consent progresses through controlled states, and the activating and revoking transitions are anchored as verifiable Sepolia transactions.</w:t>
      </w:r>
    </w:p>
    <w:p>
      <w:pPr>
        <w:keepNext/>
        <w:spacing w:after="60" w:before="140"/>
        <w:jc w:val="center"/>
      </w:pPr>
      <w:r>
        <w:drawing>
          <wp:inline distT="0" distB="0" distL="0" distR="0">
            <wp:extent cx="5334000" cy="2952750"/>
            <wp:effectExtent t="0" r="0" b="0" l="0"/>
            <wp:docPr id="1" name="M5.png" descr="Figure 36: The doctor subsystem after revocation: VA reports FAIL and the consent is reported as 'not active. Current state: REVOKED'." title="Figure 36: The doctor subsystem after revocation: VA reports FAIL and the consent is reported as 'not active. Current state: REV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36: The doctor subsystem after revocation: VA reports FAIL and the consent is reported as 'not active. Current state: REVOKED'.</w:t>
      </w:r>
    </w:p>
    <w:p>
      <w:pPr>
        <w:spacing w:after="140" w:line="300"/>
        <w:jc w:val="both"/>
      </w:pPr>
      <w:r>
        <w:rPr>
          <w:rFonts w:ascii="Cambria" w:cs="Cambria" w:eastAsia="Cambria" w:hAnsi="Cambria"/>
          <w:color w:val="000000"/>
          <w:sz w:val="24"/>
          <w:szCs w:val="24"/>
        </w:rPr>
        <w:t xml:space="preserve">As shown in the figure above, when the doctor subsequently enters the same Consent ID, the authorisation check VA fails and the subsystem reports that the consent is not active. Consequently, revocation is not merely a change of display: it removes the authorisation on which every later access decision depends.</w:t>
      </w:r>
    </w:p>
    <w:p>
      <w:pPr>
        <w:keepNext/>
        <w:spacing w:after="60" w:before="140"/>
        <w:jc w:val="center"/>
      </w:pPr>
      <w:r>
        <w:drawing>
          <wp:inline distT="0" distB="0" distL="0" distR="0">
            <wp:extent cx="5715000" cy="3752850"/>
            <wp:effectExtent t="0" r="0" b="0" l="0"/>
            <wp:docPr id="1" name="M6.png" descr="Figure 37: The revocation transaction on Sepolia Etherscan: status Success, block 11,771,307, decoded input 'Function: revoke(uint256 tokenId)' with tokenId = 1." title="Figure 37: The revocation transaction on Sepolia Etherscan: status Success, block 11,771,307, decoded input 'Function: revoke(uint256 tokenId)' with tokenId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7528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37: The revocation transaction on Sepolia Etherscan: status Success, block 11,771,307, decoded input 'Function: revoke(uint256 tokenId)' with tokenId = 1.</w:t>
      </w:r>
    </w:p>
    <w:p>
      <w:pPr>
        <w:spacing w:after="140" w:line="300"/>
        <w:jc w:val="both"/>
      </w:pPr>
      <w:r>
        <w:rPr>
          <w:rFonts w:ascii="Cambria" w:cs="Cambria" w:eastAsia="Cambria" w:hAnsi="Cambria"/>
          <w:color w:val="000000"/>
          <w:sz w:val="24"/>
          <w:szCs w:val="24"/>
        </w:rPr>
        <w:t xml:space="preserve">As shown in the figure above, the revocation is again a publicly verifiable transaction, whose decoded input names the contract function revoke and the token identifier. The transaction can be inspected on Sepolia Etherscan (revoke transaction 0x017efb9d…dceaa, listed in the verification links of Section 6.8.12). The revocation subsystem therefore corresponds to </w:t>
      </w:r>
      <w:r>
        <w:rPr>
          <w:rFonts w:ascii="Cambria" w:cs="Cambria" w:eastAsia="Cambria" w:hAnsi="Cambria"/>
          <w:b/>
          <w:bCs/>
          <w:color w:val="000000"/>
          <w:sz w:val="24"/>
          <w:szCs w:val="24"/>
        </w:rPr>
        <w:t xml:space="preserve">Enforcement State Management and Consent Withdrawal</w:t>
      </w:r>
      <w:r>
        <w:rPr>
          <w:rFonts w:ascii="Cambria" w:cs="Cambria" w:eastAsia="Cambria" w:hAnsi="Cambria"/>
          <w:color w:val="000000"/>
          <w:sz w:val="24"/>
          <w:szCs w:val="24"/>
        </w:rPr>
        <w:t xml:space="preserve">.</w:t>
      </w:r>
    </w:p>
    <w:p>
      <w:pPr>
        <w:pStyle w:val="Heading3"/>
        <w:spacing w:after="160" w:before="280"/>
      </w:pPr>
      <w:r>
        <w:rPr>
          <w:color w:val="000000"/>
        </w:rPr>
        <w:t xml:space="preserve">6.8.7  Blockchain Audit and Consent Lifecycle for the Auditor</w:t>
      </w:r>
    </w:p>
    <w:p>
      <w:pPr>
        <w:spacing w:after="140" w:line="300"/>
        <w:jc w:val="both"/>
      </w:pPr>
      <w:r>
        <w:rPr>
          <w:rFonts w:ascii="Cambria" w:cs="Cambria" w:eastAsia="Cambria" w:hAnsi="Cambria"/>
          <w:color w:val="000000"/>
          <w:sz w:val="24"/>
          <w:szCs w:val="24"/>
        </w:rPr>
        <w:t xml:space="preserve">The sixth major module is the Blockchain Audit &amp; Consent Lifecycle module. This subsystem provides an independent view of the complete consent process and corresponds to the auditability and accountability component of the HALAH framework.</w:t>
      </w:r>
    </w:p>
    <w:p>
      <w:pPr>
        <w:keepNext/>
        <w:spacing w:after="60" w:before="140"/>
        <w:jc w:val="center"/>
      </w:pPr>
      <w:r>
        <w:drawing>
          <wp:inline distT="0" distB="0" distL="0" distR="0">
            <wp:extent cx="5524500" cy="4019550"/>
            <wp:effectExtent t="0" r="0" b="0" l="0"/>
            <wp:docPr id="1" name="n_lifecycle.png" descr="Figure 38: The Consent Lifecycle reconstruction for the evaluated consent: the guardian signatures, MINT_SBT and ONCHAIN_MINT on the left, and the STATE_CHECK, DENIED, REVOKE_CONSENT and ONCHAIN_REVOKE events on the right." title="Figure 38: The Consent Lifecycle reconstruction for the evaluated consent: the guardian signatures, MINT_SBT and ONCHAIN_MINT on the left, and the STATE_CHECK, DENIED, REVOKE_CONSENT and ONCHAIN_REVOKE event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24500" cy="4019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38: The Consent Lifecycle reconstruction for the evaluated consent: the guardian signatures, MINT_SBT and ONCHAIN_MINT on the left, and the STATE_CHECK, DENIED, REVOKE_CONSENT and ONCHAIN_REVOKE events on the right.</w:t>
      </w:r>
    </w:p>
    <w:p>
      <w:pPr>
        <w:spacing w:after="140" w:line="300"/>
        <w:jc w:val="both"/>
      </w:pPr>
      <w:r>
        <w:rPr>
          <w:rFonts w:ascii="Cambria" w:cs="Cambria" w:eastAsia="Cambria" w:hAnsi="Cambria"/>
          <w:color w:val="000000"/>
          <w:sz w:val="24"/>
          <w:szCs w:val="24"/>
        </w:rPr>
        <w:t xml:space="preserve">As shown in the figure above, the lifecycle view presents each event as a card with its timestamp, actor, role, action and result, so the chronological sequence of the authorisation process can be read directly.</w:t>
      </w:r>
    </w:p>
    <w:p>
      <w:pPr>
        <w:keepNext/>
        <w:spacing w:after="60" w:before="140"/>
        <w:jc w:val="center"/>
      </w:pPr>
      <w:r>
        <w:drawing>
          <wp:inline distT="0" distB="0" distL="0" distR="0">
            <wp:extent cx="5715000" cy="3343275"/>
            <wp:effectExtent t="0" r="0" b="0" l="0"/>
            <wp:docPr id="1" name="M7.png" descr="Figure 39: The auditor subsystem with the evaluated consent selected: aggregate indicators and the Detailed Audit Records, in which the on-chain events carry their transaction hashes and block numbers." title="Figure 39: The auditor subsystem with the evaluated consent selected: aggregate indicators and the Detailed Audit Records, in which the on-chain events carry their transaction hashes and block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39: The auditor subsystem with the evaluated consent selected: aggregate indicators and the Detailed Audit Records, in which the on-chain events carry their transaction hashes and block numbers.</w:t>
      </w:r>
    </w:p>
    <w:p>
      <w:pPr>
        <w:spacing w:after="140" w:line="300"/>
        <w:jc w:val="both"/>
      </w:pPr>
      <w:r>
        <w:rPr>
          <w:rFonts w:ascii="Cambria" w:cs="Cambria" w:eastAsia="Cambria" w:hAnsi="Cambria"/>
          <w:color w:val="000000"/>
          <w:sz w:val="24"/>
          <w:szCs w:val="24"/>
        </w:rPr>
        <w:t xml:space="preserve">As shown in the figure above, the system first provides aggregate indicators including:</w:t>
      </w:r>
    </w:p>
    <w:p>
      <w:pPr>
        <w:spacing w:after="160" w:before="60"/>
        <w:jc w:val="center"/>
      </w:pPr>
      <w:r>
        <w:rPr>
          <w:rFonts w:ascii="Cambria Math" w:cs="Cambria Math" w:eastAsia="Cambria Math" w:hAnsi="Cambria Math"/>
          <w:i/>
          <w:iCs/>
          <w:color w:val="000000"/>
          <w:sz w:val="22"/>
          <w:szCs w:val="22"/>
        </w:rPr>
        <w:t xml:space="preserve">Total Events = 60    Consent Events = 8    Access Requests = 9    On-chain Anchors = 5</w:t>
      </w:r>
    </w:p>
    <w:p>
      <w:pPr>
        <w:spacing w:after="140" w:line="300"/>
        <w:jc w:val="both"/>
      </w:pPr>
      <w:r>
        <w:rPr>
          <w:rFonts w:ascii="Cambria" w:cs="Cambria" w:eastAsia="Cambria" w:hAnsi="Cambria"/>
          <w:color w:val="000000"/>
          <w:sz w:val="24"/>
          <w:szCs w:val="24"/>
        </w:rPr>
        <w:t xml:space="preserve">These indicators give the auditor an immediate overview of the recorded system activity and of how many events are anchored on the public chain. The five anchors comprise the mint and revocation of the evaluated consent (token #1), the mint of the photographed lifecycle (token #2), and the mint and revocation of an earlier trial consent on the previous contract; the nine access requests comprise the granted, refused and reproduced requests of the two lifecycles together with three granted requests recorded for the earlier trial consents. More importantly, the Consent Lifecycle section reconstructs the sequence of events associated with a particular consent. The reconstructed records include CREATE_CONSENT performed by the patient, followed by SIGN_CONSENT performed by each guardian, followed by MINT_SBT and ONCHAIN_MINT performed by the smart contract; in the figure the detailed table is scrolled to the on-chain events, whose rows carry the transaction hashes. The subsequent STATE_CHECK system events demonstrate that the Consent Engine continuously evaluates the state of the authorisation. The doctor then generates DATA_ACCESS with the result GRANTED, later DATA_ACCESS with the result DENIED when the jurisdiction check fails, and finally the patient generates REVOKE_CONSENT followed by ONCHAIN_REVOKE performed by the smart contract.</w:t>
      </w:r>
    </w:p>
    <w:p>
      <w:pPr>
        <w:spacing w:after="140" w:line="300"/>
        <w:jc w:val="both"/>
      </w:pPr>
      <w:r>
        <w:rPr>
          <w:rFonts w:ascii="Cambria" w:cs="Cambria" w:eastAsia="Cambria" w:hAnsi="Cambria"/>
          <w:color w:val="000000"/>
          <w:sz w:val="24"/>
          <w:szCs w:val="24"/>
        </w:rPr>
        <w:t xml:space="preserve">This audit reconstruction, together with the independent verification of every recorded transaction against the public chain, constitutes the empirical component of the security-assurance objective RO6 of Section 6.6: representative valid, invalid and adversarial scenarios have been executed against the running prototype, and the recorded evidence is consistent with the public chain. The formal component — proofs and model checking of the stated properties — remains next-stage work.</w:t>
      </w:r>
    </w:p>
    <w:p>
      <w:pPr>
        <w:spacing w:after="140" w:line="300"/>
        <w:jc w:val="both"/>
      </w:pPr>
      <w:r>
        <w:rPr>
          <w:rFonts w:ascii="Cambria" w:cs="Cambria" w:eastAsia="Cambria" w:hAnsi="Cambria"/>
          <w:color w:val="000000"/>
          <w:sz w:val="24"/>
          <w:szCs w:val="24"/>
        </w:rPr>
        <w:t xml:space="preserve">This produces an explicit chain of evidence as</w:t>
      </w:r>
    </w:p>
    <w:p>
      <w:pPr>
        <w:spacing w:after="160" w:before="60"/>
        <w:jc w:val="center"/>
      </w:pPr>
      <w:r>
        <w:rPr>
          <w:rFonts w:ascii="Cambria Math" w:cs="Cambria Math" w:eastAsia="Cambria Math" w:hAnsi="Cambria Math"/>
          <w:i/>
          <w:iCs/>
          <w:color w:val="000000"/>
          <w:sz w:val="22"/>
          <w:szCs w:val="22"/>
        </w:rPr>
        <w:t xml:space="preserve">Patient → Guardian_A → Guardian_B → SmartContract(mint) → ConsentEngine → Doctor(GRANTED)</w:t>
      </w:r>
    </w:p>
    <w:p>
      <w:pPr>
        <w:spacing w:after="160" w:before="60"/>
        <w:jc w:val="center"/>
      </w:pPr>
      <w:r>
        <w:rPr>
          <w:rFonts w:ascii="Cambria Math" w:cs="Cambria Math" w:eastAsia="Cambria Math" w:hAnsi="Cambria Math"/>
          <w:i/>
          <w:iCs/>
          <w:color w:val="000000"/>
          <w:sz w:val="22"/>
          <w:szCs w:val="22"/>
        </w:rPr>
        <w:t xml:space="preserve">→ Doctor(DENIED) → Patient(revoke) → SmartContract(revoke)</w:t>
      </w:r>
    </w:p>
    <w:p>
      <w:pPr>
        <w:spacing w:after="140" w:line="300"/>
        <w:jc w:val="both"/>
      </w:pPr>
      <w:r>
        <w:rPr>
          <w:rFonts w:ascii="Cambria" w:cs="Cambria" w:eastAsia="Cambria" w:hAnsi="Cambria"/>
          <w:color w:val="000000"/>
          <w:sz w:val="24"/>
          <w:szCs w:val="24"/>
        </w:rPr>
        <w:t xml:space="preserve">The audit subsystem therefore allows an auditor to reconstruct not only who accessed the data, but also why that access was permitted or refused, because each access event can be associated with the preceding consent creation, guardian approvals, on-chain activation, state checks and the decision matrix that was in force at that moment.</w:t>
      </w:r>
    </w:p>
    <w:p>
      <w:pPr>
        <w:spacing w:after="140" w:line="300"/>
        <w:jc w:val="both"/>
      </w:pPr>
      <w:r>
        <w:rPr>
          <w:rFonts w:ascii="Cambria" w:cs="Cambria" w:eastAsia="Cambria" w:hAnsi="Cambria"/>
          <w:color w:val="000000"/>
          <w:sz w:val="24"/>
          <w:szCs w:val="24"/>
        </w:rPr>
        <w:t xml:space="preserve">This corresponds to the proposed requirement for </w:t>
      </w:r>
      <w:r>
        <w:rPr>
          <w:rFonts w:ascii="Cambria" w:cs="Cambria" w:eastAsia="Cambria" w:hAnsi="Cambria"/>
          <w:b/>
          <w:bCs/>
          <w:color w:val="000000"/>
          <w:sz w:val="24"/>
          <w:szCs w:val="24"/>
        </w:rPr>
        <w:t xml:space="preserve">traceability, accountability and non-repudiable consent evidence</w:t>
      </w:r>
      <w:r>
        <w:rPr>
          <w:rFonts w:ascii="Cambria" w:cs="Cambria" w:eastAsia="Cambria" w:hAnsi="Cambria"/>
          <w:color w:val="000000"/>
          <w:sz w:val="24"/>
          <w:szCs w:val="24"/>
        </w:rPr>
        <w:t xml:space="preserve">.</w:t>
      </w:r>
    </w:p>
    <w:p>
      <w:pPr>
        <w:pStyle w:val="Heading3"/>
        <w:spacing w:after="160" w:before="280"/>
      </w:pPr>
      <w:r>
        <w:rPr>
          <w:color w:val="000000"/>
        </w:rPr>
        <w:t xml:space="preserve">6.8.8  Detailed Audit Records</w:t>
      </w:r>
    </w:p>
    <w:p>
      <w:pPr>
        <w:spacing w:after="140" w:line="300"/>
        <w:jc w:val="both"/>
      </w:pPr>
      <w:r>
        <w:rPr>
          <w:rFonts w:ascii="Cambria" w:cs="Cambria" w:eastAsia="Cambria" w:hAnsi="Cambria"/>
          <w:color w:val="000000"/>
          <w:sz w:val="24"/>
          <w:szCs w:val="24"/>
        </w:rPr>
        <w:t xml:space="preserve">The Detailed Audit Records component provides a lower-level view of the events represented in the lifecycle subsystem.</w:t>
      </w:r>
    </w:p>
    <w:p>
      <w:pPr>
        <w:spacing w:after="140" w:line="300"/>
        <w:jc w:val="both"/>
      </w:pPr>
      <w:r>
        <w:rPr>
          <w:rFonts w:ascii="Cambria" w:cs="Cambria" w:eastAsia="Cambria" w:hAnsi="Cambria"/>
          <w:color w:val="000000"/>
          <w:sz w:val="24"/>
          <w:szCs w:val="24"/>
        </w:rP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consent context and, for on-chain events, the transaction hash and block number. As shown in the auditor figure above, the ONCHAIN_MINT and ONCHAIN_REVOKE rows carry the hashes of the two Sepolia transactions presented in Sections 6.8.3 and 6.8.6, so the ledger and the public chain describe the same events.</w:t>
      </w:r>
    </w:p>
    <w:p>
      <w:pPr>
        <w:spacing w:after="140" w:line="300"/>
        <w:jc w:val="both"/>
      </w:pPr>
      <w:r>
        <w:rPr>
          <w:rFonts w:ascii="Cambria" w:cs="Cambria" w:eastAsia="Cambria" w:hAnsi="Cambria"/>
          <w:color w:val="000000"/>
          <w:sz w:val="24"/>
          <w:szCs w:val="24"/>
        </w:rP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spacing w:after="140" w:line="300"/>
        <w:jc w:val="both"/>
      </w:pPr>
      <w:r>
        <w:rPr>
          <w:rFonts w:ascii="Cambria" w:cs="Cambria" w:eastAsia="Cambria" w:hAnsi="Cambria"/>
          <w:color w:val="000000"/>
          <w:sz w:val="24"/>
          <w:szCs w:val="24"/>
        </w:rPr>
        <w:t xml:space="preserve">The subsystem therefore implements the distinction between operational access information and forensic/audit information.</w:t>
      </w:r>
    </w:p>
    <w:p>
      <w:pPr>
        <w:pStyle w:val="Heading3"/>
        <w:spacing w:after="160" w:before="280"/>
      </w:pPr>
      <w:r>
        <w:rPr>
          <w:color w:val="000000"/>
        </w:rPr>
        <w:t xml:space="preserve">6.8.9  Complete Audit Ledger and Independent Verification</w:t>
      </w:r>
    </w:p>
    <w:p>
      <w:pPr>
        <w:spacing w:after="140" w:line="300"/>
        <w:jc w:val="both"/>
      </w:pPr>
      <w:r>
        <w:rPr>
          <w:rFonts w:ascii="Cambria" w:cs="Cambria" w:eastAsia="Cambria" w:hAnsi="Cambria"/>
          <w:color w:val="000000"/>
          <w:sz w:val="24"/>
          <w:szCs w:val="24"/>
        </w:rPr>
        <w:t xml:space="preserve">The Complete Blockchain Audit Ledger provides the most comprehensive representation of the recorded consent history. This component demonstrates that the audit mechanism is not limited to successful data-access events. Instead, the system records the broader lifecycle of the consent, including creation, signatures, state validation, smart-contract actions, refused requests and revocations. Consequently, the ledger provides the evidentiary foundation for evaluating several properties of the proposed framework:</w:t>
      </w:r>
    </w:p>
    <w:p>
      <w:pPr>
        <w:spacing w:after="160" w:before="60"/>
        <w:jc w:val="center"/>
      </w:pPr>
      <w:r>
        <w:rPr>
          <w:rFonts w:ascii="Cambria Math" w:cs="Cambria Math" w:eastAsia="Cambria Math" w:hAnsi="Cambria Math"/>
          <w:i/>
          <w:iCs/>
          <w:color w:val="000000"/>
          <w:sz w:val="22"/>
          <w:szCs w:val="22"/>
        </w:rPr>
        <w:t xml:space="preserve">Accountability + Traceability + Integrity + Non-repudiation</w:t>
      </w:r>
    </w:p>
    <w:p>
      <w:pPr>
        <w:spacing w:after="140" w:line="300"/>
        <w:jc w:val="both"/>
      </w:pPr>
      <w:r>
        <w:rPr>
          <w:rFonts w:ascii="Cambria" w:cs="Cambria" w:eastAsia="Cambria" w:hAnsi="Cambria"/>
          <w:color w:val="000000"/>
          <w:sz w:val="24"/>
          <w:szCs w:val="24"/>
        </w:rPr>
        <w:t xml:space="preserve">A ledger kept by the application could in principle contain fabricated entries. Consequently, the implementation provides an independent verification tool. The tool re-reads the ledger and, for every event that carries a transaction hash, fetches the corresponding receipt directly from Sepolia and checks that the transaction exists, succeeded, and was included in the recorded block; for every consent anchored on the current contract it then reads the token back and compares the on-chain revocation state with the local state; the earlier trial token resides on the superseded contract and is reported and skipped.</w:t>
      </w:r>
    </w:p>
    <w:p>
      <w:pPr>
        <w:keepNext/>
        <w:spacing w:after="60" w:before="140"/>
        <w:jc w:val="center"/>
      </w:pPr>
      <w:r>
        <w:drawing>
          <wp:inline distT="0" distB="0" distL="0" distR="0">
            <wp:extent cx="5334000" cy="571500"/>
            <wp:effectExtent t="0" r="0" b="0" l="0"/>
            <wp:docPr id="1" name="M8_clean.png" descr="Figure 40: The final verdict of the independent verification, re-executed after the second lifecycle: RESULT: ALL CHECKS PASSED." title="Figure 40: The final verdict of the independent verification, re-executed after the second lifecycle: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5715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40: The final verdict of the independent verification, re-executed after the second lifecycle: RESULT: ALL CHECKS PASSED.</w:t>
      </w:r>
    </w:p>
    <w:p>
      <w:pPr>
        <w:spacing w:after="140" w:line="300"/>
        <w:jc w:val="both"/>
      </w:pPr>
      <w:r>
        <w:rPr>
          <w:rFonts w:ascii="Cambria" w:cs="Cambria" w:eastAsia="Cambria" w:hAnsi="Cambria"/>
          <w:color w:val="000000"/>
          <w:sz w:val="24"/>
          <w:szCs w:val="24"/>
        </w:rPr>
        <w:t xml:space="preserve">As shown in the figure above, the verification was re-executed after the second lifecycle and reports ALL CHECKS PASSED: every recorded transaction was found on Sepolia in its recorded block, and for both tokens on the current contract the revocation state stored by the application matches the state stored by the contract (token #1 revoked, token #2 not revoked). Accordingly, the demonstrated sequence shows that the doctor receives a GRANTED result only while the consent is in the ACTIVE state, and a DENIED or 'not active' result otherwise. This provides an implementation-level demonstration that access decisions are linked to the consent lifecycle rather than being independent application events, and that the recorded lifecycle is consistent with the public chain.</w:t>
      </w:r>
    </w:p>
    <w:p>
      <w:pPr>
        <w:pStyle w:val="Heading3"/>
        <w:spacing w:after="160" w:before="280"/>
      </w:pPr>
      <w:r>
        <w:rPr>
          <w:color w:val="000000"/>
        </w:rPr>
        <w:t xml:space="preserve">6.8.10  Correspondence Between the Subsystems and the Framework</w:t>
      </w:r>
    </w:p>
    <w:p>
      <w:pPr>
        <w:spacing w:after="140" w:line="300"/>
        <w:jc w:val="both"/>
      </w:pPr>
      <w:r>
        <w:rPr>
          <w:rFonts w:ascii="Cambria" w:cs="Cambria" w:eastAsia="Cambria" w:hAnsi="Cambria"/>
          <w:color w:val="000000"/>
          <w:sz w:val="24"/>
          <w:szCs w:val="24"/>
        </w:rPr>
        <w:t xml:space="preserve">The subsystems collectively implement the principal stages of the proposed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HALAH Framework Component</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Implementation Subsystem</w:t>
            </w:r>
          </w:p>
        </w:tc>
        <w:tc>
          <w:tcPr>
            <w:tcW w:type="dxa" w:w="35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Main Function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Object Construction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Create Smart Consent Contract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Defines patient, authorised doctor, data scope, guardians, jurisdiction and temporal validity</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Identity &amp; Authorisation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guardian identities and EIP-712 signatures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Multi-party Consent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Implements the 2-of-2 approval condition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Activation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Mints the SBT on Sepolia and marks the consent as fully activated</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Consent-State Management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Checks whether the consent is ACTIVE</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Scope Enforcement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Restricts access to authorised EMR modules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Cryptographic Access Control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the request, including a Groth16 proof, before granting data</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Jurisdictional Constraint (L)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Refuses requests whose declared jurisdiction differs from the consent</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Healthcare Data Access</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the authorised Observation, Medication, Condition and Procedure records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Enforcement / Revocation (E)</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My Consents (Patient)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Revokes the consent locally and on-chain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Lifecycle Traceability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Blockchain Audit &amp; Consent Lifecycle</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Reconstructs the chronological consent process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Accountability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Detailed Audit Records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event-level evidence with transaction hashes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Ledger Integrity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Complete Ledger + independent verification</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Confirms the recorded history against Sepolia</w:t>
            </w:r>
          </w:p>
        </w:tc>
      </w:tr>
    </w:tbl>
    <w:p>
      <w:pPr>
        <w:spacing w:after="160" w:before="60"/>
        <w:jc w:val="center"/>
      </w:pPr>
      <w:r>
        <w:rPr>
          <w:rFonts w:ascii="Cambria" w:cs="Cambria" w:eastAsia="Cambria" w:hAnsi="Cambria"/>
          <w:i/>
          <w:iCs/>
          <w:color w:val="000000"/>
          <w:sz w:val="19"/>
          <w:szCs w:val="19"/>
        </w:rPr>
        <w:t xml:space="preserve">Table 9: Correspondence between the HALAH framework components and the implemented subsystems.</w:t>
      </w:r>
    </w:p>
    <w:p>
      <w:pPr>
        <w:spacing w:after="140" w:line="300"/>
        <w:jc w:val="both"/>
      </w:pPr>
      <w:r>
        <w:rPr>
          <w:rFonts w:ascii="Cambria" w:cs="Cambria" w:eastAsia="Cambria" w:hAnsi="Cambria"/>
          <w:color w:val="000000"/>
          <w:sz w:val="24"/>
          <w:szCs w:val="24"/>
        </w:rPr>
        <w:t xml:space="preserve">This mapping demonstrates that the implementation is not merely a collection of independent user-subsystem modules. Rather, the modules correspond to successive stages of the proposed authorisation protocol.</w:t>
      </w:r>
    </w:p>
    <w:p>
      <w:pPr>
        <w:pStyle w:val="Heading3"/>
        <w:spacing w:after="160" w:before="280"/>
      </w:pPr>
      <w:r>
        <w:rPr>
          <w:color w:val="000000"/>
        </w:rPr>
        <w:t xml:space="preserve">6.8.11  Overall System Demonstration</w:t>
      </w:r>
    </w:p>
    <w:p>
      <w:pPr>
        <w:spacing w:after="140" w:line="300"/>
        <w:jc w:val="both"/>
      </w:pPr>
      <w:r>
        <w:rPr>
          <w:rFonts w:ascii="Cambria" w:cs="Cambria" w:eastAsia="Cambria" w:hAnsi="Cambria"/>
          <w:color w:val="000000"/>
          <w:sz w:val="24"/>
          <w:szCs w:val="24"/>
        </w:rPr>
        <w:t xml:space="preserve">Taken together, the subsystems demonstrate an end-to-end implementation of the proposed HALAH authorisation workflow on a public blockchain.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minted on Sepolia. The authorised doctor subsequently submits an access request, which is evaluated against the patient's identity, consent state, authorised data scope, temporal validity and jurisdiction. Only when these conditions are satisfied does the system provide access to the specified EMR modules; an out-of-jurisdiction request is refused with the failed check named. The patient finally revokes the consent, the revocation is recorded on-chain, and the complete sequence is exposed through the auditor subsystem and re-verified independently against the chain.</w:t>
      </w:r>
    </w:p>
    <w:p>
      <w:pPr>
        <w:spacing w:after="160" w:before="60"/>
        <w:jc w:val="center"/>
      </w:pPr>
      <w:r>
        <w:rPr>
          <w:rFonts w:ascii="Cambria Math" w:cs="Cambria Math" w:eastAsia="Cambria Math" w:hAnsi="Cambria Math"/>
          <w:i/>
          <w:iCs/>
          <w:color w:val="000000"/>
          <w:sz w:val="22"/>
          <w:szCs w:val="22"/>
        </w:rPr>
        <w:t xml:space="preserve">C → MS → SBT_chain → StateCheck → AccessDecision → EMR → Revoke_chain → Audit → Verify</w:t>
      </w:r>
    </w:p>
    <w:p>
      <w:pPr>
        <w:spacing w:after="140" w:line="300"/>
        <w:jc w:val="both"/>
      </w:pPr>
      <w:r>
        <w:rPr>
          <w:rFonts w:ascii="Cambria" w:cs="Cambria" w:eastAsia="Cambria" w:hAnsi="Cambria"/>
          <w:color w:val="000000"/>
          <w:sz w:val="24"/>
          <w:szCs w:val="24"/>
        </w:rPr>
        <w:t xml:space="preserve">where C denotes consent creation, MS multi-signature approval, SBT_chain on-chain consent activation, StateCheck lifecycle validation, AccessDecision authorisation enforcement over the full consent tuple, EMR authorised medical-record access, Revoke_chain on-chain revocation, Audit immutable lifecycle recording, and Verify independent verification against Sepolia.</w:t>
      </w:r>
    </w:p>
    <w:p>
      <w:pPr>
        <w:spacing w:after="140" w:line="300"/>
        <w:jc w:val="both"/>
      </w:pPr>
      <w:r>
        <w:rPr>
          <w:rFonts w:ascii="Cambria" w:cs="Cambria" w:eastAsia="Cambria" w:hAnsi="Cambria"/>
          <w:color w:val="000000"/>
          <w:sz w:val="24"/>
          <w:szCs w:val="24"/>
        </w:rPr>
        <w:t xml:space="preserve">The demonstrated prototype makes several simplifications that are acceptable for a research demonstration but would require strengthening before deployment. The guardian signing keys are derived deterministically from the guardian DIDs so that the prototype can sign without wallets; in production each guardian would sign the same typed data with a wallet-held key registered against their DID. The doctor's identity and jurisdiction are declared in the interface rather than authenticated, and the Groth16 proof is generated and verified by the same server, so it currently demonstrates the integration of the zero-knowledge toolchain rather than an additional privacy guarantee. These aspects define the immediate future work of the project.</w:t>
      </w:r>
    </w:p>
    <w:p>
      <w:pPr>
        <w:spacing w:after="140" w:line="300"/>
        <w:jc w:val="both"/>
      </w:pPr>
      <w:r>
        <w:rPr>
          <w:rFonts w:ascii="Cambria" w:cs="Cambria" w:eastAsia="Cambria" w:hAnsi="Cambria"/>
          <w:color w:val="000000"/>
          <w:sz w:val="24"/>
          <w:szCs w:val="24"/>
        </w:rPr>
        <w:t xml:space="preserve">From a research-implementation perspective, the most significant feature of the presented subsystems is therefore the continuity between consent specification, multi-party authorisation, public on-chain activation and revocation, access enforcement and independently verifiable audit evidence. The user subsystems provide a visible representation of this continuity, allowing the proposed HALAH model to be demonstrated as an operational authorisation workflow on a public network rather than only as a conceptual framework.</w:t>
      </w:r>
    </w:p>
    <w:p>
      <w:pPr>
        <w:pStyle w:val="Heading3"/>
        <w:spacing w:after="160" w:before="280"/>
      </w:pPr>
      <w:r>
        <w:rPr>
          <w:color w:val="000000"/>
        </w:rPr>
        <w:t xml:space="preserve">6.8.12  Verification Links</w:t>
      </w:r>
    </w:p>
    <w:p>
      <w:pPr>
        <w:spacing w:after="100" w:before="100"/>
      </w:pPr>
      <w:r>
        <w:rPr>
          <w:rFonts w:ascii="Cambria" w:cs="Cambria" w:eastAsia="Cambria" w:hAnsi="Cambria"/>
          <w:b/>
          <w:bCs/>
          <w:color w:val="C00000"/>
          <w:sz w:val="19"/>
          <w:szCs w:val="19"/>
        </w:rPr>
        <w:t xml:space="preserve">◆ [RED — يجب حله قبل التسليم] R1: Before submitting, re-open every link on this page and confirm the contract, both transactions and the token pages still resolve on Sepolia Etherscan exactly as described. The whole evidentiary chain of the report depends on these.</w:t>
      </w:r>
    </w:p>
    <w:p>
      <w:pPr>
        <w:spacing w:after="140" w:line="300"/>
        <w:jc w:val="both"/>
      </w:pPr>
      <w:r>
        <w:rPr>
          <w:rFonts w:ascii="Cambria" w:cs="Cambria" w:eastAsia="Cambria" w:hAnsi="Cambria"/>
          <w:color w:val="000000"/>
          <w:sz w:val="24"/>
          <w:szCs w:val="24"/>
        </w:rPr>
        <w:t xml:space="preserve">Contract: https://sepolia.etherscan.io/address/0x0EC3617581DEC63A7f2bb162DC14d088916ADc73</w:t>
      </w:r>
    </w:p>
    <w:p>
      <w:pPr>
        <w:spacing w:after="140" w:line="300"/>
        <w:jc w:val="both"/>
      </w:pPr>
      <w:r>
        <w:rPr>
          <w:rFonts w:ascii="Cambria" w:cs="Cambria" w:eastAsia="Cambria" w:hAnsi="Cambria"/>
          <w:color w:val="000000"/>
          <w:sz w:val="24"/>
          <w:szCs w:val="24"/>
        </w:rPr>
        <w:t xml:space="preserve">Consent activation (mint of token #1): https://sepolia.etherscan.io/tx/0x8be1b99e9b7054d427bdee0a0b5cc56ae99030a399f4b11d3629ed5d98daf13d</w:t>
      </w:r>
    </w:p>
    <w:p>
      <w:pPr>
        <w:spacing w:after="140" w:line="300"/>
        <w:jc w:val="both"/>
      </w:pPr>
      <w:r>
        <w:rPr>
          <w:rFonts w:ascii="Cambria" w:cs="Cambria" w:eastAsia="Cambria" w:hAnsi="Cambria"/>
          <w:color w:val="000000"/>
          <w:sz w:val="24"/>
          <w:szCs w:val="24"/>
        </w:rPr>
        <w:t xml:space="preserve">Consent activation (mint of token #2, photographed lifecycle): https://sepolia.etherscan.io/tx/0x25ef5e2f0046735dcb01ff7b68875b760bdf88ad0fa3fedc9bfb910769d4c210</w:t>
      </w:r>
    </w:p>
    <w:p>
      <w:pPr>
        <w:spacing w:after="140" w:line="300"/>
        <w:jc w:val="both"/>
      </w:pPr>
      <w:r>
        <w:rPr>
          <w:rFonts w:ascii="Cambria" w:cs="Cambria" w:eastAsia="Cambria" w:hAnsi="Cambria"/>
          <w:color w:val="000000"/>
          <w:sz w:val="24"/>
          <w:szCs w:val="24"/>
        </w:rPr>
        <w:t xml:space="preserve">Consent revocation (token #1): https://sepolia.etherscan.io/tx/0x017efb9dc6acad9733fa05c19408c0166c9c0645e83b6ffdc41c4b3b85ddceaa</w:t>
      </w:r>
    </w:p>
    <w:p>
      <w:pPr>
        <w:spacing w:after="140" w:line="300"/>
        <w:jc w:val="both"/>
      </w:pPr>
      <w:r>
        <w:rPr>
          <w:rFonts w:ascii="Cambria" w:cs="Cambria" w:eastAsia="Cambria" w:hAnsi="Cambria"/>
          <w:color w:val="000000"/>
          <w:sz w:val="24"/>
          <w:szCs w:val="24"/>
        </w:rPr>
        <w:t xml:space="preserve">Full audit-ledger export: </w:t>
      </w:r>
      <w:r>
        <w:rPr>
          <w:rFonts w:ascii="Consolas" w:cs="Consolas" w:eastAsia="Consolas" w:hAnsi="Consolas"/>
          <w:color w:val="000000"/>
          <w:sz w:val="20"/>
          <w:szCs w:val="20"/>
        </w:rPr>
        <w:t xml:space="preserve">evidence/sepolia_audit_ledger_2026-09-24.csv</w:t>
      </w:r>
      <w:r>
        <w:rPr>
          <w:rFonts w:ascii="Cambria" w:cs="Cambria" w:eastAsia="Cambria" w:hAnsi="Cambria"/>
          <w:color w:val="000000"/>
          <w:sz w:val="24"/>
          <w:szCs w:val="24"/>
        </w:rPr>
        <w:t xml:space="preserve">; deployment and run record: </w:t>
      </w:r>
      <w:r>
        <w:rPr>
          <w:rFonts w:ascii="Consolas" w:cs="Consolas" w:eastAsia="Consolas" w:hAnsi="Consolas"/>
          <w:color w:val="000000"/>
          <w:sz w:val="20"/>
          <w:szCs w:val="20"/>
        </w:rPr>
        <w:t xml:space="preserve">evidence/sepolia_deploy_v3_2026-09-24.txt</w:t>
      </w:r>
      <w:r>
        <w:rPr>
          <w:rFonts w:ascii="Cambria" w:cs="Cambria" w:eastAsia="Cambria" w:hAnsi="Cambria"/>
          <w:color w:val="000000"/>
          <w:sz w:val="24"/>
          <w:szCs w:val="24"/>
        </w:rPr>
        <w:t xml:space="preserve"> preserved in the project evidence records.</w:t>
      </w:r>
    </w:p>
    <w:p>
      <w:pPr>
        <w:pStyle w:val="Heading1"/>
        <w:pageBreakBefore/>
        <w:spacing w:after="160" w:before="400"/>
      </w:pPr>
      <w:r>
        <w:t xml:space="preserve">7  Current Progress Status</w:t>
      </w:r>
    </w:p>
    <w:p>
      <w:pPr>
        <w:pStyle w:val="Heading2"/>
        <w:spacing w:after="160" w:before="280"/>
      </w:pPr>
      <w:r>
        <w:t xml:space="preserve">7.1  Progress of RO1: Trust-Centric Consent Model</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RO1 has been completed at the conceptual and prototype-design level. 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sz w:val="22"/>
          <w:szCs w:val="22"/>
        </w:rPr>
        <w:t xml:space="preserve">	(71)</w:t>
      </w:r>
    </w:p>
    <w:p>
      <w:pPr>
        <w:spacing w:after="140" w:line="300"/>
        <w:jc w:val="both"/>
      </w:pPr>
      <w:r>
        <w:rPr>
          <w:rFonts w:ascii="Cambria" w:cs="Cambria" w:eastAsia="Cambria" w:hAnsi="Cambria"/>
          <w:sz w:val="24"/>
          <w:szCs w:val="24"/>
        </w:rP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 The model provides the foundation for the remaining objectives because the identity, multiparty approval, and policy mechanisms can all be evaluated against the same consent object. The current result demonstrates that consent can be represented as an evaluable authorisation object rather than as a binary permission. This provides a conceptual basis for dynamic access decisions and allows subsequent authorisation conditions to be evaluated consistently.</w:t>
      </w:r>
    </w:p>
    <w:p>
      <w:pPr>
        <w:pStyle w:val="Heading2"/>
        <w:spacing w:after="160" w:before="280"/>
      </w:pPr>
      <w:r>
        <w:t xml:space="preserve">7.2  Progress of RO2: Decentralised Identity and Authority</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RO2 has been completed at the conceptual and prototype level. The proposed framework explicitly separates identity authentication from authorisation authority</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(72)</w:t>
      </w:r>
    </w:p>
    <w:p>
      <w:pPr>
        <w:spacing w:after="140" w:line="300"/>
        <w:jc w:val="both"/>
      </w:pPr>
      <w:r>
        <w:rPr>
          <w:rFonts w:ascii="Cambria" w:cs="Cambria" w:eastAsia="Cambria" w:hAnsi="Cambria"/>
          <w:sz w:val="24"/>
          <w:szCs w:val="24"/>
        </w:rPr>
        <w:t xml:space="preserve">A decentralised identifier is used to establish the identity of a participant, while verifiable credentials provide evidence concerning the participant’s role or authority. The identity verification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(73)</w:t>
      </w:r>
    </w:p>
    <w:p>
      <w:pPr>
        <w:spacing w:after="140" w:line="300"/>
        <w:jc w:val="both"/>
      </w:pPr>
      <w:r>
        <w:rPr>
          <w:rFonts w:ascii="Cambria" w:cs="Cambria" w:eastAsia="Cambria" w:hAnsi="Cambria"/>
          <w:sz w:val="24"/>
          <w:szCs w:val="24"/>
        </w:rPr>
        <w:t xml:space="preserve">Successful identity verification therefore does not automatically grant access to healthcare information. Instead, identity and credential validity become trusted inputs to the subsequent authorisation process. The current implementation demonstrates the separation between participant identity and authorisation authority. A valid healthcare participant identity can be verified independently from the question of whether that participant is authorised to access a particular patient’s data.</w:t>
      </w:r>
    </w:p>
    <w:p>
      <w:pPr>
        <w:spacing w:after="140" w:line="300"/>
        <w:jc w:val="both"/>
      </w:pPr>
      <w:r>
        <w:rPr>
          <w:rFonts w:ascii="Cambria" w:cs="Cambria" w:eastAsia="Cambria" w:hAnsi="Cambria"/>
          <w:color w:val="000000"/>
          <w:sz w:val="24"/>
          <w:szCs w:val="24"/>
        </w:rPr>
        <w:t xml:space="preserve">In the current prototype the approval threshold is fixed at N-of-N: every listed guardian must approve, each through an EIP-712 typed-data signature verified by cryptographic recovery, and the two-guardian case has been evaluated end-to-end, with configurable k-of-n thresholds remaining future work. With respect to identity verification,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in the prototype performs identifier- and credential-format validation only; cryptographic DID resolution against a registry and authentication of the requester are acknowledged limitations reserved for the next stage.</w:t>
      </w:r>
    </w:p>
    <w:p>
      <w:pPr>
        <w:pStyle w:val="Heading2"/>
        <w:spacing w:after="160" w:before="280"/>
      </w:pPr>
      <w:r>
        <w:t xml:space="preserve">7.3  Progress of RO3: Trustworthy Multi-Party Authorisation</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RO3 has been completed at the conceptual and prototype level. The framework introduces threshold-based multi-party authorisation to prevent a single participant from unilaterally establishing sensitive healthcare data access.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represent the set of independently verified authorisation participants and N represent the required approval threshold. The authorisation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(74)</w:t>
      </w:r>
    </w:p>
    <w:p>
      <w:pPr>
        <w:spacing w:after="140" w:line="300"/>
        <w:jc w:val="both"/>
      </w:pPr>
      <w:r>
        <w:rPr>
          <w:rFonts w:ascii="Cambria" w:cs="Cambria" w:eastAsia="Cambria" w:hAnsi="Cambria"/>
          <w:sz w:val="24"/>
          <w:szCs w:val="24"/>
        </w:rPr>
        <w:t xml:space="preserve">If the threshold is not satisfied,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(75)</w:t>
      </w:r>
    </w:p>
    <w:p>
      <w:pPr>
        <w:spacing w:after="140" w:line="300"/>
        <w:jc w:val="both"/>
      </w:pPr>
      <w:r>
        <w:rPr>
          <w:rFonts w:ascii="Cambria" w:cs="Cambria" w:eastAsia="Cambria" w:hAnsi="Cambria"/>
          <w:sz w:val="24"/>
          <w:szCs w:val="24"/>
        </w:rPr>
        <w:t xml:space="preserve">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For example, where two approvals are required,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w:t>
      </w:r>
      <w:r>
        <w:rPr>
          <w:rFonts w:ascii="Cambria" w:cs="Cambria" w:eastAsia="Cambria" w:hAnsi="Cambria"/>
          <w:sz w:val="22"/>
          <w:szCs w:val="22"/>
        </w:rPr>
        <w:t xml:space="preserve">	(76)</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0.</w:t>
      </w:r>
      <w:r>
        <w:rPr>
          <w:rFonts w:ascii="Cambria" w:cs="Cambria" w:eastAsia="Cambria" w:hAnsi="Cambria"/>
          <w:sz w:val="22"/>
          <w:szCs w:val="22"/>
        </w:rPr>
        <w:t xml:space="preserve">	(77)</w:t>
      </w:r>
    </w:p>
    <w:p>
      <w:pPr>
        <w:spacing w:after="140" w:line="300"/>
        <w:jc w:val="both"/>
      </w:pPr>
      <w:r>
        <w:rPr>
          <w:rFonts w:ascii="Cambria" w:cs="Cambria" w:eastAsia="Cambria" w:hAnsi="Cambria"/>
          <w:sz w:val="24"/>
          <w:szCs w:val="24"/>
        </w:rPr>
        <w:t xml:space="preserve">This provides preliminary evidence that the proposed framework can enforce collective rather than unilateral authorisation.</w:t>
      </w:r>
    </w:p>
    <w:p>
      <w:pPr>
        <w:pStyle w:val="Heading2"/>
        <w:spacing w:after="160" w:before="280"/>
      </w:pPr>
      <w:r>
        <w:t xml:space="preserve">7.4  Progress of RO4: Policy-Aware Access Control</w:t>
      </w:r>
    </w:p>
    <w:p>
      <w:pPr>
        <w:spacing w:after="100" w:before="100"/>
      </w:pPr>
      <w:r>
        <w:rPr>
          <w:rFonts w:ascii="Cambria" w:cs="Cambria" w:eastAsia="Cambria" w:hAnsi="Cambria"/>
          <w:b/>
          <w:bCs/>
          <w:color w:val="C00000"/>
          <w:sz w:val="19"/>
          <w:szCs w:val="19"/>
        </w:rPr>
        <w:t xml:space="preserve">◆ [RED — يجب حله قبل التسليم] R2a: Status upgraded to Completed. Your original CA2 plan placed RO4 in the next stage; be ready to defend the upgrade with the implemented evidence (scope, temporal and jurisdiction checks; the SA denial), and confirm your supervisor agrees with the new staging before submitting.</w:t>
      </w:r>
    </w:p>
    <w:p>
      <w:pPr>
        <w:spacing w:after="140" w:line="300"/>
        <w:jc w:val="both"/>
      </w:pPr>
      <w:r>
        <w:rPr>
          <w:rFonts w:ascii="Cambria" w:cs="Cambria" w:eastAsia="Cambria" w:hAnsi="Cambria"/>
          <w:color w:val="000000"/>
          <w:sz w:val="24"/>
          <w:szCs w:val="24"/>
        </w:rPr>
        <w:t xml:space="preserve">Status: Completed.</w:t>
      </w:r>
    </w:p>
    <w:p>
      <w:pPr>
        <w:spacing w:after="140" w:line="300"/>
        <w:jc w:val="both"/>
      </w:pPr>
      <w:r>
        <w:rPr>
          <w:rFonts w:ascii="Cambria" w:cs="Cambria" w:eastAsia="Cambria" w:hAnsi="Cambria"/>
          <w:color w:val="000000"/>
          <w:sz w:val="24"/>
          <w:szCs w:val="24"/>
        </w:rPr>
        <w:t xml:space="preserve">The policy predicate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is implemented at the prototype level: each access request declares a purpose and a requested data scope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and the request is rejected whenever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is not a subset of the authorised scope S</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The predicate is evaluated as one term of the complete decision matrix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and every denial names the failed checks explicitly in both the interface and the audit ledger. In addition, input validation on consent creation and access requests prevents malformed identifiers, scopes and jurisdictions from reaching the decision logic. Consequently, policy-aware access control is an enforced property of the running system rather than an expected outcome.</w:t>
      </w:r>
    </w:p>
    <w:p>
      <w:pPr>
        <w:spacing w:after="140" w:line="300"/>
        <w:jc w:val="both"/>
      </w:pPr>
      <w:r>
        <w:rPr>
          <w:rFonts w:ascii="Cambria" w:cs="Cambria" w:eastAsia="Cambria" w:hAnsi="Cambria"/>
          <w:sz w:val="24"/>
          <w:szCs w:val="24"/>
        </w:rPr>
        <w:t xml:space="preserve">RO4 represents the next stage of the framework beyond identity and multi-party approval. The objective is to ensure that an otherwise valid requester cannot access healthcare information outside the purpose and data scope authorised by the consent. The proposed policy predicate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(78)</w:t>
      </w:r>
    </w:p>
    <w:p>
      <w:pPr>
        <w:spacing w:after="140" w:line="300"/>
        <w:jc w:val="both"/>
      </w:pPr>
      <w:r>
        <w:rPr>
          <w:rFonts w:ascii="Cambria" w:cs="Cambria" w:eastAsia="Cambria" w:hAnsi="Cambria"/>
          <w:sz w:val="24"/>
          <w:szCs w:val="24"/>
        </w:rPr>
        <w:t xml:space="preserve">For example, if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{Observation, Medication}, and the requester asks for </w:t>
      </w:r>
      <w:r>
        <w:rPr>
          <w:rFonts w:ascii="Cambria" w:cs="Cambria" w:eastAsia="Cambria" w:hAnsi="Cambria"/>
          <w:color w:val="000000"/>
          <w:sz w:val="24"/>
          <w:szCs w:val="24"/>
        </w:rPr>
        <w:t xml:space="preserve">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 {Observation, Medication, Procedure}, the request exceeds the authorised scope and the jurisdiction and validity conditions are evaluated against the stored consent before any decision is returned.</w:t>
      </w:r>
    </w:p>
    <w:p>
      <w:pPr>
        <w:pStyle w:val="Heading2"/>
        <w:spacing w:after="160" w:before="280"/>
      </w:pPr>
      <w:r>
        <w:t xml:space="preserve">7.5  Progress of RO5: Temporal and Lifecycle Trust</w:t>
      </w:r>
    </w:p>
    <w:p>
      <w:pPr>
        <w:spacing w:after="100" w:before="100"/>
      </w:pPr>
      <w:r>
        <w:rPr>
          <w:rFonts w:ascii="Cambria" w:cs="Cambria" w:eastAsia="Cambria" w:hAnsi="Cambria"/>
          <w:b/>
          <w:bCs/>
          <w:color w:val="C00000"/>
          <w:sz w:val="19"/>
          <w:szCs w:val="19"/>
        </w:rPr>
        <w:t xml:space="preserve">◆ [RED — يجب حله قبل التسليم] R2b: Status Largely Completed - same as R2a: the original plan said next stage. The on-chain revocation (block 11,771,307) and the state machine support the claim, but the formal lifecycle model is still future work; do not present RO5 as fully done.</w:t>
      </w:r>
    </w:p>
    <w:p>
      <w:pPr>
        <w:spacing w:after="140" w:line="300"/>
        <w:jc w:val="both"/>
      </w:pPr>
      <w:r>
        <w:rPr>
          <w:rFonts w:ascii="Cambria" w:cs="Cambria" w:eastAsia="Cambria" w:hAnsi="Cambria"/>
          <w:color w:val="000000"/>
          <w:sz w:val="24"/>
          <w:szCs w:val="24"/>
        </w:rPr>
        <w:t xml:space="preserve">Status: Largely Completed.</w:t>
      </w:r>
    </w:p>
    <w:p>
      <w:pPr>
        <w:spacing w:after="140" w:line="300"/>
        <w:jc w:val="both"/>
      </w:pPr>
      <w:r>
        <w:rPr>
          <w:rFonts w:ascii="Cambria" w:cs="Cambria" w:eastAsia="Cambria" w:hAnsi="Cambria"/>
          <w:color w:val="000000"/>
          <w:sz w:val="24"/>
          <w:szCs w:val="24"/>
        </w:rPr>
        <w:t xml:space="preserve">RO5 has moved from planned work to implemented capability. The consent validity interval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is now enforced by the temporal predicate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at every access request and is additionally stored on-chain in the SBT as the notBefore and expiry fields, so that temporal validity can be verified independently of the application. The consent lifecycle is implemented as an explicit state machine comprising PENDING_SIGNATURE, PENDING_TOKEN, NOT_STARTED, ACTIVE, EXPIRED and REVOKED, and revocation is enforced end-to-end: the patient’s withdrawal updates the application state and is confirmed as a revoke transaction on Sepolia in block 11,771,307, after which the contract itself reports the token as invalid and subsequent access requests are denied. What remains for the next stage is therefore the dynamic and delegated dimension of lifecycle trust, such as consent modification, delegation and guardian-set changes, rather than temporal enforcement itself.</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(79)</w:t>
      </w:r>
    </w:p>
    <w:p>
      <w:pPr>
        <w:spacing w:after="140" w:line="300"/>
        <w:jc w:val="both"/>
      </w:pPr>
      <w:r>
        <w:rPr>
          <w:rFonts w:ascii="Cambria" w:cs="Cambria" w:eastAsia="Cambria" w:hAnsi="Cambria"/>
          <w:color w:val="000000"/>
          <w:sz w:val="24"/>
          <w:szCs w:val="24"/>
        </w:rPr>
        <w:t xml:space="preserve">The next stage will extend the implemented lifecycle mechanism towards consent modification, delegation, and guardian-set changes, and will formalise the state-transition model so that unauthorised lifecycle transitions can be excluded by construction.</w:t>
      </w:r>
    </w:p>
    <w:p>
      <w:pPr>
        <w:pStyle w:val="Heading2"/>
        <w:spacing w:after="160" w:before="280"/>
      </w:pPr>
      <w:r>
        <w:t xml:space="preserve">7.6  Progress of RO6: Security Assurance and Validation</w:t>
      </w:r>
    </w:p>
    <w:p>
      <w:pPr>
        <w:spacing w:after="140" w:line="300"/>
        <w:jc w:val="both"/>
      </w:pPr>
      <w:r>
        <w:rPr>
          <w:rFonts w:ascii="Cambria" w:cs="Cambria" w:eastAsia="Cambria" w:hAnsi="Cambria"/>
          <w:sz w:val="24"/>
          <w:szCs w:val="24"/>
        </w:rPr>
        <w:t xml:space="preserve">Status: Partially Completed </w:t>
      </w:r>
      <w:r>
        <w:rPr>
          <w:rFonts w:ascii="Cambria" w:cs="Cambria" w:eastAsia="Cambria" w:hAnsi="Cambria"/>
          <w:color w:val="000000"/>
          <w:sz w:val="24"/>
          <w:szCs w:val="24"/>
        </w:rPr>
        <w:t xml:space="preserve">(empirical validation complete; formal assurance outstanding)</w:t>
      </w:r>
    </w:p>
    <w:p>
      <w:pPr>
        <w:spacing w:after="140" w:line="300"/>
        <w:jc w:val="both"/>
      </w:pPr>
      <w:r>
        <w:rPr>
          <w:rFonts w:ascii="Cambria" w:cs="Cambria" w:eastAsia="Cambria" w:hAnsi="Cambria"/>
          <w:sz w:val="24"/>
          <w:szCs w:val="24"/>
        </w:rPr>
        <w:t xml:space="preserve">RO6 is partially completed through the implementation and initial scenario-based validation of the HALAH prototype. 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DENY, otherwise.</w:t>
      </w:r>
      <w:r>
        <w:rPr>
          <w:rFonts w:ascii="Cambria" w:cs="Cambria" w:eastAsia="Cambria" w:hAnsi="Cambria"/>
          <w:sz w:val="22"/>
          <w:szCs w:val="22"/>
        </w:rPr>
        <w:t xml:space="preserve">	(80)</w:t>
      </w:r>
    </w:p>
    <w:p>
      <w:pPr>
        <w:spacing w:after="140" w:line="300"/>
        <w:jc w:val="both"/>
      </w:pPr>
      <w:r>
        <w:rPr>
          <w:rFonts w:ascii="Cambria" w:cs="Cambria" w:eastAsia="Cambria" w:hAnsi="Cambria"/>
          <w:color w:val="000000"/>
          <w:sz w:val="24"/>
          <w:szCs w:val="24"/>
        </w:rPr>
        <w:t xml:space="preserve">Empirical validation now covers all six trust dimensions. A suite of 23 automated tests exercises per-dimension failures of the decision matrix, rejection of invalid EIP-712 guardian signatures, and tampered or expired zero-knowledge proofs. Live validation on the Sepolia testnet includes a negative demonstration in which a request declaring jurisdiction SA against a consent issued for AU is denied with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named as the failed check, and a revocation scenario in which the same consent, once revoked on-chain, is subsequently denied through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Furthermore, an independent verification tool re-checks every ledger transaction hash against Sepolia receipts and reads each token back from the contract, reporting ALL CHECKS PASSED, and every granted access is accompanied by a real Groth16 proof generated and verified at request time. The implemented decision rule is Decision(C, R, t) = ALLOW iff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Formal security analysis and a systematic performance study remain for the next stage.</w:t>
      </w:r>
    </w:p>
    <w:p>
      <w:pPr>
        <w:spacing w:after="140" w:line="300"/>
        <w:jc w:val="both"/>
      </w:pPr>
      <w:r>
        <w:rPr>
          <w:rFonts w:ascii="Cambria" w:cs="Cambria" w:eastAsia="Cambria" w:hAnsi="Cambria"/>
          <w:sz w:val="24"/>
          <w:szCs w:val="24"/>
        </w:rPr>
        <w:t xml:space="preserve">At the current stage, the experimental evidence primarily demonstrates the consistency between the implemented consent, identity, and multi-party authorisation mechanisms and their corresponding research questions.</w:t>
      </w:r>
    </w:p>
    <w:p>
      <w:pPr>
        <w:spacing w:after="140" w:line="300"/>
        <w:jc w:val="both"/>
      </w:pPr>
      <w:r>
        <w:rPr>
          <w:rFonts w:ascii="Cambria" w:cs="Cambria" w:eastAsia="Cambria" w:hAnsi="Cambria"/>
          <w:color w:val="000000"/>
          <w:sz w:val="24"/>
          <w:szCs w:val="24"/>
        </w:rPr>
        <w:t xml:space="preserve">Policy-violation scenarios, temporal expiration, revocation and invalid lifecycle transitions have now been demonstrated empirically, both in the automated test suite and in the live Sepolia deployment. The remaining work for the next stage is therefore considerably narrower: formal definition and verification of the security properties, a systematic performance and overhead study, and the removal of prototype limitations such as the N-of-N approval rule, server-derived guardian keys and the unauthenticated requester role.</w:t>
      </w:r>
    </w:p>
    <w:p>
      <w:pPr>
        <w:pStyle w:val="Heading1"/>
        <w:pageBreakBefore/>
        <w:spacing w:after="160" w:before="400"/>
      </w:pPr>
      <w:r>
        <w:t xml:space="preserve">8  Publications Summary</w:t>
      </w:r>
    </w:p>
    <w:p>
      <w:pPr>
        <w:spacing w:after="140" w:line="300"/>
        <w:jc w:val="both"/>
      </w:pPr>
      <w:r>
        <w:rPr>
          <w:rFonts w:ascii="Cambria" w:cs="Cambria" w:eastAsia="Cambria" w:hAnsi="Cambria"/>
          <w:sz w:val="24"/>
          <w:szCs w:val="24"/>
        </w:rPr>
        <w:t xml:space="preserve">The publication activities associated with this research are organised according to their current development status and their structural contribution to the thesis chapters and research questions.</w:t>
      </w:r>
    </w:p>
    <w:p>
      <w:pPr>
        <w:keepNext/>
        <w:spacing w:after="80" w:before="160"/>
        <w:jc w:val="center"/>
      </w:pPr>
      <w:r>
        <w:rPr>
          <w:rFonts w:ascii="Cambria" w:cs="Cambria" w:eastAsia="Cambria" w:hAnsi="Cambria"/>
          <w:b/>
          <w:bCs/>
          <w:sz w:val="21"/>
          <w:szCs w:val="21"/>
        </w:rPr>
        <w:t xml:space="preserve">Table 7: </w:t>
      </w:r>
      <w:r>
        <w:rPr>
          <w:rFonts w:ascii="Cambria" w:cs="Cambria" w:eastAsia="Cambria" w:hAnsi="Cambria"/>
          <w:sz w:val="21"/>
          <w:szCs w:val="21"/>
        </w:rPr>
        <w:t xml:space="preserve">Summary of Research Outputs and Publication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Output / Topic</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Target Venue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Current Status</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 Alignment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Trust-Centric Consent Framework
Model architecture and multi-party authorisation policies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Elsevier/IEEE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Almost Ready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Core architectural contribution; addresses RQ1-RQ4 (Chapters 3-4).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HALAH Prototype &amp; Validation
</w:t>
            </w:r>
            <w:r>
              <w:rPr>
                <w:rFonts w:ascii="Cambria" w:cs="Cambria" w:eastAsia="Cambria" w:hAnsi="Cambria"/>
                <w:b w:val="false"/>
                <w:bCs w:val="false"/>
                <w:color w:val="000000"/>
                <w:sz w:val="19"/>
                <w:szCs w:val="19"/>
              </w:rPr>
              <w:t xml:space="preserve">The decentralised implementation and the scenario-based validation are complete on the Sepolia public testnet; the performance evaluation remains outstanding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Systems / Security Conference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 Progress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validation platform; addresses implementation and validation; </w:t>
            </w:r>
            <w:r>
              <w:rPr>
                <w:rFonts w:ascii="Cambria" w:cs="Cambria" w:eastAsia="Cambria" w:hAnsi="Cambria"/>
                <w:b w:val="false"/>
                <w:bCs w:val="false"/>
                <w:color w:val="000000"/>
                <w:sz w:val="19"/>
                <w:szCs w:val="19"/>
              </w:rPr>
              <w:t xml:space="preserve">the paper's empirical section can now draw upon the deployed contract, the two minted tokens and the verified transaction trail as delivered evidence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&amp; Lifecycle Analysis
Verification of temporal constraints and state transitions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Specialised</w:t>
            </w:r>
            <w:r>
              <w:rPr>
                <w:rFonts w:ascii="Cambria" w:cs="Cambria" w:eastAsia="Cambria" w:hAnsi="Cambria"/>
                <w:b w:val="false"/>
                <w:bCs w:val="false"/>
                <w:sz w:val="19"/>
                <w:szCs w:val="19"/>
              </w:rPr>
              <w:t xml:space="preserve"> Workshop / Journal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Planned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Next stage research extension; addresses formal security assurance (Chapter 6).</w:t>
            </w:r>
          </w:p>
        </w:tc>
      </w:tr>
    </w:tbl>
    <w:p>
      <w:pPr>
        <w:spacing w:after="180"/>
      </w:pPr>
    </w:p>
    <w:p>
      <w:pPr>
        <w:spacing w:after="140" w:line="300"/>
        <w:jc w:val="both"/>
      </w:pPr>
      <w:r>
        <w:rPr>
          <w:rFonts w:ascii="Cambria" w:cs="Cambria" w:eastAsia="Cambria" w:hAnsi="Cambria"/>
          <w:sz w:val="24"/>
          <w:szCs w:val="24"/>
        </w:rP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p>
      <w:pPr>
        <w:pStyle w:val="Heading1"/>
        <w:pageBreakBefore/>
        <w:spacing w:after="160" w:before="400"/>
      </w:pPr>
      <w:r>
        <w:t xml:space="preserve">9  Research Plan</w:t>
      </w:r>
    </w:p>
    <w:p>
      <w:pPr>
        <w:spacing w:after="140" w:line="300"/>
        <w:jc w:val="both"/>
      </w:pPr>
      <w:r>
        <w:rPr>
          <w:rFonts w:ascii="Cambria" w:cs="Cambria" w:eastAsia="Cambria" w:hAnsi="Cambria"/>
          <w:sz w:val="24"/>
          <w:szCs w:val="24"/>
        </w:rPr>
        <w:t xml:space="preserve">The research plan is divided into two major stages corresponding to current and next stage.</w:t>
      </w:r>
    </w:p>
    <w:p>
      <w:pPr>
        <w:pStyle w:val="Heading2"/>
        <w:spacing w:after="160" w:before="280"/>
      </w:pPr>
      <w:r>
        <w:t xml:space="preserve">9.1  Current Stage: Completed and Current Work</w:t>
      </w:r>
    </w:p>
    <w:p>
      <w:pPr>
        <w:spacing w:after="140" w:line="300"/>
        <w:jc w:val="both"/>
      </w:pPr>
      <w:r>
        <w:rPr>
          <w:rFonts w:ascii="Cambria" w:cs="Cambria" w:eastAsia="Cambria" w:hAnsi="Cambria"/>
          <w:color w:val="000000"/>
          <w:sz w:val="24"/>
          <w:szCs w:val="24"/>
        </w:rPr>
        <w:t xml:space="preserve">RO1 to RO4 have been implemented and validated in the HALAH prototype, and RO5 is largely complete. The delivered evidence includes the ConsentSBTv3 contract deployed and source-verified on Sepolia at 0x0EC3617581DEC63A7f2bb162DC14d088916ADc73, with the evaluated consent minted as token #1 in block 11,771,243, revoked on-chain in block 11,771,307, and an independently reproduced lifecycle minted as token #2 in block 11,771,581. Each transaction hash is recorded in the audit ledger and is publicly inspectable on Etherscan.</w:t>
      </w:r>
    </w:p>
    <w:p>
      <w:pPr>
        <w:spacing w:after="140" w:line="300"/>
        <w:jc w:val="both"/>
      </w:pPr>
      <w:r>
        <w:rPr>
          <w:rFonts w:ascii="Cambria" w:cs="Cambria" w:eastAsia="Cambria" w:hAnsi="Cambria"/>
          <w:sz w:val="24"/>
          <w:szCs w:val="24"/>
        </w:rP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pStyle w:val="Heading2"/>
        <w:spacing w:after="160" w:before="280"/>
      </w:pPr>
      <w:r>
        <w:t xml:space="preserve">9.2  Next Stage: Planned Work</w:t>
      </w:r>
    </w:p>
    <w:p>
      <w:pPr>
        <w:spacing w:after="140" w:line="300"/>
        <w:jc w:val="both"/>
      </w:pPr>
      <w:r>
        <w:rPr>
          <w:rFonts w:ascii="Cambria" w:cs="Cambria" w:eastAsia="Cambria" w:hAnsi="Cambria"/>
          <w:color w:val="000000"/>
          <w:sz w:val="24"/>
          <w:szCs w:val="24"/>
        </w:rPr>
        <w:t xml:space="preserve">Temporal and lifecycle trust, originally planned for the next stage, has been brought forward and implemented: validity windows are enforced and anchored on-chain, revocation is effective at the contract level, and lifecycle transitions are governed by an explicit state machine. Consequently, the next stage concentrates on two remaining foci: formal security assurance and comprehensive empirical validation, including performance measurement.</w:t>
      </w:r>
    </w:p>
    <w:p>
      <w:pPr>
        <w:spacing w:after="140" w:line="300"/>
        <w:jc w:val="both"/>
      </w:pPr>
      <w:r>
        <w:rPr>
          <w:rFonts w:ascii="Cambria" w:cs="Cambria" w:eastAsia="Cambria" w:hAnsi="Cambria"/>
          <w:sz w:val="24"/>
          <w:szCs w:val="24"/>
        </w:rPr>
        <w:t xml:space="preserve">The next stage will build upon the foundational trust-oriented authorisation framework established during current stage and extend the research towards dynamic consent governance, formal security assurance,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first</w:t>
      </w:r>
      <w:r>
        <w:rPr>
          <w:rFonts w:ascii="Cambria" w:cs="Cambria" w:eastAsia="Cambria" w:hAnsi="Cambria"/>
          <w:sz w:val="24"/>
          <w:szCs w:val="24"/>
        </w:rPr>
        <w:t xml:space="preserve"> focus is formal security assurance. The current stage framework establishes the conceptual relationship between identity verification, collective authorisation, and policy enforcement. </w:t>
      </w:r>
      <w:r>
        <w:rPr>
          <w:rFonts w:ascii="Cambria" w:cs="Cambria" w:eastAsia="Cambria" w:hAnsi="Cambria"/>
          <w:color w:val="000000"/>
          <w:sz w:val="24"/>
          <w:szCs w:val="24"/>
        </w:rPr>
        <w:t xml:space="preserve">The next</w:t>
      </w:r>
      <w:r>
        <w:rPr>
          <w:rFonts w:ascii="Cambria" w:cs="Cambria" w:eastAsia="Cambria" w:hAnsi="Cambria"/>
          <w:sz w:val="24"/>
          <w:szCs w:val="24"/>
        </w:rPr>
        <w:t xml:space="preserve">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second</w:t>
      </w:r>
      <w:r>
        <w:rPr>
          <w:rFonts w:ascii="Cambria" w:cs="Cambria" w:eastAsia="Cambria" w:hAnsi="Cambria"/>
          <w:sz w:val="24"/>
          <w:szCs w:val="24"/>
        </w:rPr>
        <w:t xml:space="preserve"> focus is comprehensive empirical validation. The HALAH prototype provides the experimental environment for evaluating the proposed framework using synthetic healthcare data and representative multi-party consent scenarios. Next stage will extend the current prototype-based evaluation to include both successful and adversarial access requests. The experiments will examine whether the implementation consistently produces an ALLOW decision only when the required trust conditions are satisfied and produces a DENY 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8.</w:t>
      </w:r>
    </w:p>
    <w:p>
      <w:pPr>
        <w:keepNext/>
        <w:spacing w:after="80" w:before="160"/>
        <w:jc w:val="center"/>
      </w:pPr>
      <w:r>
        <w:rPr>
          <w:rFonts w:ascii="Cambria" w:cs="Cambria" w:eastAsia="Cambria" w:hAnsi="Cambria"/>
          <w:b/>
          <w:bCs/>
          <w:sz w:val="21"/>
          <w:szCs w:val="21"/>
        </w:rPr>
        <w:t xml:space="preserve">Table 8: </w:t>
      </w:r>
      <w:r>
        <w:rPr>
          <w:rFonts w:ascii="Cambria" w:cs="Cambria" w:eastAsia="Cambria" w:hAnsi="Cambria"/>
          <w:sz w:val="21"/>
          <w:szCs w:val="21"/>
        </w:rPr>
        <w:t xml:space="preserve">Next Stage Research Activities, Methodological Focus, and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Planned Activities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Outcome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Consent Modification, Delegation and Lifecycle Extensions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consent model to incorporate validity periods, dynamic expiration, immediate revocation, and controlled lifecycle transitions. Evaluate access decisions under varying temporal and consent-state constraints.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robust, dynamic consent management mechanism capable of validating whether an authorisation remains active at the precise point of access.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Assurance
(Properties &amp; Verification)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rigorous formal security model and verification proof establishing explicit security guarantees for the trust-oriented authorisation framework.</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Comprehensive Empirical Validation
(HALAH Prototype Scenarios)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Scale and extend HALAH prototype experiments using representative positive and negative healthcare data-sharing scenarios. Measure and compare observed system runtime performance, overhead, and enforcement accuracy.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evidence and benchmark datasets demonstrating that the implementation consistently and efficiently enforces the proposed authorisation model.</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Framework Evaluation
(Synthesis &amp; End-to-End)</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 temporal, lifecycle, formal verification, and empirical modules into a unified, cohesive framework. Evaluate cross-component interactions, scalability bottlenecks, and end-to-end feasibility in real-world settings.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fully integrated, validated </w:t>
            </w:r>
            <w:r>
              <w:rPr>
                <w:rFonts w:ascii="Cambria" w:cs="Cambria" w:eastAsia="Cambria" w:hAnsi="Cambria"/>
                <w:b w:val="false"/>
                <w:bCs w:val="false"/>
                <w:color w:val="000000"/>
                <w:sz w:val="19"/>
                <w:szCs w:val="19"/>
              </w:rPr>
              <w:t xml:space="preserve">trust-oriented authorisation framework</w:t>
            </w:r>
            <w:r>
              <w:rPr>
                <w:rFonts w:ascii="Cambria" w:cs="Cambria" w:eastAsia="Cambria" w:hAnsi="Cambria"/>
                <w:b w:val="false"/>
                <w:bCs w:val="false"/>
                <w:sz w:val="19"/>
                <w:szCs w:val="19"/>
              </w:rPr>
              <w:t xml:space="preserve"> providing secure, multi-party patient consent and decentralised healthcare data sharing.</w:t>
            </w:r>
          </w:p>
        </w:tc>
      </w:tr>
    </w:tbl>
    <w:p>
      <w:pPr>
        <w:spacing w:after="180"/>
      </w:pPr>
    </w:p>
    <w:p>
      <w:pPr>
        <w:spacing w:after="140" w:line="300"/>
        <w:jc w:val="both"/>
      </w:pPr>
      <w:r>
        <w:rPr>
          <w:rFonts w:ascii="Cambria" w:cs="Cambria" w:eastAsia="Cambria" w:hAnsi="Cambria"/>
          <w:color w:val="000000"/>
          <w:sz w:val="24"/>
          <w:szCs w:val="24"/>
        </w:rPr>
        <w:t xml:space="preserve">Temporal and Lifecycle Trust — Completed (on-chain notBefore and expiry fields; revoke transaction confirmed in block 11,771,307; explicit lifecycle state machine). Comprehensive Empirical Validation — Partially delivered (23 automated tests; live jurisdiction denial and revocation-then-denial on Sepolia; independent chain verification reporting ALL CHECKS PASSED), with performance and overhead measurement remaining.</w:t>
      </w:r>
    </w:p>
    <w:p>
      <w:pPr>
        <w:spacing w:after="140" w:line="300"/>
        <w:jc w:val="both"/>
      </w:pPr>
      <w:r>
        <w:rPr>
          <w:rFonts w:ascii="Cambria" w:cs="Cambria" w:eastAsia="Cambria" w:hAnsi="Cambria"/>
          <w:sz w:val="24"/>
          <w:szCs w:val="24"/>
        </w:rPr>
        <w:t xml:space="preserve">An important analytical objective of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spacing w:after="140" w:line="300"/>
        <w:jc w:val="both"/>
      </w:pPr>
      <w:r>
        <w:rPr>
          <w:rFonts w:ascii="Cambria" w:cs="Cambria" w:eastAsia="Cambria" w:hAnsi="Cambria"/>
          <w:sz w:val="24"/>
          <w:szCs w:val="24"/>
        </w:rPr>
        <w:t xml:space="preserve">The complete authorisation model developed across current stage and </w:t>
      </w:r>
      <w:r>
        <w:rPr>
          <w:rFonts w:ascii="Cambria" w:cs="Cambria" w:eastAsia="Cambria" w:hAnsi="Cambria"/>
          <w:color w:val="000000"/>
          <w:sz w:val="24"/>
          <w:szCs w:val="24"/>
        </w:rPr>
        <w:t xml:space="preserve">the</w:t>
      </w:r>
      <w:r>
        <w:rPr>
          <w:rFonts w:ascii="Cambria" w:cs="Cambria" w:eastAsia="Cambria" w:hAnsi="Cambria"/>
          <w:sz w:val="24"/>
          <w:szCs w:val="24"/>
        </w:rPr>
        <w:t xml:space="preserve"> next stage will therefore be evaluated as a conjunction of independently verifiable conditions. Conceptually, the final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w:t>
      </w:r>
      <w:r>
        <w:rPr>
          <w:rFonts w:ascii="Cambria" w:cs="Cambria" w:eastAsia="Cambria" w:hAnsi="Cambria"/>
          <w:sz w:val="22"/>
          <w:szCs w:val="22"/>
        </w:rPr>
        <w:t xml:space="preserve">	(81)</w:t>
      </w:r>
    </w:p>
    <w:p>
      <w:pPr>
        <w:spacing w:after="140" w:line="300"/>
        <w:jc w:val="both"/>
      </w:pPr>
      <w:r>
        <w:rPr>
          <w:rFonts w:ascii="Cambria" w:cs="Cambria" w:eastAsia="Cambria" w:hAnsi="Cambria"/>
          <w:sz w:val="24"/>
          <w:szCs w:val="24"/>
        </w:rP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spacing w:after="140" w:line="300"/>
        <w:jc w:val="both"/>
      </w:pPr>
      <w:r>
        <w:rPr>
          <w:rFonts w:ascii="Cambria" w:cs="Cambria" w:eastAsia="Cambria" w:hAnsi="Cambria"/>
          <w:sz w:val="24"/>
          <w:szCs w:val="24"/>
        </w:rPr>
        <w:t xml:space="preserve">From a research perspective, this represents an important transition from static consent management to dynamic trustworthy authorisation. The objective is not to add a collection of independent security mechanisms, but to investigate how these mechanisms jointly contribute to the establishment, maintenance, and verification of trust throughout the consent lifecycle.</w:t>
      </w:r>
    </w:p>
    <w:p>
      <w:pPr>
        <w:spacing w:after="140" w:line="300"/>
        <w:jc w:val="both"/>
      </w:pPr>
      <w:r>
        <w:rPr>
          <w:rFonts w:ascii="Cambria" w:cs="Cambria" w:eastAsia="Cambria" w:hAnsi="Cambria"/>
          <w:sz w:val="24"/>
          <w:szCs w:val="24"/>
        </w:rPr>
        <w:t xml:space="preserve">By the completion of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spacing w:after="140" w:line="300"/>
        <w:jc w:val="both"/>
      </w:pPr>
      <w:r>
        <w:rPr>
          <w:rFonts w:ascii="Cambria" w:cs="Cambria" w:eastAsia="Cambria" w:hAnsi="Cambria"/>
          <w:sz w:val="24"/>
          <w:szCs w:val="24"/>
        </w:rPr>
        <w:t xml:space="preserve">Consequently, </w:t>
      </w:r>
      <w:r>
        <w:rPr>
          <w:rFonts w:ascii="Cambria" w:cs="Cambria" w:eastAsia="Cambria" w:hAnsi="Cambria"/>
          <w:color w:val="000000"/>
          <w:sz w:val="24"/>
          <w:szCs w:val="24"/>
        </w:rPr>
        <w:t xml:space="preserve">next stage will</w:t>
      </w:r>
      <w:r>
        <w:rPr>
          <w:rFonts w:ascii="Cambria" w:cs="Cambria" w:eastAsia="Cambria" w:hAnsi="Cambria"/>
          <w:sz w:val="24"/>
          <w:szCs w:val="24"/>
        </w:rPr>
        <w:t xml:space="preserve"> complete the transition from the foundational authorisation mechanisms established in current stage to a dynamically managed, formally reasoned, and empirically validated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The final contribution will be assessed not simply by whether consent can be recorded or whether access can be granted, but by whether the system can provide a defensible basis for determining why an access decision should be trusted and when that trust should no longer apply.</w:t>
      </w:r>
    </w:p>
    <w:p>
      <w:pPr>
        <w:pStyle w:val="Heading1"/>
        <w:pageBreakBefore/>
        <w:spacing w:after="160" w:before="400"/>
      </w:pPr>
      <w:r>
        <w:t xml:space="preserve">Appendix A — Traceability to the Implemented System</w:t>
      </w:r>
    </w:p>
    <w:p>
      <w:pPr>
        <w:spacing w:after="140" w:line="300"/>
        <w:jc w:val="both"/>
      </w:pPr>
      <w:r>
        <w:rPr>
          <w:rFonts w:ascii="Cambria" w:cs="Cambria" w:eastAsia="Cambria" w:hAnsi="Cambria"/>
          <w:color w:val="000000"/>
          <w:sz w:val="24"/>
          <w:szCs w:val="24"/>
        </w:rPr>
        <w:t xml:space="preserve">Table 10 summarises how each formal artefact of this report is realised in the implemented HALAH subsystem presented in Section 6.8, and which publicly verifiable evidence supports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2900"/>
        <w:gridCol w:w="2510"/>
      </w:tblGrid>
      <w:tr>
        <w:trPr>
          <w:tblHeader/>
        </w:trPr>
        <w:tc>
          <w:tcPr>
            <w:tcW w:type="dxa" w:w="26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Research artefact</w:t>
            </w:r>
          </w:p>
        </w:tc>
        <w:tc>
          <w:tcPr>
            <w:tcW w:type="dxa" w:w="13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Defined in</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Realised by (implementation)</w:t>
            </w:r>
          </w:p>
        </w:tc>
        <w:tc>
          <w:tcPr>
            <w:tcW w:type="dxa" w:w="251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Publicly verifiable evidence</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RO1 / RQ1 — Consent object, Eq. (51), Algorithm 1</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§6.1</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Patient subsystem: consent creation; state PENDING_SIGNATURE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 f050c29a and 04da25f5 in the exported audit ledger</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RO2 / RQ2 — DID and VC verification, Algorithm 2</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§6.2</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subsystem: EIP-712 typed-data signatures, off-chain signer recovery per guardian DID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Verified signer 0x3Af549b0… recorded per SIGN_CONSENT event</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RO3 / RQ3 — Threshold authorisation, Eq. (54), Algorithm 3</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§6.3</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2-of-2 ceremony with N = |G|; SBT minted on threshold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 tx 0x8be1b99e…daf13d, block 11,771,243, token #1</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Decision rule and trust predicates, Eq. (59), Figure 8</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§5.2, §6.6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Doctor subsystem: five-verdict decision matrix, ALLOW / DENY with failed-check listing</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GRANTED and DENIED DATA_ACCESS events; SA-jurisdiction denial</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Lifecycle trust (RO5 direction)</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§6.5</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Six-state lifecycle with on-chain revocation (Section 6.8.6)</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 tx 0x017efb9d…dceaa, block 11,771,307</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Empirical assurance (RO6, empirical half)</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Auditor subsystem and the independent verifier re-checking every transaction receipt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60-event ledger; RESULT: ALL CHECKS PASSED; token #2, block 11,771,581</w:t>
            </w:r>
          </w:p>
        </w:tc>
      </w:tr>
    </w:tbl>
    <w:p>
      <w:pPr>
        <w:spacing w:before="60"/>
        <w:jc w:val="center"/>
      </w:pPr>
      <w:r>
        <w:rPr>
          <w:rFonts w:ascii="Cambria" w:cs="Cambria" w:eastAsia="Cambria" w:hAnsi="Cambria"/>
          <w:i/>
          <w:iCs/>
          <w:color w:val="000000"/>
          <w:sz w:val="19"/>
          <w:szCs w:val="19"/>
        </w:rPr>
        <w:t xml:space="preserve">Table 10: Traceability from the formal artefacts of this report to the implemented mechanisms and their on-chain evidence.</w:t>
      </w:r>
    </w:p>
    <w:p>
      <w:pPr>
        <w:pStyle w:val="Heading1"/>
        <w:pageBreakBefore/>
        <w:spacing w:after="160" w:before="400"/>
      </w:pPr>
      <w:r>
        <w:t xml:space="preserve">References</w:t>
      </w:r>
    </w:p>
    <w:p>
      <w:pPr>
        <w:spacing w:after="140" w:line="300"/>
        <w:jc w:val="both"/>
      </w:pPr>
      <w:r>
        <w:rPr>
          <w:rFonts w:ascii="Cambria" w:cs="Cambria" w:eastAsia="Cambria" w:hAnsi="Cambria"/>
          <w:sz w:val="24"/>
          <w:szCs w:val="24"/>
        </w:rPr>
        <w:t xml:space="preserve">[1] Abdullah Al Mamun, Sami Azam, and Clementine Gritti. Blockchain-based electronic health records management: a comprehensive review and future research direction. IEEE Access, 10:5768–5789, 2022.</w:t>
      </w:r>
    </w:p>
    <w:p>
      <w:pPr>
        <w:spacing w:after="140" w:line="300"/>
        <w:jc w:val="both"/>
      </w:pPr>
      <w:r>
        <w:rPr>
          <w:rFonts w:ascii="Cambria" w:cs="Cambria" w:eastAsia="Cambria" w:hAnsi="Cambria"/>
          <w:sz w:val="24"/>
          <w:szCs w:val="24"/>
        </w:rPr>
        <w:t xml:space="preserve">[2] J Andrew, Deva Priya Isravel, K Martin Sagayam, Bharat Bhushan, Yuichi Sei, and Jennifer Eunice. Blockchain for healthcare systems: Architecture, security challenges, trends and future directions. Journal of Network and Computer Applications, 215:103633, 2023.</w:t>
      </w:r>
    </w:p>
    <w:p>
      <w:pPr>
        <w:spacing w:after="140" w:line="300"/>
        <w:jc w:val="both"/>
      </w:pPr>
      <w:r>
        <w:rPr>
          <w:rFonts w:ascii="Cambria" w:cs="Cambria" w:eastAsia="Cambria" w:hAnsi="Cambria"/>
          <w:sz w:val="24"/>
          <w:szCs w:val="24"/>
        </w:rPr>
        <w:t xml:space="preserve">[3] Mohammad Salar Arbabi, Chhagan Lal, Narasimha Raghavan Veeraragavan, Dusica Marijan, Jan F Nygård, and Roman Vitenberg. A survey on blockchain for healthcare: Challenges, benefits, and future directions. </w:t>
      </w:r>
      <w:r>
        <w:rPr>
          <w:rFonts w:ascii="Cambria" w:cs="Cambria" w:eastAsia="Cambria" w:hAnsi="Cambria"/>
          <w:b w:val="false"/>
          <w:bCs w:val="false"/>
          <w:sz w:val="24"/>
          <w:szCs w:val="24"/>
        </w:rPr>
        <w:t xml:space="preserve">IEEE Communications Surveys &amp; Tutorials</w:t>
      </w:r>
      <w:r>
        <w:rPr>
          <w:rFonts w:ascii="Cambria" w:cs="Cambria" w:eastAsia="Cambria" w:hAnsi="Cambria"/>
          <w:sz w:val="24"/>
          <w:szCs w:val="24"/>
        </w:rPr>
        <w:t xml:space="preserve">, 25(1):386–424,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[4] Haotian Deng, Jinwen Liang, Chuan Zhang, Ximeng Liu, Liehuang Zhu, and Song Guo. </w:t>
      </w:r>
      <w:r>
        <w:rPr>
          <w:rFonts w:ascii="Cambria" w:cs="Cambria" w:eastAsia="Cambria" w:hAnsi="Cambria"/>
          <w:color w:val="000000"/>
          <w:sz w:val="24"/>
          <w:szCs w:val="24"/>
        </w:rPr>
        <w:t xml:space="preserve">FutureDID</w:t>
      </w:r>
      <w:r>
        <w:rPr>
          <w:rFonts w:ascii="Cambria" w:cs="Cambria" w:eastAsia="Cambria" w:hAnsi="Cambria"/>
          <w:sz w:val="24"/>
          <w:szCs w:val="24"/>
        </w:rPr>
        <w:t xml:space="preserve">: A fully decentralized identity system with multi-party verification. IEEE Transactions on Computers, 73(8):2051–2065, 2024.</w:t>
      </w:r>
    </w:p>
    <w:p>
      <w:pPr>
        <w:spacing w:after="140" w:line="300"/>
        <w:jc w:val="both"/>
      </w:pPr>
      <w:r>
        <w:rPr>
          <w:rFonts w:ascii="Cambria" w:cs="Cambria" w:eastAsia="Cambria" w:hAnsi="Cambria"/>
          <w:sz w:val="24"/>
          <w:szCs w:val="24"/>
        </w:rPr>
        <w:t xml:space="preserve">[5] Andrea Flamini, Giada Sciarretta, Mario Scuro, Amir Sharif, Alessandro Tomasi, and Silvio Ranise. On cryptographic mechanisms for the selective disclosure of verifiable credentials. Journal of Information Security and Applications, 83:103789, 2024.</w:t>
      </w:r>
    </w:p>
    <w:p>
      <w:pPr>
        <w:spacing w:after="140" w:line="300"/>
        <w:jc w:val="both"/>
      </w:pPr>
      <w:r>
        <w:rPr>
          <w:rFonts w:ascii="Cambria" w:cs="Cambria" w:eastAsia="Cambria" w:hAnsi="Cambria"/>
          <w:sz w:val="24"/>
          <w:szCs w:val="24"/>
        </w:rPr>
        <w:t xml:space="preserve">[6] Abdul Ghafoor, Iraklis Symeonidis, Anna Rydberg, Cecilia Lindahl, and Abdul Qadus Abbasi. Towards empowering stakeholders through decentralized trust and secure livestock data sharing. Cryptography, 9(3):52, 2025.</w:t>
      </w:r>
    </w:p>
    <w:p>
      <w:pPr>
        <w:spacing w:after="140" w:line="300"/>
        <w:jc w:val="both"/>
      </w:pPr>
      <w:r>
        <w:rPr>
          <w:rFonts w:ascii="Cambria" w:cs="Cambria" w:eastAsia="Cambria" w:hAnsi="Cambria"/>
          <w:sz w:val="24"/>
          <w:szCs w:val="24"/>
        </w:rPr>
        <w:t xml:space="preserve">[7] Pranto Kumar Ghosh, Arindom Chakraborty, Mehedi Hasan, Khalid Rashid, and Abdul Hasib Siddique. Blockchain application in healthcare systems: a review. Systems, 11(1):38, 2023.</w:t>
      </w:r>
    </w:p>
    <w:p>
      <w:pPr>
        <w:spacing w:after="140" w:line="300"/>
        <w:jc w:val="both"/>
      </w:pPr>
      <w:r>
        <w:rPr>
          <w:rFonts w:ascii="Cambria" w:cs="Cambria" w:eastAsia="Cambria" w:hAnsi="Cambria"/>
          <w:sz w:val="24"/>
          <w:szCs w:val="24"/>
        </w:rPr>
        <w:t xml:space="preserve">[8] Remy Hellstern, Daniel C Park, Victoria Lemieux, and Guldana Salimjan. Leveraging blockchain-based archival solutions for sensitive documentation: A </w:t>
      </w:r>
      <w:r>
        <w:rPr>
          <w:rFonts w:ascii="Cambria" w:cs="Cambria" w:eastAsia="Cambria" w:hAnsi="Cambria"/>
          <w:b w:val="false"/>
          <w:bCs w:val="false"/>
          <w:sz w:val="24"/>
          <w:szCs w:val="24"/>
        </w:rPr>
        <w:t xml:space="preserve">Xinjiang</w:t>
      </w:r>
      <w:r>
        <w:rPr>
          <w:rFonts w:ascii="Cambria" w:cs="Cambria" w:eastAsia="Cambria" w:hAnsi="Cambria"/>
          <w:sz w:val="24"/>
          <w:szCs w:val="24"/>
        </w:rPr>
        <w:t xml:space="preserve"> case study. Digital Society, 1(1):4, 2022.</w:t>
      </w:r>
    </w:p>
    <w:p>
      <w:pPr>
        <w:spacing w:after="140" w:line="300"/>
        <w:jc w:val="both"/>
      </w:pPr>
      <w:r>
        <w:rPr>
          <w:rFonts w:ascii="Cambria" w:cs="Cambria" w:eastAsia="Cambria" w:hAnsi="Cambria"/>
          <w:sz w:val="24"/>
          <w:szCs w:val="24"/>
        </w:rP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 </w:t>
      </w:r>
      <w:r>
        <w:rPr>
          <w:rFonts w:ascii="Cambria" w:cs="Cambria" w:eastAsia="Cambria" w:hAnsi="Cambria"/>
          <w:b w:val="false"/>
          <w:bCs w:val="false"/>
          <w:sz w:val="24"/>
          <w:szCs w:val="24"/>
        </w:rPr>
        <w:t xml:space="preserve">BMC Nursing</w:t>
      </w:r>
      <w:r>
        <w:rPr>
          <w:rFonts w:ascii="Cambria" w:cs="Cambria" w:eastAsia="Cambria" w:hAnsi="Cambria"/>
          <w:sz w:val="24"/>
          <w:szCs w:val="24"/>
        </w:rPr>
        <w:t xml:space="preserve">, 23(1):564, 2024.</w:t>
      </w:r>
    </w:p>
    <w:p>
      <w:pPr>
        <w:spacing w:after="140" w:line="300"/>
        <w:jc w:val="both"/>
      </w:pPr>
      <w:r>
        <w:rPr>
          <w:rFonts w:ascii="Cambria" w:cs="Cambria" w:eastAsia="Cambria" w:hAnsi="Cambria"/>
          <w:sz w:val="24"/>
          <w:szCs w:val="24"/>
        </w:rPr>
        <w:t xml:space="preserve">[10] Vitor Jesus and Harshvardhan J Pandit. Consent receipts for a usable and auditable web of personal data. </w:t>
      </w:r>
      <w:r>
        <w:rPr>
          <w:rFonts w:ascii="Cambria" w:cs="Cambria" w:eastAsia="Cambria" w:hAnsi="Cambria"/>
          <w:b w:val="false"/>
          <w:bCs w:val="false"/>
          <w:sz w:val="24"/>
          <w:szCs w:val="24"/>
        </w:rPr>
        <w:t xml:space="preserve">IEEE Access</w:t>
      </w:r>
      <w:r>
        <w:rPr>
          <w:rFonts w:ascii="Cambria" w:cs="Cambria" w:eastAsia="Cambria" w:hAnsi="Cambria"/>
          <w:sz w:val="24"/>
          <w:szCs w:val="24"/>
        </w:rPr>
        <w:t xml:space="preserve">, 10:28545–28563, 2022.</w:t>
      </w:r>
    </w:p>
    <w:p>
      <w:pPr>
        <w:spacing w:after="140" w:line="300"/>
        <w:jc w:val="both"/>
      </w:pPr>
      <w:r>
        <w:rPr>
          <w:rFonts w:ascii="Cambria" w:cs="Cambria" w:eastAsia="Cambria" w:hAnsi="Cambria"/>
          <w:sz w:val="24"/>
          <w:szCs w:val="24"/>
        </w:rPr>
        <w:t xml:space="preserve">[11] Rong Jiang, Xue Chen, Yimin Yu, Ying Zhang, and Weiping Ding. Risk and </w:t>
      </w:r>
      <w:r>
        <w:rPr>
          <w:rFonts w:ascii="Cambria" w:cs="Cambria" w:eastAsia="Cambria" w:hAnsi="Cambria"/>
          <w:color w:val="000000"/>
          <w:sz w:val="24"/>
          <w:szCs w:val="24"/>
        </w:rPr>
        <w:t xml:space="preserve">UCON</w:t>
      </w:r>
      <w:r>
        <w:rPr>
          <w:rFonts w:ascii="Cambria" w:cs="Cambria" w:eastAsia="Cambria" w:hAnsi="Cambria"/>
          <w:sz w:val="24"/>
          <w:szCs w:val="24"/>
        </w:rPr>
        <w:t xml:space="preserve">-based access control model for healthcare big data. Journal of Big Data, 10(1):104, 2023.</w:t>
      </w:r>
    </w:p>
    <w:p>
      <w:pPr>
        <w:spacing w:after="140" w:line="300"/>
        <w:jc w:val="both"/>
      </w:pPr>
      <w:r>
        <w:rPr>
          <w:rFonts w:ascii="Cambria" w:cs="Cambria" w:eastAsia="Cambria" w:hAnsi="Cambria"/>
          <w:sz w:val="24"/>
          <w:szCs w:val="24"/>
        </w:rPr>
        <w:t xml:space="preserve">[12] Katya Kaplow, Max Downey, Darren Stewart, Allan B Massie, Jennifer D Motter, Lauren Taylor, John Massarelli, Taylor Matalon, Carolyn Sidoti, Macey L Levan, et al. Data professionals’ attitudes on data privacy, sharing, and consent in healthcare and research. </w:t>
      </w:r>
      <w:r>
        <w:rPr>
          <w:rFonts w:ascii="Cambria" w:cs="Cambria" w:eastAsia="Cambria" w:hAnsi="Cambria"/>
          <w:color w:val="000000"/>
          <w:sz w:val="24"/>
          <w:szCs w:val="24"/>
        </w:rPr>
        <w:t xml:space="preserve">Digital Health</w:t>
      </w:r>
      <w:r>
        <w:rPr>
          <w:rFonts w:ascii="Cambria" w:cs="Cambria" w:eastAsia="Cambria" w:hAnsi="Cambria"/>
          <w:sz w:val="24"/>
          <w:szCs w:val="24"/>
        </w:rPr>
        <w:t xml:space="preserve">, 10:20552076241290964, 2024.</w:t>
      </w:r>
    </w:p>
    <w:p>
      <w:pPr>
        <w:spacing w:after="140" w:line="300"/>
        <w:jc w:val="both"/>
      </w:pPr>
      <w:r>
        <w:rPr>
          <w:rFonts w:ascii="Cambria" w:cs="Cambria" w:eastAsia="Cambria" w:hAnsi="Cambria"/>
          <w:sz w:val="24"/>
          <w:szCs w:val="24"/>
        </w:rPr>
        <w:t xml:space="preserve">[13] Muhammad Irfan Khalid, Mansoor Ahmed, Markus Helfert, and Jungsuk Kim. Privacy-first paradigm for dynamic consent management systems: empowering data subjects through decentralized data controllers and privacy-preserving techniques. Electronics, 12(24):4973, 2023.</w:t>
      </w:r>
    </w:p>
    <w:p>
      <w:pPr>
        <w:spacing w:after="140" w:line="300"/>
        <w:jc w:val="both"/>
      </w:pPr>
      <w:r>
        <w:rPr>
          <w:rFonts w:ascii="Cambria" w:cs="Cambria" w:eastAsia="Cambria" w:hAnsi="Cambria"/>
          <w:sz w:val="24"/>
          <w:szCs w:val="24"/>
        </w:rPr>
        <w:t xml:space="preserve">[14] Alexander Kharlamov, Roland Hohmann, and </w:t>
      </w:r>
      <w:r>
        <w:rPr>
          <w:rFonts w:ascii="Cambria" w:cs="Cambria" w:eastAsia="Cambria" w:hAnsi="Cambria"/>
          <w:color w:val="000000"/>
          <w:sz w:val="24"/>
          <w:szCs w:val="24"/>
        </w:rPr>
        <w:t xml:space="preserve">Glenn</w:t>
      </w:r>
      <w:r>
        <w:rPr>
          <w:rFonts w:ascii="Cambria" w:cs="Cambria" w:eastAsia="Cambria" w:hAnsi="Cambria"/>
          <w:sz w:val="24"/>
          <w:szCs w:val="24"/>
        </w:rPr>
        <w:t xml:space="preserve"> Parry. Data sharing decisions: perceptions and intentions in healthcare. Strategic Change, 32(6):223–237, 2023.</w:t>
      </w:r>
    </w:p>
    <w:p>
      <w:pPr>
        <w:spacing w:after="140" w:line="300"/>
        <w:jc w:val="both"/>
      </w:pPr>
      <w:r>
        <w:rPr>
          <w:rFonts w:ascii="Cambria" w:cs="Cambria" w:eastAsia="Cambria" w:hAnsi="Cambria"/>
          <w:sz w:val="24"/>
          <w:szCs w:val="24"/>
        </w:rPr>
        <w:t xml:space="preserve">[15] Behnam Khayer, Siamak Mirzaei, Hooman Alavizadeh, and Ahmad Salehi Shahraki. Blockchain for secure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review of identity management, access control, and trust mechanisms. IoT, 6(4):65, 2025.</w:t>
      </w:r>
    </w:p>
    <w:p>
      <w:pPr>
        <w:spacing w:after="140" w:line="300"/>
        <w:jc w:val="both"/>
      </w:pPr>
      <w:r>
        <w:rPr>
          <w:rFonts w:ascii="Cambria" w:cs="Cambria" w:eastAsia="Cambria" w:hAnsi="Cambria"/>
          <w:sz w:val="24"/>
          <w:szCs w:val="24"/>
        </w:rPr>
        <w:t xml:space="preserve">[16] Chalima Dimitra Nassar Kyriakidou, Athanasia Maria Papathanasiou, and George C Polyzos. Decentralized identity with applications to security and privacy for the internet of things. Computer Networks and Communications, </w:t>
      </w:r>
      <w:r>
        <w:rPr>
          <w:rFonts w:ascii="Cambria" w:cs="Cambria" w:eastAsia="Cambria" w:hAnsi="Cambria"/>
          <w:b w:val="false"/>
          <w:bCs w:val="false"/>
          <w:sz w:val="24"/>
          <w:szCs w:val="24"/>
        </w:rPr>
        <w:t xml:space="preserve">1(2):</w:t>
      </w:r>
      <w:r>
        <w:rPr>
          <w:rFonts w:ascii="Cambria" w:cs="Cambria" w:eastAsia="Cambria" w:hAnsi="Cambria"/>
          <w:sz w:val="24"/>
          <w:szCs w:val="24"/>
        </w:rPr>
        <w:t xml:space="preserve">244–271, 2023.</w:t>
      </w:r>
    </w:p>
    <w:p>
      <w:pPr>
        <w:spacing w:after="140" w:line="300"/>
        <w:jc w:val="both"/>
      </w:pPr>
      <w:r>
        <w:rPr>
          <w:rFonts w:ascii="Cambria" w:cs="Cambria" w:eastAsia="Cambria" w:hAnsi="Cambria"/>
          <w:sz w:val="24"/>
          <w:szCs w:val="24"/>
        </w:rPr>
        <w:t xml:space="preserve">[17] Lanlan Li, Charles Z Liu, Kejia Huang, Ruiyi Deng, Majed Abdullah Alrowaily, Mansoor Alghamdi, Ibrahim S Alkhazi, and Malek Alrashidi. Trust-aware environmental state consensus for smart agriculture with </w:t>
      </w:r>
      <w:r>
        <w:rPr>
          <w:rFonts w:ascii="Cambria" w:cs="Cambria" w:eastAsia="Cambria" w:hAnsi="Cambria"/>
          <w:color w:val="000000"/>
          <w:sz w:val="24"/>
          <w:szCs w:val="24"/>
        </w:rPr>
        <w:t xml:space="preserve">TEE</w:t>
      </w:r>
      <w:r>
        <w:rPr>
          <w:rFonts w:ascii="Cambria" w:cs="Cambria" w:eastAsia="Cambria" w:hAnsi="Cambria"/>
          <w:sz w:val="24"/>
          <w:szCs w:val="24"/>
        </w:rPr>
        <w:t xml:space="preserve">-enabled sensing and </w:t>
      </w:r>
      <w:r>
        <w:rPr>
          <w:rFonts w:ascii="Cambria" w:cs="Cambria" w:eastAsia="Cambria" w:hAnsi="Cambria"/>
          <w:color w:val="000000"/>
          <w:sz w:val="24"/>
          <w:szCs w:val="24"/>
        </w:rPr>
        <w:t xml:space="preserve">Byzantine</w:t>
      </w:r>
      <w:r>
        <w:rPr>
          <w:rFonts w:ascii="Cambria" w:cs="Cambria" w:eastAsia="Cambria" w:hAnsi="Cambria"/>
          <w:sz w:val="24"/>
          <w:szCs w:val="24"/>
        </w:rPr>
        <w:t xml:space="preserve">-resilient blockchain coordination. Sensors, 26(14):4577, 2026.</w:t>
      </w:r>
    </w:p>
    <w:p>
      <w:pPr>
        <w:spacing w:after="140" w:line="300"/>
        <w:jc w:val="both"/>
      </w:pPr>
      <w:r>
        <w:rPr>
          <w:rFonts w:ascii="Cambria" w:cs="Cambria" w:eastAsia="Cambria" w:hAnsi="Cambria"/>
          <w:sz w:val="24"/>
          <w:szCs w:val="24"/>
        </w:rPr>
        <w:t xml:space="preserve">[18] Lanlan Li, Charles Z Liu, and Sanjeeb Shrestha. Analytical entropy approach for measuring blockchain immutability and tamper-resilient trust. Entropy, 28(6):690, 2026.</w:t>
      </w:r>
    </w:p>
    <w:p>
      <w:pPr>
        <w:spacing w:after="140" w:line="300"/>
        <w:jc w:val="both"/>
      </w:pPr>
      <w:r>
        <w:rPr>
          <w:rFonts w:ascii="Cambria" w:cs="Cambria" w:eastAsia="Cambria" w:hAnsi="Cambria"/>
          <w:sz w:val="24"/>
          <w:szCs w:val="24"/>
        </w:rPr>
        <w:t xml:space="preserve">[19] Richard K Lomotey, Sandra Kumi, and Ralph Deters. Data trusts as a service: Providing a platform for multi-party data sharing. International Journal of Information Management Data Insights, 2(1):100075, 2022.</w:t>
      </w:r>
    </w:p>
    <w:p>
      <w:pPr>
        <w:spacing w:after="140" w:line="300"/>
        <w:jc w:val="both"/>
      </w:pPr>
      <w:r>
        <w:rPr>
          <w:rFonts w:ascii="Cambria" w:cs="Cambria" w:eastAsia="Cambria" w:hAnsi="Cambria"/>
          <w:sz w:val="24"/>
          <w:szCs w:val="24"/>
        </w:rPr>
        <w:t xml:space="preserve">[20] Carlo Mazzocca, Abbas Acar, Selcuk Uluagac, Rebecca Montanari, Paolo Bellavista, and Mauro Conti. A survey on decentralized identifiers and verifiable credentials. IEEE Communications Surveys &amp; Tutorials, </w:t>
      </w:r>
      <w:r>
        <w:rPr>
          <w:rFonts w:ascii="Cambria" w:cs="Cambria" w:eastAsia="Cambria" w:hAnsi="Cambria"/>
          <w:color w:val="000000"/>
          <w:sz w:val="24"/>
          <w:szCs w:val="24"/>
        </w:rPr>
        <w:t xml:space="preserve">27:3641–3671,</w:t>
      </w:r>
      <w:r>
        <w:rPr>
          <w:rFonts w:ascii="Cambria" w:cs="Cambria" w:eastAsia="Cambria" w:hAnsi="Cambria"/>
          <w:sz w:val="24"/>
          <w:szCs w:val="24"/>
        </w:rPr>
        <w:t xml:space="preserve"> 2025.</w:t>
      </w:r>
    </w:p>
    <w:p>
      <w:pPr>
        <w:spacing w:after="140" w:line="300"/>
        <w:jc w:val="both"/>
      </w:pPr>
      <w:r>
        <w:rPr>
          <w:rFonts w:ascii="Cambria" w:cs="Cambria" w:eastAsia="Cambria" w:hAnsi="Cambria"/>
          <w:sz w:val="24"/>
          <w:szCs w:val="24"/>
        </w:rPr>
        <w:t xml:space="preserve">[21] </w:t>
      </w:r>
      <w:r>
        <w:rPr>
          <w:rFonts w:ascii="Cambria" w:cs="Cambria" w:eastAsia="Cambria" w:hAnsi="Cambria"/>
          <w:color w:val="000000"/>
          <w:sz w:val="24"/>
          <w:szCs w:val="24"/>
        </w:rPr>
        <w:t xml:space="preserve">Cindy Welzel, Max Ostermann, Hannah Louise Smith, Timo Minssen, Toralf Kirsten, and Stephen Gilbert. Enabling secure and self determined health data sharing and consent management. npj Digital Medicine, 8(1):560, 2025.</w:t>
      </w:r>
    </w:p>
    <w:p>
      <w:pPr>
        <w:spacing w:after="100" w:before="100"/>
      </w:pPr>
      <w:r>
        <w:rPr>
          <w:rFonts w:ascii="Cambria" w:cs="Cambria" w:eastAsia="Cambria" w:hAnsi="Cambria"/>
          <w:b/>
          <w:bCs/>
          <w:color w:val="C00000"/>
          <w:sz w:val="19"/>
          <w:szCs w:val="19"/>
        </w:rPr>
        <w:t xml:space="preserve">◆ [RED — يجب حله قبل التسليم] R7: This reference replaced an unverifiable preprint. Read the Welzel et al. article before the viva and confirm it genuinely supports the three places citing [21] (patient autonomy and privacy-preserving interoperability in 2.3.1; multi-stakeholder authority in 2.3.4; the corpus list in 2.2).</w:t>
      </w:r>
    </w:p>
    <w:p>
      <w:pPr>
        <w:spacing w:after="140" w:line="300"/>
        <w:jc w:val="both"/>
      </w:pPr>
      <w:r>
        <w:rPr>
          <w:rFonts w:ascii="Cambria" w:cs="Cambria" w:eastAsia="Cambria" w:hAnsi="Cambria"/>
          <w:sz w:val="24"/>
          <w:szCs w:val="24"/>
        </w:rPr>
        <w:t xml:space="preserve">[22] Roy McClelland and Colin M Harper. Information privacy in healthcare—the vital role of informed consent. </w:t>
      </w:r>
      <w:r>
        <w:rPr>
          <w:rFonts w:ascii="Cambria" w:cs="Cambria" w:eastAsia="Cambria" w:hAnsi="Cambria"/>
          <w:b w:val="false"/>
          <w:bCs w:val="false"/>
          <w:sz w:val="24"/>
          <w:szCs w:val="24"/>
        </w:rPr>
        <w:t xml:space="preserve">European Journal of Health Law</w:t>
      </w:r>
      <w:r>
        <w:rPr>
          <w:rFonts w:ascii="Cambria" w:cs="Cambria" w:eastAsia="Cambria" w:hAnsi="Cambria"/>
          <w:sz w:val="24"/>
          <w:szCs w:val="24"/>
        </w:rPr>
        <w:t xml:space="preserve">, 30(4):469–480,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[23] Jämes Ménétrey, Christian Göttel, Anum Khurshid, Marcelo Pasin, Pascal Felber, Valerio Schiavoni, and Shahid Raza. Attestation mechanisms for trusted execution environments demystified. In IFIP International Conference on Distributed Applications and Interoperable Systems, pages 95–113. Springer, 2022.</w:t>
      </w:r>
    </w:p>
    <w:p>
      <w:pPr>
        <w:spacing w:after="140" w:line="300"/>
        <w:jc w:val="both"/>
      </w:pPr>
      <w:r>
        <w:rPr>
          <w:rFonts w:ascii="Cambria" w:cs="Cambria" w:eastAsia="Cambria" w:hAnsi="Cambria"/>
          <w:sz w:val="24"/>
          <w:szCs w:val="24"/>
        </w:rPr>
        <w:t xml:space="preserve">[24] Minal R Narkhede, Nilesh I Wankhede, and Akanksha M Kamble. Enhancing patient autonomy in data ownership: privacy models and consent frameworks for healthcare. Journal of Digital Health, </w:t>
      </w:r>
      <w:r>
        <w:rPr>
          <w:rFonts w:ascii="Cambria" w:cs="Cambria" w:eastAsia="Cambria" w:hAnsi="Cambria"/>
          <w:color w:val="000000"/>
          <w:sz w:val="24"/>
          <w:szCs w:val="24"/>
        </w:rPr>
        <w:t xml:space="preserve">4(1):</w:t>
      </w:r>
      <w:r>
        <w:rPr>
          <w:rFonts w:ascii="Cambria" w:cs="Cambria" w:eastAsia="Cambria" w:hAnsi="Cambria"/>
          <w:sz w:val="24"/>
          <w:szCs w:val="24"/>
        </w:rPr>
        <w:t xml:space="preserve">1–23, 2025.</w:t>
      </w:r>
    </w:p>
    <w:p>
      <w:pPr>
        <w:spacing w:after="140" w:line="300"/>
        <w:jc w:val="both"/>
      </w:pPr>
      <w:r>
        <w:rPr>
          <w:rFonts w:ascii="Cambria" w:cs="Cambria" w:eastAsia="Cambria" w:hAnsi="Cambria"/>
          <w:sz w:val="24"/>
          <w:szCs w:val="24"/>
        </w:rPr>
        <w:t xml:space="preserve">[25] Aleena Nazir, Mubashir Husain Rehmani, Bernard Butler, and Donna O’Shea. Access control in healthcare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comprehensive survey. Engineering Reports, 8(4):e70766, 2026.</w:t>
      </w:r>
    </w:p>
    <w:p>
      <w:pPr>
        <w:spacing w:after="140" w:line="300"/>
        <w:jc w:val="both"/>
      </w:pPr>
      <w:r>
        <w:rPr>
          <w:rFonts w:ascii="Cambria" w:cs="Cambria" w:eastAsia="Cambria" w:hAnsi="Cambria"/>
          <w:sz w:val="24"/>
          <w:szCs w:val="24"/>
        </w:rPr>
        <w:t xml:space="preserve">[26] Thanh Linh Nguyen, Lam Nguyen, Thong Hoang, Dilum Bandara, Qin Wang, Qinghua Lu, Xiwei Xu, Liming Zhu, and Shiping Chen. Blockchain-empowered trustworthy data sharing: Fundamentals, applications, and challenges. ACM Computing Surveys, 57(8):1–36, 2025.</w:t>
      </w:r>
    </w:p>
    <w:p>
      <w:pPr>
        <w:spacing w:after="140" w:line="300"/>
        <w:jc w:val="both"/>
      </w:pPr>
      <w:r>
        <w:rPr>
          <w:rFonts w:ascii="Cambria" w:cs="Cambria" w:eastAsia="Cambria" w:hAnsi="Cambria"/>
          <w:sz w:val="24"/>
          <w:szCs w:val="24"/>
        </w:rPr>
        <w:t xml:space="preserve">[27] Rohini Poolat Parameswarath, Prosanta Gope, and Biplab Sikdar. User-empowered privacy-preserving authentication protocol for electric vehicle charging based on decentralized identity and verifiable credential. ACM Transactions on Management Information Systems (TMIS), 13(4):1–21, 2022.</w:t>
      </w:r>
    </w:p>
    <w:p>
      <w:pPr>
        <w:spacing w:after="140" w:line="300"/>
        <w:jc w:val="both"/>
      </w:pPr>
      <w:r>
        <w:rPr>
          <w:rFonts w:ascii="Cambria" w:cs="Cambria" w:eastAsia="Cambria" w:hAnsi="Cambria"/>
          <w:sz w:val="24"/>
          <w:szCs w:val="24"/>
        </w:rPr>
        <w:t xml:space="preserve">[28] Ahmed M Tawfik, Ayman Al-Ahwal, Adly S Tag Eldien, and Hala H Zayed. Blockchain-based access control and privacy preservation in healthcare: a comprehensive survey. Cluster Computing, 28(8):529, 2025.</w:t>
      </w:r>
    </w:p>
    <w:p>
      <w:pPr>
        <w:spacing w:after="140" w:line="300"/>
        <w:jc w:val="both"/>
      </w:pPr>
      <w:r>
        <w:rPr>
          <w:rFonts w:ascii="Cambria" w:cs="Cambria" w:eastAsia="Cambria" w:hAnsi="Cambria"/>
          <w:sz w:val="24"/>
          <w:szCs w:val="24"/>
        </w:rPr>
        <w:t xml:space="preserve">[29] Leonidas Theodorakopoulos, Alexandra Theodoropoulou, and Constantinos Halkiopoulos. Enhancing decentralized decision-making with big data and blockchain technology: A comprehensive review. Applied Sciences, 14(16):7007, 2024.</w:t>
      </w:r>
    </w:p>
    <w:p>
      <w:pPr>
        <w:spacing w:after="140" w:line="300"/>
        <w:jc w:val="both"/>
      </w:pPr>
      <w:r>
        <w:rPr>
          <w:rFonts w:ascii="Cambria" w:cs="Cambria" w:eastAsia="Cambria" w:hAnsi="Cambria"/>
          <w:sz w:val="24"/>
          <w:szCs w:val="24"/>
        </w:rPr>
        <w:t xml:space="preserve">[30] Mohammad Nawab Turan, Irshad Ahmed Hashimzai, and Mohammad Qaseem Qiam. A blockchain-based framework for secure and transparent environmental data sharing in smart cities: Enhancing trust, integrity, and interoperability in urban sustainability systems. Nata Palemahan: Journal of Environmental Engineering Innovations, 2(2):70–79, 2025.</w:t>
      </w:r>
    </w:p>
    <w:p>
      <w:pPr>
        <w:spacing w:after="140" w:line="300"/>
        <w:jc w:val="both"/>
      </w:pPr>
      <w:r>
        <w:rPr>
          <w:rFonts w:ascii="Cambria" w:cs="Cambria" w:eastAsia="Cambria" w:hAnsi="Cambria"/>
          <w:sz w:val="24"/>
          <w:szCs w:val="24"/>
        </w:rPr>
        <w:t xml:space="preserve">[31] Emily C Webber, David Brick, James P Scibilia, Peter Dehnel, Council on Clinical Information Technology, et al. Electronic communication of the health record and information with pediatric patients and their guardians. </w:t>
      </w:r>
      <w:r>
        <w:rPr>
          <w:rFonts w:ascii="Cambria" w:cs="Cambria" w:eastAsia="Cambria" w:hAnsi="Cambria"/>
          <w:b w:val="false"/>
          <w:bCs w:val="false"/>
          <w:sz w:val="24"/>
          <w:szCs w:val="24"/>
        </w:rPr>
        <w:t xml:space="preserve">Pediatrics, 144(1):e20191359, 2019</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[32] Hongjian Yin, Yiming Zhao, Lei Zhang, Baojun Qiao, Wenbo Chen, and Huaqing Wang. Attribute-based searchable encryption with decentralized key management for healthcare data sharing. </w:t>
      </w:r>
      <w:r>
        <w:rPr>
          <w:rFonts w:ascii="Cambria" w:cs="Cambria" w:eastAsia="Cambria" w:hAnsi="Cambria"/>
          <w:b w:val="false"/>
          <w:bCs w:val="false"/>
          <w:sz w:val="24"/>
          <w:szCs w:val="24"/>
        </w:rPr>
        <w:t xml:space="preserve">Journal of Systems Architecture</w:t>
      </w:r>
      <w:r>
        <w:rPr>
          <w:rFonts w:ascii="Cambria" w:cs="Cambria" w:eastAsia="Cambria" w:hAnsi="Cambria"/>
          <w:sz w:val="24"/>
          <w:szCs w:val="24"/>
        </w:rPr>
        <w:t xml:space="preserve">, 148:103081, 2024.</w:t>
      </w:r>
    </w:p>
    <w:p>
      <w:pPr>
        <w:spacing w:after="140" w:line="300"/>
        <w:jc w:val="both"/>
      </w:pPr>
      <w:r>
        <w:rPr>
          <w:rFonts w:ascii="Cambria" w:cs="Cambria" w:eastAsia="Cambria" w:hAnsi="Cambria"/>
          <w:sz w:val="24"/>
          <w:szCs w:val="24"/>
        </w:rPr>
        <w:t xml:space="preserve">[33] Jie Yin, Yang Xiao, Qian Chen, Xuefeng Liu, Qingqi Pei, Jianying Zhou, et al. </w:t>
      </w:r>
      <w:r>
        <w:rPr>
          <w:rFonts w:ascii="Cambria" w:cs="Cambria" w:eastAsia="Cambria" w:hAnsi="Cambria"/>
          <w:color w:val="000000"/>
          <w:sz w:val="24"/>
          <w:szCs w:val="24"/>
        </w:rPr>
        <w:t xml:space="preserve">DP-DID</w:t>
      </w:r>
      <w:r>
        <w:rPr>
          <w:rFonts w:ascii="Cambria" w:cs="Cambria" w:eastAsia="Cambria" w:hAnsi="Cambria"/>
          <w:sz w:val="24"/>
          <w:szCs w:val="24"/>
        </w:rPr>
        <w:t xml:space="preserve">: A dynamic and proactive decentralized identity system. IEEE Transactions on Information Forensics and Security, </w:t>
      </w:r>
      <w:r>
        <w:rPr>
          <w:rFonts w:ascii="Cambria" w:cs="Cambria" w:eastAsia="Cambria" w:hAnsi="Cambria"/>
          <w:b w:val="false"/>
          <w:bCs w:val="false"/>
          <w:sz w:val="24"/>
          <w:szCs w:val="24"/>
        </w:rPr>
        <w:t xml:space="preserve">20:</w:t>
      </w:r>
      <w:r>
        <w:rPr>
          <w:rFonts w:ascii="Cambria" w:cs="Cambria" w:eastAsia="Cambria" w:hAnsi="Cambria"/>
          <w:sz w:val="24"/>
          <w:szCs w:val="24"/>
        </w:rPr>
        <w:t xml:space="preserve">4999–5014, 2025.</w:t>
      </w:r>
    </w:p>
    <w:p>
      <w:pPr>
        <w:spacing w:after="140" w:line="300"/>
        <w:jc w:val="both"/>
      </w:pPr>
      <w:r>
        <w:rPr>
          <w:rFonts w:ascii="Cambria" w:cs="Cambria" w:eastAsia="Cambria" w:hAnsi="Cambria"/>
          <w:sz w:val="24"/>
          <w:szCs w:val="24"/>
        </w:rPr>
        <w:t xml:space="preserve">[34] </w:t>
      </w:r>
      <w:r>
        <w:rPr>
          <w:rFonts w:ascii="Cambria" w:cs="Cambria" w:eastAsia="Cambria" w:hAnsi="Cambria"/>
          <w:color w:val="000000"/>
          <w:sz w:val="24"/>
          <w:szCs w:val="24"/>
        </w:rPr>
        <w:t xml:space="preserve">Matthew J Page, Joanne E McKenzie, Patrick M Bossuyt, Isabelle Boutron, Tammy C Hoffmann, Cynthia D Mulrow, et al. The PRISMA 2020 statement: an updated guideline for reporting systematic reviews. BMJ, 372:n71, 2021.</w:t>
      </w:r>
    </w:p>
    <w:p>
      <w:pPr>
        <w:spacing w:after="100" w:before="100"/>
      </w:pPr>
      <w:r>
        <w:rPr>
          <w:rFonts w:ascii="Cambria" w:cs="Cambria" w:eastAsia="Cambria" w:hAnsi="Cambria"/>
          <w:b/>
          <w:bCs/>
          <w:color w:val="007A00"/>
          <w:sz w:val="19"/>
          <w:szCs w:val="19"/>
        </w:rPr>
        <w:t xml:space="preserve">◆ [GREEN — غير مهم] G1: [21] and [34] break the alphabetical order of the list. Numeric citation styles do not require alphabetical order; fixing it would force renumbering every in-text citation. Recommended: leave as is.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00000"/>
      <w:sz w:val="32"/>
      <w:szCs w:val="32"/>
    </w:rPr>
  </w:style>
  <w:style w:type="paragraph" w:styleId="Heading2">
    <w:name w:val="Heading 2"/>
    <w:basedOn w:val="Normal"/>
    <w:next w:val="Normal"/>
    <w:qFormat/>
    <w:pPr>
      <w:outlineLvl w:val="1"/>
    </w:pPr>
    <w:rPr>
      <w:rFonts w:ascii="Cambria" w:cs="Cambria" w:eastAsia="Cambria" w:hAnsi="Cambria"/>
      <w:b/>
      <w:bCs/>
      <w:color w:val="000000"/>
      <w:sz w:val="28"/>
      <w:szCs w:val="28"/>
    </w:rPr>
  </w:style>
  <w:style w:type="paragraph" w:styleId="Heading3">
    <w:name w:val="Heading 3"/>
    <w:basedOn w:val="Normal"/>
    <w:next w:val="Normal"/>
    <w:qFormat/>
    <w:pPr>
      <w:outlineLvl w:val="2"/>
    </w:pPr>
    <w:rPr>
      <w:rFonts w:ascii="Cambria" w:cs="Cambria" w:eastAsia="Cambria" w:hAnsi="Cambria"/>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bac4283ac7c9dffcd42565f9f279d568fa67012.png"/><Relationship Id="rId9" Type="http://schemas.openxmlformats.org/officeDocument/2006/relationships/image" Target="media/d4fcae5448728df700f7fcb56b8fc5a1fc56fa7f.png"/><Relationship Id="rId10" Type="http://schemas.openxmlformats.org/officeDocument/2006/relationships/image" Target="media/5725741516b6d7350742358c69ef15dffd19ce8b.png"/><Relationship Id="rId11" Type="http://schemas.openxmlformats.org/officeDocument/2006/relationships/image" Target="media/8dbf8f8114ee1a36bb173391ae40c477f5a9f4e7.png"/><Relationship Id="rId12" Type="http://schemas.openxmlformats.org/officeDocument/2006/relationships/image" Target="media/0ed002e09311e352eea87b4c3d6bc1c202f9bce1.png"/><Relationship Id="rId13" Type="http://schemas.openxmlformats.org/officeDocument/2006/relationships/image" Target="media/2b536558d832546ec393dd67925c929dd6236fad.png"/><Relationship Id="rId14" Type="http://schemas.openxmlformats.org/officeDocument/2006/relationships/image" Target="media/e698f47fea018ba4e2802cc16cd6dfd9035c7463.png"/><Relationship Id="rId15" Type="http://schemas.openxmlformats.org/officeDocument/2006/relationships/image" Target="media/580bfb808c41b68f58dd6143da2bda07a4fdfcd6.png"/><Relationship Id="rId16" Type="http://schemas.openxmlformats.org/officeDocument/2006/relationships/image" Target="media/cfb68299954ed8f8f5e10a9a9db637b9bb1e6943.png"/><Relationship Id="rId17" Type="http://schemas.openxmlformats.org/officeDocument/2006/relationships/image" Target="media/afac86a350f9945eeb94b9ee246e19d29bb41335.png"/><Relationship Id="rId18" Type="http://schemas.openxmlformats.org/officeDocument/2006/relationships/image" Target="media/fe31f8f29a692dd173065f592f44a94045201e99.png"/><Relationship Id="rId19" Type="http://schemas.openxmlformats.org/officeDocument/2006/relationships/image" Target="media/ee95cfbafdc45fc97602cba6ccc94f86e621b2e0.png"/><Relationship Id="rId20" Type="http://schemas.openxmlformats.org/officeDocument/2006/relationships/image" Target="media/8a0259851c9ce9543a4dd4e70fbf6ef776d64c4f.png"/><Relationship Id="rId21" Type="http://schemas.openxmlformats.org/officeDocument/2006/relationships/image" Target="media/751a1c2ff4c695ebcf2d04aee2d3822c664dbd66.png"/><Relationship Id="rId22" Type="http://schemas.openxmlformats.org/officeDocument/2006/relationships/image" Target="media/fcbfc7caea7791f142b62cd810e09ae43c0a3029.png"/><Relationship Id="rId23" Type="http://schemas.openxmlformats.org/officeDocument/2006/relationships/image" Target="media/098992a49f33b5863197c094b0274b3a570ac6b0.png"/><Relationship Id="rId24" Type="http://schemas.openxmlformats.org/officeDocument/2006/relationships/image" Target="media/340cd7ece83aa7b471f90497fa4ab20abba8cb78.png"/><Relationship Id="rId25" Type="http://schemas.openxmlformats.org/officeDocument/2006/relationships/image" Target="media/29a8d803374a279180f0fb7569fd71a96e4828cc.png"/><Relationship Id="rId26" Type="http://schemas.openxmlformats.org/officeDocument/2006/relationships/image" Target="media/93e2e5b518189f1af9628f404919fff014730a4c.png"/><Relationship Id="rId27" Type="http://schemas.openxmlformats.org/officeDocument/2006/relationships/image" Target="media/0c260341434b1a3d96e8ec816e8fdf21bc280008.png"/><Relationship Id="rId28" Type="http://schemas.openxmlformats.org/officeDocument/2006/relationships/image" Target="media/3b43f208c34e619a9b1fcd7a8da9990014f117c8.png"/><Relationship Id="rId29" Type="http://schemas.openxmlformats.org/officeDocument/2006/relationships/image" Target="media/86a2658ddba90ee4c38a66206a6a68c15d95f581.png"/><Relationship Id="rId30" Type="http://schemas.openxmlformats.org/officeDocument/2006/relationships/image" Target="media/b042baccd1b6ddb409d02825dcbf0a0b42cf8600.png"/><Relationship Id="rId31" Type="http://schemas.openxmlformats.org/officeDocument/2006/relationships/image" Target="media/b08ef3c27e50bcebac919f21b9b3c4430a015386.png"/><Relationship Id="rId32" Type="http://schemas.openxmlformats.org/officeDocument/2006/relationships/image" Target="media/5aab1f9956758b1489f12e56e316ce914adfc234.png"/><Relationship Id="rId33" Type="http://schemas.openxmlformats.org/officeDocument/2006/relationships/image" Target="media/dca988adf54061cfd18e3b65d04cc93b4c0821a5.png"/><Relationship Id="rId34" Type="http://schemas.openxmlformats.org/officeDocument/2006/relationships/image" Target="media/ced20419b26ad52dabc386ca8fa03e512cf67f8c.png"/><Relationship Id="rId35" Type="http://schemas.openxmlformats.org/officeDocument/2006/relationships/image" Target="media/e56b4f992bdd903593631381fadd9d088590b949.png"/><Relationship Id="rId36" Type="http://schemas.openxmlformats.org/officeDocument/2006/relationships/image" Target="media/31dcbc50059ae2791ce05a42c041185014378f3f.png"/><Relationship Id="rId37" Type="http://schemas.openxmlformats.org/officeDocument/2006/relationships/image" Target="media/ce3dcc9a910c6fc9b80e1215a4025c2e03d7ae91.png"/><Relationship Id="rId38" Type="http://schemas.openxmlformats.org/officeDocument/2006/relationships/image" Target="media/8f7d48ee1d3a925ebd1d5709598063d3ff8e3925.png"/><Relationship Id="rId39" Type="http://schemas.openxmlformats.org/officeDocument/2006/relationships/image" Target="media/379af060121c595b8dab938b017503bf01d94543.png"/><Relationship Id="rId40" Type="http://schemas.openxmlformats.org/officeDocument/2006/relationships/image" Target="media/3a13ccfef28f9583bfb8ffa6fad6c0cd87ee4e3f.png"/><Relationship Id="rId41" Type="http://schemas.openxmlformats.org/officeDocument/2006/relationships/image" Target="media/c67c351664df141a74ad4841b37c3e4adf06cdc8.png"/><Relationship Id="rId42" Type="http://schemas.openxmlformats.org/officeDocument/2006/relationships/image" Target="media/6b2eed335569e4023d73a2acfc049e4652246425.png"/><Relationship Id="rId43" Type="http://schemas.openxmlformats.org/officeDocument/2006/relationships/image" Target="media/0dab734b3591fc6e44f28d70c229863ac765dd6c.png"/><Relationship Id="rId44" Type="http://schemas.openxmlformats.org/officeDocument/2006/relationships/image" Target="media/77a7b903f3de550876bb41810cdf2d1e7c0ac7f2.png"/><Relationship Id="rId45" Type="http://schemas.openxmlformats.org/officeDocument/2006/relationships/image" Target="media/2f0f0886862a384327500130debd3ae79225e0b4.png"/><Relationship Id="rId46" Type="http://schemas.openxmlformats.org/officeDocument/2006/relationships/image" Target="media/05da8f4effe706cf5aafdd89f16572da00d8acd2.png"/><Relationship Id="rId47" Type="http://schemas.openxmlformats.org/officeDocument/2006/relationships/image" Target="media/18110f2d94411825c7d788fe5ccde19f68a450f5.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Un-named</cp:lastModifiedBy>
  <cp:revision>1</cp:revision>
  <dcterms:created xsi:type="dcterms:W3CDTF">2026-09-28T10:00:32.227Z</dcterms:created>
  <dcterms:modified xsi:type="dcterms:W3CDTF">2026-09-28T10:00:32.227Z</dcterms:modified>
</cp:coreProperties>
</file>

<file path=docProps/custom.xml><?xml version="1.0" encoding="utf-8"?>
<Properties xmlns="http://schemas.openxmlformats.org/officeDocument/2006/custom-properties" xmlns:vt="http://schemas.openxmlformats.org/officeDocument/2006/docPropsVTypes"/>
</file>