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w:t>
      </w:r>
      <w:r>
        <w:rPr>
          <w:rFonts w:ascii="Times New Roman" w:cs="Times New Roman" w:eastAsia="Times New Roman" w:hAnsi="Times New Roman"/>
          <w:b/>
          <w:bCs/>
          <w:sz w:val="40"/>
          <w:szCs w:val="40"/>
        </w:rPr>
        <w:t xml:space="preserve">Authorisation</w:t>
      </w:r>
      <w:r>
        <w:rPr>
          <w:rFonts w:ascii="Times New Roman" w:cs="Times New Roman" w:eastAsia="Times New Roman" w:hAnsi="Times New Roman"/>
          <w:b/>
          <w:bCs/>
          <w:sz w:val="40"/>
          <w:szCs w:val="40"/>
        </w:rPr>
        <w:t xml:space="preserve">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17</w:t>
      </w:r>
    </w:p>
    <w:p>
      <w:pPr>
        <w:tabs>
          <w:tab w:val="right" w:pos="9128" w:leader="dot"/>
        </w:tabs>
        <w:spacing w:after="100"/>
      </w:pPr>
      <w:r>
        <w:rPr>
          <w:rFonts w:ascii="Times New Roman" w:cs="Times New Roman" w:eastAsia="Times New Roman" w:hAnsi="Times New Roman"/>
          <w:sz w:val="22"/>
          <w:szCs w:val="22"/>
        </w:rPr>
        <w:t xml:space="preserve">4. Research Objectives	20</w:t>
      </w:r>
    </w:p>
    <w:p>
      <w:pPr>
        <w:tabs>
          <w:tab w:val="right" w:pos="9128" w:leader="dot"/>
        </w:tabs>
        <w:spacing w:after="100"/>
      </w:pPr>
      <w:r>
        <w:rPr>
          <w:rFonts w:ascii="Times New Roman" w:cs="Times New Roman" w:eastAsia="Times New Roman" w:hAnsi="Times New Roman"/>
          <w:sz w:val="22"/>
          <w:szCs w:val="22"/>
        </w:rPr>
        <w:t xml:space="preserve">5. Research Architecture: MVC	22</w:t>
      </w:r>
    </w:p>
    <w:p>
      <w:pPr>
        <w:tabs>
          <w:tab w:val="right" w:pos="9128" w:leader="dot"/>
        </w:tabs>
        <w:spacing w:after="100"/>
      </w:pPr>
      <w:r>
        <w:rPr>
          <w:rFonts w:ascii="Times New Roman" w:cs="Times New Roman" w:eastAsia="Times New Roman" w:hAnsi="Times New Roman"/>
          <w:sz w:val="22"/>
          <w:szCs w:val="22"/>
        </w:rPr>
        <w:t xml:space="preserve">6. The Proposed Solution for RO1	29</w:t>
      </w:r>
    </w:p>
    <w:p>
      <w:pPr>
        <w:tabs>
          <w:tab w:val="right" w:pos="9128" w:leader="dot"/>
        </w:tabs>
        <w:spacing w:after="100"/>
      </w:pPr>
      <w:r>
        <w:rPr>
          <w:rFonts w:ascii="Times New Roman" w:cs="Times New Roman" w:eastAsia="Times New Roman" w:hAnsi="Times New Roman"/>
          <w:sz w:val="22"/>
          <w:szCs w:val="22"/>
        </w:rPr>
        <w:t xml:space="preserve">7. The Proposed Solution for RO2	33</w:t>
      </w:r>
    </w:p>
    <w:p>
      <w:pPr>
        <w:tabs>
          <w:tab w:val="right" w:pos="9128" w:leader="dot"/>
        </w:tabs>
        <w:spacing w:after="100"/>
      </w:pPr>
      <w:r>
        <w:rPr>
          <w:rFonts w:ascii="Times New Roman" w:cs="Times New Roman" w:eastAsia="Times New Roman" w:hAnsi="Times New Roman"/>
          <w:sz w:val="22"/>
          <w:szCs w:val="22"/>
        </w:rPr>
        <w:t xml:space="preserve">8. The Proposed Solution for RO3	37</w:t>
      </w:r>
    </w:p>
    <w:p>
      <w:pPr>
        <w:tabs>
          <w:tab w:val="right" w:pos="9128" w:leader="dot"/>
        </w:tabs>
        <w:spacing w:after="100"/>
      </w:pPr>
      <w:r>
        <w:rPr>
          <w:rFonts w:ascii="Times New Roman" w:cs="Times New Roman" w:eastAsia="Times New Roman" w:hAnsi="Times New Roman"/>
          <w:sz w:val="22"/>
          <w:szCs w:val="22"/>
        </w:rPr>
        <w:t xml:space="preserve">9. The Proposed Solution for RO4	42</w:t>
      </w:r>
    </w:p>
    <w:p>
      <w:pPr>
        <w:tabs>
          <w:tab w:val="right" w:pos="9128" w:leader="dot"/>
        </w:tabs>
        <w:spacing w:after="100"/>
      </w:pPr>
      <w:r>
        <w:rPr>
          <w:rFonts w:ascii="Times New Roman" w:cs="Times New Roman" w:eastAsia="Times New Roman" w:hAnsi="Times New Roman"/>
          <w:sz w:val="22"/>
          <w:szCs w:val="22"/>
        </w:rPr>
        <w:t xml:space="preserve">10. The Proposed Solution for RO5	47</w:t>
      </w:r>
    </w:p>
    <w:p>
      <w:pPr>
        <w:tabs>
          <w:tab w:val="right" w:pos="9128" w:leader="dot"/>
        </w:tabs>
        <w:spacing w:after="100"/>
      </w:pPr>
      <w:r>
        <w:rPr>
          <w:rFonts w:ascii="Times New Roman" w:cs="Times New Roman" w:eastAsia="Times New Roman" w:hAnsi="Times New Roman"/>
          <w:sz w:val="22"/>
          <w:szCs w:val="22"/>
        </w:rPr>
        <w:t xml:space="preserve">11. The Proposed Solution for RO6	51</w:t>
      </w:r>
    </w:p>
    <w:p>
      <w:pPr>
        <w:tabs>
          <w:tab w:val="right" w:pos="9128" w:leader="dot"/>
        </w:tabs>
        <w:spacing w:after="100"/>
      </w:pPr>
      <w:r>
        <w:rPr>
          <w:rFonts w:ascii="Times New Roman" w:cs="Times New Roman" w:eastAsia="Times New Roman" w:hAnsi="Times New Roman"/>
          <w:sz w:val="22"/>
          <w:szCs w:val="22"/>
        </w:rPr>
        <w:t xml:space="preserve">12. Publications Summary	67</w:t>
      </w:r>
    </w:p>
    <w:p>
      <w:pPr>
        <w:tabs>
          <w:tab w:val="right" w:pos="9128" w:leader="dot"/>
        </w:tabs>
        <w:spacing w:after="100"/>
      </w:pPr>
      <w:r>
        <w:rPr>
          <w:rFonts w:ascii="Times New Roman" w:cs="Times New Roman" w:eastAsia="Times New Roman" w:hAnsi="Times New Roman"/>
          <w:sz w:val="22"/>
          <w:szCs w:val="22"/>
        </w:rPr>
        <w:t xml:space="preserve">13. Research Plan	68</w:t>
      </w:r>
    </w:p>
    <w:p>
      <w:pPr>
        <w:tabs>
          <w:tab w:val="right" w:pos="9128" w:leader="dot"/>
        </w:tabs>
        <w:spacing w:after="100"/>
      </w:pPr>
      <w:r>
        <w:rPr>
          <w:rFonts w:ascii="Times New Roman" w:cs="Times New Roman" w:eastAsia="Times New Roman" w:hAnsi="Times New Roman"/>
          <w:sz w:val="22"/>
          <w:szCs w:val="22"/>
        </w:rPr>
        <w:t xml:space="preserve">References	70</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bCs/>
          <w:sz w:val="26"/>
          <w:szCs w:val="26"/>
        </w:rPr>
        <w:t xml:space="preserve">Research Context</w:t>
      </w:r>
    </w:p>
    <w:p>
      <w:pPr>
        <w:spacing w:after="110" w:line="264"/>
        <w:jc w:val="both"/>
      </w:pPr>
      <w:r>
        <w:rPr>
          <w:rFonts w:ascii="Times New Roman" w:cs="Times New Roman" w:eastAsia="Times New Roman" w:hAnsi="Times New Roman"/>
          <w:sz w:val="22"/>
          <w:szCs w:val="22"/>
          <w:highlight w:val="magenta"/>
        </w:rPr>
        <w:t xml:space="preserve">Secure and trustworthy data sharing is now needed</w:t>
      </w:r>
      <w:r>
        <w:rPr>
          <w:rFonts w:ascii="Times New Roman" w:cs="Times New Roman" w:eastAsia="Times New Roman" w:hAnsi="Times New Roman"/>
          <w:sz w:val="22"/>
          <w:szCs w:val="22"/>
        </w:rPr>
        <w:t xml:space="preserve"> across organisational boundaries. Modern digital ecosystems involve multiple independent stakeholders, including individuals, healthcare providers, regulatory authorities, researchers, and third-party data processors </w:t>
      </w:r>
      <w:r>
        <w:rPr>
          <w:rFonts w:ascii="Times New Roman" w:cs="Times New Roman" w:eastAsia="Times New Roman" w:hAnsi="Times New Roman"/>
          <w:sz w:val="22"/>
          <w:szCs w:val="22"/>
          <w:highlight w:val="green"/>
        </w:rPr>
        <w:t xml:space="preserve">(Ghafoor et al. 2025; Lomotey, Kumi &amp; Deters 2022;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magenta"/>
        </w:rPr>
        <w:t xml:space="preserve">Digital services make collaboration easier, but they also raise a governance question</w:t>
      </w:r>
      <w:r>
        <w:rPr>
          <w:rFonts w:ascii="Times New Roman" w:cs="Times New Roman" w:eastAsia="Times New Roman" w:hAnsi="Times New Roman"/>
          <w:sz w:val="22"/>
          <w:szCs w:val="22"/>
        </w:rPr>
        <w:t xml:space="preserve">: how can data access be authorised and trusted when the participating entities do not belong to a single administrative or institutional domain? </w:t>
      </w:r>
      <w:r>
        <w:rPr>
          <w:rFonts w:ascii="Times New Roman" w:cs="Times New Roman" w:eastAsia="Times New Roman" w:hAnsi="Times New Roman"/>
          <w:sz w:val="22"/>
          <w:szCs w:val="22"/>
          <w:highlight w:val="magenta"/>
        </w:rPr>
        <w:t xml:space="preserve">Healthcare is a clear example of this problem.</w:t>
      </w:r>
      <w:r>
        <w:rPr>
          <w:rFonts w:ascii="Times New Roman" w:cs="Times New Roman" w:eastAsia="Times New Roman" w:hAnsi="Times New Roman"/>
          <w:sz w:val="22"/>
          <w:szCs w:val="22"/>
        </w:rPr>
        <w:t xml:space="preserve"> The increasing digitisation of healthcare information enables patients, healthcare professionals, guardians, researchers, and healthcare organisations to participate in data-sharing processes </w:t>
      </w:r>
      <w:r>
        <w:rPr>
          <w:rFonts w:ascii="Times New Roman" w:cs="Times New Roman" w:eastAsia="Times New Roman" w:hAnsi="Times New Roman"/>
          <w:sz w:val="22"/>
          <w:szCs w:val="22"/>
          <w:highlight w:val="green"/>
        </w:rPr>
        <w:t xml:space="preserve">(Webber et al. 2019; Welzel et al. 2025)</w:t>
      </w:r>
      <w:r>
        <w:rPr>
          <w:rFonts w:ascii="Times New Roman" w:cs="Times New Roman" w:eastAsia="Times New Roman" w:hAnsi="Times New Roman"/>
          <w:sz w:val="22"/>
          <w:szCs w:val="22"/>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w:t>
      </w:r>
      <w:r>
        <w:rPr>
          <w:rFonts w:ascii="Times New Roman" w:cs="Times New Roman" w:eastAsia="Times New Roman" w:hAnsi="Times New Roman"/>
          <w:sz w:val="22"/>
          <w:szCs w:val="22"/>
          <w:highlight w:val="green"/>
        </w:rPr>
        <w:t xml:space="preserve">(Ibrahim et al. 2024; Webber et al. 2019)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magenta"/>
        </w:rPr>
        <w:t xml:space="preserve">In these settings, authorisation is a distributed governance problem, not just a check of a user's login and a static permission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green"/>
        </w:rPr>
        <w:t xml:space="preserve">(Theodorakopoulos, Theodoropoulou &amp; Halkiopoulos 2024)</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w:t>
      </w:r>
      <w:r>
        <w:rPr>
          <w:rFonts w:ascii="Times New Roman" w:cs="Times New Roman" w:eastAsia="Times New Roman" w:hAnsi="Times New Roman"/>
          <w:sz w:val="22"/>
          <w:szCs w:val="22"/>
          <w:highlight w:val="green"/>
        </w:rPr>
        <w:t xml:space="preserve">(Al Mamun, Azam &amp; Gritti 2022; Hellstern et al. 2022; Li, Liu &amp; Shrestha 2026;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while decentralised identifiers can support the identification</w:t>
      </w:r>
      <w:r>
        <w:rPr>
          <w:rFonts w:ascii="Times New Roman" w:cs="Times New Roman" w:eastAsia="Times New Roman" w:hAnsi="Times New Roman"/>
          <w:sz w:val="22"/>
          <w:szCs w:val="22"/>
        </w:rPr>
        <w:t xml:space="preserve">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w:t>
      </w:r>
      <w:r>
        <w:rPr>
          <w:rFonts w:ascii="Times New Roman" w:cs="Times New Roman" w:eastAsia="Times New Roman" w:hAnsi="Times New Roman"/>
          <w:sz w:val="22"/>
          <w:szCs w:val="22"/>
          <w:highlight w:val="magenta"/>
        </w:rPr>
        <w:t xml:space="preserve">Consent must therefore be treated as an active, evaluable part of the authorisation process, not as a static record of permission</w:t>
      </w:r>
      <w:r>
        <w:rPr>
          <w:rFonts w:ascii="Times New Roman" w:cs="Times New Roman" w:eastAsia="Times New Roman" w:hAnsi="Times New Roman"/>
          <w:sz w:val="22"/>
          <w:szCs w:val="22"/>
        </w:rPr>
        <w:t xml:space="preserve">, extending the dynamic consent perspective </w:t>
      </w:r>
      <w:r>
        <w:rPr>
          <w:rFonts w:ascii="Times New Roman" w:cs="Times New Roman" w:eastAsia="Times New Roman" w:hAnsi="Times New Roman"/>
          <w:sz w:val="22"/>
          <w:szCs w:val="22"/>
          <w:highlight w:val="green"/>
        </w:rPr>
        <w:t xml:space="preserve">(Khalid et al. 2023; Narkhede, Wankhede &amp; Kamble 2025)</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bCs/>
          <w:sz w:val="26"/>
          <w:szCs w:val="26"/>
        </w:rPr>
        <w:t xml:space="preserve">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w:t>
      </w:r>
      <w:r>
        <w:rPr>
          <w:rFonts w:ascii="Times New Roman" w:cs="Times New Roman" w:eastAsia="Times New Roman" w:hAnsi="Times New Roman"/>
          <w:sz w:val="22"/>
          <w:szCs w:val="22"/>
          <w:highlight w:val="green"/>
        </w:rPr>
        <w:t xml:space="preserve">(Jesus &amp; Pandit 2022; Khalid et al. 2023)</w:t>
      </w:r>
      <w:r>
        <w:rPr>
          <w:rFonts w:ascii="Times New Roman" w:cs="Times New Roman" w:eastAsia="Times New Roman" w:hAnsi="Times New Roman"/>
          <w:sz w:val="22"/>
          <w:szCs w:val="22"/>
        </w:rPr>
        <w:t xml:space="preserve">.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w:t>
      </w:r>
      <w:r>
        <w:rPr>
          <w:rFonts w:ascii="Times New Roman" w:cs="Times New Roman" w:eastAsia="Times New Roman" w:hAnsi="Times New Roman"/>
          <w:sz w:val="22"/>
          <w:szCs w:val="22"/>
        </w:rPr>
        <w:t xml:space="preserve">Existing approaches provide important technological components,</w:t>
      </w:r>
      <w:r>
        <w:rPr>
          <w:rFonts w:ascii="Times New Roman" w:cs="Times New Roman" w:eastAsia="Times New Roman" w:hAnsi="Times New Roman"/>
          <w:sz w:val="22"/>
          <w:szCs w:val="22"/>
        </w:rPr>
        <w:t xml:space="preserve"> including decentralised identity and verifiable credentials </w:t>
      </w:r>
      <w:r>
        <w:rPr>
          <w:rFonts w:ascii="Times New Roman" w:cs="Times New Roman" w:eastAsia="Times New Roman" w:hAnsi="Times New Roman"/>
          <w:sz w:val="22"/>
          <w:szCs w:val="22"/>
          <w:highlight w:val="green"/>
        </w:rPr>
        <w:t xml:space="preserve">(Phuyal et al. 2026b; Wu &amp; Zhang 2025)</w:t>
      </w:r>
      <w:r>
        <w:rPr>
          <w:rFonts w:ascii="Times New Roman" w:cs="Times New Roman" w:eastAsia="Times New Roman" w:hAnsi="Times New Roman"/>
          <w:sz w:val="22"/>
          <w:szCs w:val="22"/>
        </w:rPr>
        <w:t xml:space="preserve">, blockchain-based records, multi-party approval mechanisms </w:t>
      </w:r>
      <w:r>
        <w:rPr>
          <w:rFonts w:ascii="Times New Roman" w:cs="Times New Roman" w:eastAsia="Times New Roman" w:hAnsi="Times New Roman"/>
          <w:sz w:val="22"/>
          <w:szCs w:val="22"/>
          <w:highlight w:val="green"/>
        </w:rPr>
        <w:t xml:space="preserve">(Ekholm et al. 2025; Punia et al. 2025; Tan, Chi &amp; Lam 2024)</w:t>
      </w:r>
      <w:r>
        <w:rPr>
          <w:rFonts w:ascii="Times New Roman" w:cs="Times New Roman" w:eastAsia="Times New Roman" w:hAnsi="Times New Roman"/>
          <w:sz w:val="22"/>
          <w:szCs w:val="22"/>
        </w:rPr>
        <w:t xml:space="preserve">, and policy-based access control </w:t>
      </w:r>
      <w:r>
        <w:rPr>
          <w:rFonts w:ascii="Times New Roman" w:cs="Times New Roman" w:eastAsia="Times New Roman" w:hAnsi="Times New Roman"/>
          <w:sz w:val="22"/>
          <w:szCs w:val="22"/>
          <w:highlight w:val="green"/>
        </w:rPr>
        <w:t xml:space="preserve">(Eneh et al. 2026; Khayer et al. 2025; Panagoulias et al. 2026; Román-Martínez et al. 2023)</w:t>
      </w:r>
      <w:r>
        <w:rPr>
          <w:rFonts w:ascii="Times New Roman" w:cs="Times New Roman" w:eastAsia="Times New Roman" w:hAnsi="Times New Roman"/>
          <w:sz w:val="22"/>
          <w:szCs w:val="22"/>
        </w:rPr>
        <w:t xml:space="preserve">,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w:t>
      </w:r>
      <w:r>
        <w:rPr>
          <w:rFonts w:ascii="Times New Roman" w:cs="Times New Roman" w:eastAsia="Times New Roman" w:hAnsi="Times New Roman"/>
          <w:sz w:val="22"/>
          <w:szCs w:val="22"/>
        </w:rPr>
        <w:t xml:space="preserve"> (SRQ1 to SRQ6, referred to as RQ1 to RQ6)</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bCs/>
          <w:sz w:val="26"/>
          <w:szCs w:val="26"/>
        </w:rPr>
        <w:t xml:space="preserve">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w:t>
      </w:r>
      <w:r>
        <w:rPr>
          <w:rFonts w:ascii="Times New Roman" w:cs="Times New Roman" w:eastAsia="Times New Roman" w:hAnsi="Times New Roman"/>
          <w:sz w:val="22"/>
          <w:szCs w:val="22"/>
          <w:highlight w:val="green"/>
        </w:rPr>
        <w:t xml:space="preserve">(Li et al. 2026b; Ménétrey et al. 2022)</w:t>
      </w:r>
      <w:r>
        <w:rPr>
          <w:rFonts w:ascii="Times New Roman" w:cs="Times New Roman" w:eastAsia="Times New Roman" w:hAnsi="Times New Roman"/>
          <w:sz w:val="22"/>
          <w:szCs w:val="22"/>
        </w:rPr>
        <w:t xml:space="preserve">.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w:t>
      </w:r>
      <w:r>
        <w:rPr>
          <w:rFonts w:ascii="Times New Roman" w:cs="Times New Roman" w:eastAsia="Times New Roman" w:hAnsi="Times New Roman"/>
          <w:sz w:val="22"/>
          <w:szCs w:val="22"/>
          <w:highlight w:val="magenta"/>
        </w:rPr>
        <w:t xml:space="preserve">Together, these conditions decide whether an authorisation decision has enough basis to be trusted, not only whether access was requested.</w:t>
      </w:r>
      <w:r>
        <w:rPr>
          <w:rFonts w:ascii="Times New Roman" w:cs="Times New Roman" w:eastAsia="Times New Roman" w:hAnsi="Times New Roman"/>
          <w:sz w:val="22"/>
          <w:szCs w:val="22"/>
        </w:rPr>
        <w:t xml:space="preserve">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jurisdictional conditions, and evidence associated with an authorisation decision.</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and RO6 are in progress, and part of each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sz w:val="22"/>
          <w:szCs w:val="22"/>
        </w:rP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w:t>
      </w:r>
      <w:r>
        <w:rPr>
          <w:rFonts w:ascii="Times New Roman" w:cs="Times New Roman" w:eastAsia="Times New Roman" w:hAnsi="Times New Roman"/>
          <w:sz w:val="22"/>
          <w:szCs w:val="22"/>
        </w:rPr>
        <w:t xml:space="preserve">The current stage covers the work delivered so far,</w:t>
      </w:r>
      <w:r>
        <w:rPr>
          <w:rFonts w:ascii="Times New Roman" w:cs="Times New Roman" w:eastAsia="Times New Roman" w:hAnsi="Times New Roman"/>
          <w:sz w:val="22"/>
          <w:szCs w:val="22"/>
        </w:rPr>
        <w:t xml:space="preserve"> while temporal and lifecycle trust, formal security assurance, and comprehensive empirical validation </w:t>
      </w:r>
      <w:r>
        <w:rPr>
          <w:rFonts w:ascii="Times New Roman" w:cs="Times New Roman" w:eastAsia="Times New Roman" w:hAnsi="Times New Roman"/>
          <w:sz w:val="22"/>
          <w:szCs w:val="22"/>
        </w:rPr>
        <w:t xml:space="preserve">will be developed further in the next stage.</w:t>
      </w:r>
    </w:p>
    <w:p>
      <w:pPr>
        <w:spacing w:after="110" w:line="264"/>
        <w:jc w:val="both"/>
      </w:pPr>
      <w:r>
        <w:rPr>
          <w:rFonts w:ascii="Times New Roman" w:cs="Times New Roman" w:eastAsia="Times New Roman" w:hAnsi="Times New Roman"/>
          <w:sz w:val="22"/>
          <w:szCs w:val="22"/>
        </w:rPr>
        <w:t xml:space="preserve">Section 2 presents the systematic literature review, Section 3 the research gaps and questions, Section 4 the research objectives, and Section 5 the MVC-based research architecture.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highlight w:val="magenta"/>
        </w:rPr>
        <w:t xml:space="preserve">The review does not only list technologies that can be applied to healthcare data sharing. It examines</w:t>
      </w:r>
      <w:r>
        <w:rPr>
          <w:rFonts w:ascii="Times New Roman" w:cs="Times New Roman" w:eastAsia="Times New Roman" w:hAnsi="Times New Roman"/>
          <w:sz w:val="22"/>
          <w:szCs w:val="22"/>
        </w:rPr>
        <w:t xml:space="preserve"> how existing approaches address different conditions required for a trustworthy authorisation decision and where conceptual or architectural gaps remain. Healthcare research has emphasised the importance of patient autonomy, privacy, informed consent, and controlled data sharing </w:t>
      </w:r>
      <w:r>
        <w:rPr>
          <w:rFonts w:ascii="Times New Roman" w:cs="Times New Roman" w:eastAsia="Times New Roman" w:hAnsi="Times New Roman"/>
          <w:sz w:val="22"/>
          <w:szCs w:val="22"/>
          <w:highlight w:val="green"/>
        </w:rPr>
        <w:t xml:space="preserve">(Kaplow et al. 2024; Kharlamov, Hohmann &amp; Parry 2023; McClelland &amp; Harper 2023; Narkhede, Wankhede &amp; Kamble 2025; Webber et al. 2019)</w:t>
      </w:r>
      <w:r>
        <w:rPr>
          <w:rFonts w:ascii="Times New Roman" w:cs="Times New Roman" w:eastAsia="Times New Roman" w:hAnsi="Times New Roman"/>
          <w:sz w:val="22"/>
          <w:szCs w:val="22"/>
        </w:rPr>
        <w:t xml:space="preserve">. Multi-party trust research has investigated immutable data governance, distributed auditability, and decentralised consent management </w:t>
      </w:r>
      <w:r>
        <w:rPr>
          <w:rFonts w:ascii="Times New Roman" w:cs="Times New Roman" w:eastAsia="Times New Roman" w:hAnsi="Times New Roman"/>
          <w:sz w:val="22"/>
          <w:szCs w:val="22"/>
          <w:highlight w:val="green"/>
        </w:rPr>
        <w:t xml:space="preserve">(Andrew et al. 2023; Arbabi et al. 2023; Ghosh et al. 2023; Nguyen et al. 2025; Turan, Hashimzai &amp; Qiam 2025)</w:t>
      </w:r>
      <w:r>
        <w:rPr>
          <w:rFonts w:ascii="Times New Roman" w:cs="Times New Roman" w:eastAsia="Times New Roman" w:hAnsi="Times New Roman"/>
          <w:sz w:val="22"/>
          <w:szCs w:val="22"/>
        </w:rPr>
        <w:t xml:space="preserve">. Research on decentralised identity and verifiable credentials has developed mechanisms for self-controlled identity representation, credential verification, selective disclosure, and privacy-preserving authentication </w:t>
      </w:r>
      <w:r>
        <w:rPr>
          <w:rFonts w:ascii="Times New Roman" w:cs="Times New Roman" w:eastAsia="Times New Roman" w:hAnsi="Times New Roman"/>
          <w:sz w:val="22"/>
          <w:szCs w:val="22"/>
          <w:highlight w:val="green"/>
        </w:rPr>
        <w:t xml:space="preserve">(Deng et al. 2024; Flamini et al. 2024; Mazzocca et al. 2025; Nassar Kyriakidou, Papathanasiou &amp; Polyzos 2023; Parameswarath, Gope &amp; Sikdar 2022; Yin et al. 2025)</w:t>
      </w:r>
      <w:r>
        <w:rPr>
          <w:rFonts w:ascii="Times New Roman" w:cs="Times New Roman" w:eastAsia="Times New Roman" w:hAnsi="Times New Roman"/>
          <w:sz w:val="22"/>
          <w:szCs w:val="22"/>
        </w:rPr>
        <w:t xml:space="preserve">. Access-control research has further investigated role-based, attribute-based, risk-aware, and usage-control approaches for protecting sensitive healthcare information </w:t>
      </w:r>
      <w:r>
        <w:rPr>
          <w:rFonts w:ascii="Times New Roman" w:cs="Times New Roman" w:eastAsia="Times New Roman" w:hAnsi="Times New Roman"/>
          <w:sz w:val="22"/>
          <w:szCs w:val="22"/>
          <w:highlight w:val="green"/>
        </w:rPr>
        <w:t xml:space="preserve">(Jiang et al. 2023; Nazir et al. 2026; Tawfik et al. 2025; Yin et al. 2024)</w:t>
      </w:r>
      <w:r>
        <w:rPr>
          <w:rFonts w:ascii="Times New Roman" w:cs="Times New Roman" w:eastAsia="Times New Roman" w:hAnsi="Times New Roman"/>
          <w:sz w:val="22"/>
          <w:szCs w:val="22"/>
        </w:rPr>
        <w:t xml:space="preserve">. However, the literature also indicates that these mechanisms are commonly developed and evaluated as separate technological components. </w:t>
      </w:r>
      <w:r>
        <w:rPr>
          <w:rFonts w:ascii="Times New Roman" w:cs="Times New Roman" w:eastAsia="Times New Roman" w:hAnsi="Times New Roman"/>
          <w:sz w:val="22"/>
          <w:szCs w:val="22"/>
          <w:highlight w:val="magenta"/>
        </w:rPr>
        <w:t xml:space="preserve">Having the security mechanisms is one thing</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highlight w:val="magenta"/>
        </w:rPr>
        <w:t xml:space="preserve"> combining them into one trustworthy authorisation decision is another.</w:t>
      </w:r>
    </w:p>
    <w:p>
      <w:pPr>
        <w:pStyle w:val="Heading2"/>
        <w:keepNext/>
        <w:spacing w:after="120" w:before="240"/>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bCs/>
          <w:sz w:val="26"/>
          <w:szCs w:val="26"/>
        </w:rPr>
        <w:t xml:space="preserve">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data scope, and jurisdiction, temporal validity, 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w:t>
      </w:r>
      <w:r>
        <w:rPr>
          <w:rFonts w:ascii="Times New Roman" w:cs="Times New Roman" w:eastAsia="Times New Roman" w:hAnsi="Times New Roman"/>
          <w:sz w:val="22"/>
          <w:szCs w:val="22"/>
        </w:rPr>
        <w:t xml:space="preserve">Identifiers (DIDs)</w:t>
      </w:r>
      <w:r>
        <w:rPr>
          <w:rFonts w:ascii="Times New Roman" w:cs="Times New Roman" w:eastAsia="Times New Roman" w:hAnsi="Times New Roman"/>
          <w:sz w:val="22"/>
          <w:szCs w:val="22"/>
        </w:rPr>
        <w:t xml:space="preserve">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Every request should be evaluated against contextual constraints such as jurisdiction, because many unauthorised disclosures are caused by legitimate requesters who exceed their scope </w:t>
      </w:r>
      <w:r>
        <w:rPr>
          <w:rFonts w:ascii="Times New Roman" w:cs="Times New Roman" w:eastAsia="Times New Roman" w:hAnsi="Times New Roman"/>
          <w:sz w:val="22"/>
          <w:szCs w:val="22"/>
          <w:highlight w:val="green"/>
        </w:rPr>
        <w:t xml:space="preserve">(Jiang et al. 2023)</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bCs/>
          <w:sz w:val="26"/>
          <w:szCs w:val="26"/>
        </w:rPr>
        <w:t xml:space="preserve">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w:t>
      </w:r>
      <w:r>
        <w:rPr>
          <w:rFonts w:ascii="Times New Roman" w:cs="Times New Roman" w:eastAsia="Times New Roman" w:hAnsi="Times New Roman"/>
          <w:sz w:val="22"/>
          <w:szCs w:val="22"/>
          <w:highlight w:val="green"/>
        </w:rPr>
        <w:t xml:space="preserve">(Page et al. 2021)</w:t>
      </w:r>
      <w:r>
        <w:rPr>
          <w:rFonts w:ascii="Times New Roman" w:cs="Times New Roman" w:eastAsia="Times New Roman" w:hAnsi="Times New Roman"/>
          <w:sz w:val="22"/>
          <w:szCs w:val="22"/>
        </w:rPr>
        <w:t xml:space="preserve">.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w:t>
      </w:r>
      <w:r>
        <w:rPr>
          <w:rFonts w:ascii="Times New Roman" w:cs="Times New Roman" w:eastAsia="Times New Roman" w:hAnsi="Times New Roman"/>
          <w:sz w:val="22"/>
          <w:szCs w:val="22"/>
          <w:highlight w:val="magenta"/>
        </w:rPr>
        <w:t xml:space="preserve">All screening, coding, and quality assessment up to the reporting checkpoint were carried out by the author,</w:t>
      </w:r>
      <w:r>
        <w:rPr>
          <w:rFonts w:ascii="Times New Roman" w:cs="Times New Roman" w:eastAsia="Times New Roman" w:hAnsi="Times New Roman"/>
          <w:sz w:val="22"/>
          <w:szCs w:val="22"/>
        </w:rPr>
        <w:t xml:space="preserve"> and all counts are those recorded on 10 September 2026.</w:t>
      </w:r>
      <w:r>
        <w:rPr>
          <w:rFonts w:ascii="Times New Roman" w:cs="Times New Roman" w:eastAsia="Times New Roman" w:hAnsi="Times New Roman"/>
          <w:sz w:val="22"/>
          <w:szCs w:val="22"/>
        </w:rPr>
        <w:t xml:space="preserve"> This systematic literature review (SLR) is guided by seven review questions. Questions 1 to 5 correspond to Req 1 to Req 5, and Questions 6 and 7 together to Req 6. </w:t>
      </w:r>
      <w:r>
        <w:rPr>
          <w:rFonts w:ascii="Times New Roman" w:cs="Times New Roman" w:eastAsia="Times New Roman" w:hAnsi="Times New Roman"/>
          <w:sz w:val="22"/>
          <w:szCs w:val="22"/>
          <w:highlight w:val="magenta"/>
        </w:rPr>
        <w:t xml:space="preserve">The questions follow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sz w:val="22"/>
          <w:szCs w:val="22"/>
        </w:rPr>
        <w:t xml:space="preserve">The main searches were performed in August 2026. IEEE Xplore, Scopus, Web of Science, and ProQuest were searched on 24 August 2026, SpringerLink, ScienceDirect, and Google Scholar on 25 August 2026, and the ACM Digital Library on 5 September 2026 as a late arm, a declared limitation. Full-text coding began on 26 August 2026.</w:t>
      </w:r>
      <w:r>
        <w:rPr>
          <w:rFonts w:ascii="Times New Roman" w:cs="Times New Roman" w:eastAsia="Times New Roman" w:hAnsi="Times New Roman"/>
          <w:sz w:val="22"/>
          <w:szCs w:val="22"/>
        </w:rPr>
        <w:t xml:space="preserve"> A sentinel test of twelve predefined papers checked the recall of the master query, and all four healthcare-scoped sentinels </w:t>
      </w:r>
      <w:r>
        <w:rPr>
          <w:rFonts w:ascii="Times New Roman" w:cs="Times New Roman" w:eastAsia="Times New Roman" w:hAnsi="Times New Roman"/>
          <w:sz w:val="22"/>
          <w:szCs w:val="22"/>
          <w:highlight w:val="green"/>
        </w:rPr>
        <w:t xml:space="preserve">(Albalwy, Brass &amp; Davies 2021; Jaiman &amp; Urovi 2020; Madine et al. 2020; Tith et al. 2020)</w:t>
      </w:r>
      <w:r>
        <w:rPr>
          <w:rFonts w:ascii="Times New Roman" w:cs="Times New Roman" w:eastAsia="Times New Roman" w:hAnsi="Times New Roman"/>
          <w:sz w:val="22"/>
          <w:szCs w:val="22"/>
        </w:rPr>
        <w:t xml:space="preserve"> were retrieved. Seven of the eight misses were attributed to scope, missing trust terms, or the date range, and the cause of the eighth was recorded as an open item. The search results from all databases were exported into a reference management system. Duplicate records were identified using bibliographic metadata, including title, author, DOI, and publication year. </w:t>
      </w:r>
      <w:r>
        <w:rPr>
          <w:rFonts w:ascii="Times New Roman" w:cs="Times New Roman" w:eastAsia="Times New Roman" w:hAnsi="Times New Roman"/>
          <w:sz w:val="22"/>
          <w:szCs w:val="22"/>
        </w:rPr>
        <w:t xml:space="preserve">Where duplicate records were identified, the most complete bibliographic record was retained for subsequent screening. Each study is cited by the year of the journal issue or proceedings volume in which it appeared, not the year it was first published online.</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t>
      </w:r>
      <w:r>
        <w:rPr>
          <w:rFonts w:ascii="Times New Roman" w:cs="Times New Roman" w:eastAsia="Times New Roman" w:hAnsi="Times New Roman"/>
          <w:sz w:val="22"/>
          <w:szCs w:val="22"/>
        </w:rPr>
        <w:t xml:space="preserve"> 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2.1 presents the PRISMA flow diagram for this review which summarises the identification, screening, eligibility, and inclusion stages of the SLR. Its counts are internally consistent. The seven database searches returned 9,256 records, or 6,039 unique records after deduplication, and after title and abstract screening, </w:t>
      </w:r>
      <w:r>
        <w:rPr>
          <w:rFonts w:ascii="Times New Roman" w:cs="Times New Roman" w:eastAsia="Times New Roman" w:hAnsi="Times New Roman"/>
          <w:sz w:val="22"/>
          <w:szCs w:val="22"/>
        </w:rPr>
        <w:t xml:space="preserve">1,800 records advanced to full text and were prioritised into Tiers A, B, and C of 39, 1,066, and 695 records.</w:t>
      </w:r>
      <w:r>
        <w:rPr>
          <w:rFonts w:ascii="Times New Roman" w:cs="Times New Roman" w:eastAsia="Times New Roman" w:hAnsi="Times New Roman"/>
          <w:sz w:val="22"/>
          <w:szCs w:val="22"/>
        </w:rPr>
        <w:t xml:space="preserve"> Records that were clearly unrelated to the review scope were excluded at that stage. </w:t>
      </w:r>
      <w:r>
        <w:rPr>
          <w:rFonts w:ascii="Times New Roman" w:cs="Times New Roman" w:eastAsia="Times New Roman" w:hAnsi="Times New Roman"/>
          <w:sz w:val="22"/>
          <w:szCs w:val="22"/>
        </w:rPr>
        <w:t xml:space="preserve">A saturation rule was also defined, under which saturation is declared when eight consecutively coded studies with a positive signal for a dimension yield no new mechanism class. At the checkpoint, all 39 Tier A records and 25 further records had been assessed, and 44 reports had been fully coded and passed the quality gate. </w:t>
      </w:r>
      <w:r>
        <w:rPr>
          <w:rFonts w:ascii="Times New Roman" w:cs="Times New Roman" w:eastAsia="Times New Roman" w:hAnsi="Times New Roman"/>
          <w:sz w:val="22"/>
          <w:szCs w:val="22"/>
        </w:rPr>
        <w:t xml:space="preserve">One full-text report could not be retrieved, and the</w:t>
      </w:r>
      <w:r>
        <w:rPr>
          <w:rFonts w:ascii="Times New Roman" w:cs="Times New Roman" w:eastAsia="Times New Roman" w:hAnsi="Times New Roman"/>
          <w:sz w:val="22"/>
          <w:szCs w:val="22"/>
        </w:rPr>
        <w:t xml:space="preserve"> remaining 1,735 records had not yet been assessed, and the coding of Tiers B and C continues, so corpus completeness is bounded by the reporting checkpoint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w:t>
      </w:r>
      <w:r>
        <w:rPr>
          <w:rFonts w:ascii="Times New Roman" w:cs="Times New Roman" w:eastAsia="Times New Roman" w:hAnsi="Times New Roman"/>
          <w:sz w:val="22"/>
          <w:szCs w:val="22"/>
        </w:rPr>
        <w:t xml:space="preserve">Table 2.1 shows the quality items, how each one was scored, and the rule used for inclusion.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study is core</w:t>
      </w:r>
      <w:r>
        <w:rPr>
          <w:rFonts w:ascii="Times New Roman" w:cs="Times New Roman" w:eastAsia="Times New Roman" w:hAnsi="Times New Roman"/>
          <w:sz w:val="22"/>
          <w:szCs w:val="22"/>
        </w:rPr>
        <w:t xml:space="preserve"> if its gap-impact verdict is contradicts, weakens, or narrows, or if its T3 coding is Yes or Partial, which gives 23 core studies of the 44. With the two supporting studies of highest quality score 7.0 </w:t>
      </w:r>
      <w:r>
        <w:rPr>
          <w:rFonts w:ascii="Times New Roman" w:cs="Times New Roman" w:eastAsia="Times New Roman" w:hAnsi="Times New Roman"/>
          <w:sz w:val="22"/>
          <w:szCs w:val="22"/>
          <w:highlight w:val="green"/>
        </w:rPr>
        <w:t xml:space="preserve">(Albalwy, Brass &amp; Davies 2021; Li et al. 2026a)</w:t>
      </w:r>
      <w:r>
        <w:rPr>
          <w:rFonts w:ascii="Times New Roman" w:cs="Times New Roman" w:eastAsia="Times New Roman" w:hAnsi="Times New Roman"/>
          <w:sz w:val="22"/>
          <w:szCs w:val="22"/>
        </w:rPr>
        <w:t xml:space="preserve">, they form the 25 primary studies, S1 to S25. </w:t>
      </w:r>
      <w:r>
        <w:rPr>
          <w:rFonts w:ascii="Times New Roman" w:cs="Times New Roman" w:eastAsia="Times New Roman" w:hAnsi="Times New Roman"/>
          <w:sz w:val="22"/>
          <w:szCs w:val="22"/>
        </w:rPr>
        <w:t xml:space="preserve">Table 2.2 lists the 25 primary studies with their year, title, and category.</w:t>
      </w:r>
    </w:p>
    <w:p>
      <w:pPr>
        <w:keepNext/>
        <w:spacing w:after="80" w:before="200"/>
        <w:jc w:val="center"/>
      </w:pPr>
      <w:r>
        <w:rPr>
          <w:rFonts w:ascii="Times New Roman" w:cs="Times New Roman" w:eastAsia="Times New Roman" w:hAnsi="Times New Roman"/>
          <w:b/>
          <w:bCs/>
          <w:sz w:val="18"/>
          <w:szCs w:val="18"/>
        </w:rPr>
        <w:t xml:space="preserve">Table 2.1: </w:t>
      </w:r>
      <w:r>
        <w:rPr>
          <w:rFonts w:ascii="Times New Roman" w:cs="Times New Roman" w:eastAsia="Times New Roman" w:hAnsi="Times New Roman"/>
          <w:sz w:val="18"/>
          <w:szCs w:val="18"/>
        </w:rPr>
        <w:t xml:space="preserve">Quality assessment items and inclusion rule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00"/>
        <w:gridCol w:w="5428"/>
        <w:gridCol w:w="2400"/>
      </w:tblGrid>
      <w:tr>
        <w:trPr>
          <w:cantSplit/>
          <w:tblHeader/>
        </w:trPr>
        <w:tc>
          <w:tcPr>
            <w:tcW w:type="dxa" w:w="13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Item</w:t>
            </w:r>
          </w:p>
        </w:tc>
        <w:tc>
          <w:tcPr>
            <w:tcW w:type="dxa" w:w="5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Question</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Used for</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QA1</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the study deal with patient consent or consent-governed data access at the healthcare level?</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QA2</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deal with an authorisation or access-decision mechanism, not storage or recording only?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QA3</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introduce a proper framework, model, protocol or architecture to address its aim?</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QA4</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Is the proposed methodology validated by a proof of concept or an implementation?</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QA5 to QA8</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Further quality items scored for every included study.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Evidence tier only (A, B, C, Background), not 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Scoring</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 = 1, Partial = 0.5, No = 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Rule</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study is included when QA1 + QA2 + QA3 + QA4 ≥ 3.0.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bl>
    <w:p>
      <w:pPr>
        <w:spacing w:after="160"/>
      </w:pPr>
    </w:p>
    <w:p>
      <w:pPr>
        <w:keepNext/>
        <w:spacing w:after="60" w:before="160"/>
        <w:jc w:val="center"/>
      </w:pPr>
      <w:r>
        <w:drawing>
          <wp:inline distT="0" distB="0" distL="0" distR="0">
            <wp:extent cx="5715000" cy="521970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19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sz w:val="18"/>
          <w:szCs w:val="18"/>
        </w:rPr>
        <w:t xml:space="preserve">PRISMA 2020 flow diagram of the study identification, screening, eligibility and inclusion stages, with the audited counts at the reporting checkpoint</w:t>
      </w:r>
      <w:r>
        <w:rPr>
          <w:rFonts w:ascii="Times New Roman" w:cs="Times New Roman" w:eastAsia="Times New Roman" w:hAnsi="Times New Roman"/>
          <w:sz w:val="18"/>
          <w:szCs w:val="18"/>
        </w:rPr>
        <w:t xml:space="preserve">.</w:t>
      </w:r>
    </w:p>
    <w:p>
      <w:pPr>
        <w:keepNext/>
        <w:spacing w:after="80" w:before="200"/>
        <w:jc w:val="center"/>
      </w:pPr>
      <w:r>
        <w:rPr>
          <w:rFonts w:ascii="Times New Roman" w:cs="Times New Roman" w:eastAsia="Times New Roman" w:hAnsi="Times New Roman"/>
          <w:b/>
          <w:bCs/>
          <w:sz w:val="18"/>
          <w:szCs w:val="18"/>
        </w:rPr>
        <w:t xml:space="preserve">Table 2.2: </w:t>
      </w:r>
      <w:r>
        <w:rPr>
          <w:rFonts w:ascii="Times New Roman" w:cs="Times New Roman" w:eastAsia="Times New Roman" w:hAnsi="Times New Roman"/>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Abbasi et al. </w:t>
            </w:r>
            <w:r>
              <w:rPr>
                <w:rFonts w:ascii="Times New Roman" w:cs="Times New Roman" w:eastAsia="Times New Roman" w:hAnsi="Times New Roman"/>
                <w:b w:val="false"/>
                <w:bCs w:val="false"/>
                <w:sz w:val="17"/>
                <w:szCs w:val="17"/>
                <w:highlight w:val="green"/>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Albalwy et al. </w:t>
            </w:r>
            <w:r>
              <w:rPr>
                <w:rFonts w:ascii="Times New Roman" w:cs="Times New Roman" w:eastAsia="Times New Roman" w:hAnsi="Times New Roman"/>
                <w:b w:val="false"/>
                <w:bCs w:val="false"/>
                <w:sz w:val="17"/>
                <w:szCs w:val="17"/>
                <w:highlight w:val="green"/>
              </w:rPr>
              <w:t xml:space="preserve">(2021)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 Amin et al. </w:t>
            </w:r>
            <w:r>
              <w:rPr>
                <w:rFonts w:ascii="Times New Roman" w:cs="Times New Roman" w:eastAsia="Times New Roman" w:hAnsi="Times New Roman"/>
                <w:b w:val="false"/>
                <w:bCs w:val="false"/>
                <w:sz w:val="17"/>
                <w:szCs w:val="17"/>
                <w:highlight w:val="green"/>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Ekholm et al. </w:t>
            </w:r>
            <w:r>
              <w:rPr>
                <w:rFonts w:ascii="Times New Roman" w:cs="Times New Roman" w:eastAsia="Times New Roman" w:hAnsi="Times New Roman"/>
                <w:b w:val="false"/>
                <w:bCs w:val="false"/>
                <w:sz w:val="17"/>
                <w:szCs w:val="17"/>
                <w:highlight w:val="green"/>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Eneh et al. </w:t>
            </w:r>
            <w:r>
              <w:rPr>
                <w:rFonts w:ascii="Times New Roman" w:cs="Times New Roman" w:eastAsia="Times New Roman" w:hAnsi="Times New Roman"/>
                <w:b w:val="false"/>
                <w:bCs w:val="false"/>
                <w:sz w:val="17"/>
                <w:szCs w:val="17"/>
                <w:highlight w:val="green"/>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Hagström et al. </w:t>
            </w:r>
            <w:r>
              <w:rPr>
                <w:rFonts w:ascii="Times New Roman" w:cs="Times New Roman" w:eastAsia="Times New Roman" w:hAnsi="Times New Roman"/>
                <w:b w:val="false"/>
                <w:bCs w:val="false"/>
                <w:sz w:val="17"/>
                <w:szCs w:val="17"/>
                <w:highlight w:val="green"/>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Jaiman and Urovi </w:t>
            </w:r>
            <w:r>
              <w:rPr>
                <w:rFonts w:ascii="Times New Roman" w:cs="Times New Roman" w:eastAsia="Times New Roman" w:hAnsi="Times New Roman"/>
                <w:b w:val="false"/>
                <w:bCs w:val="false"/>
                <w:sz w:val="17"/>
                <w:szCs w:val="17"/>
                <w:highlight w:val="green"/>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Zhao and Su </w:t>
            </w:r>
            <w:r>
              <w:rPr>
                <w:rFonts w:ascii="Times New Roman" w:cs="Times New Roman" w:eastAsia="Times New Roman" w:hAnsi="Times New Roman"/>
                <w:b w:val="false"/>
                <w:bCs w:val="false"/>
                <w:sz w:val="17"/>
                <w:szCs w:val="17"/>
                <w:highlight w:val="green"/>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Li et al. </w:t>
            </w:r>
            <w:r>
              <w:rPr>
                <w:rFonts w:ascii="Times New Roman" w:cs="Times New Roman" w:eastAsia="Times New Roman" w:hAnsi="Times New Roman"/>
                <w:b w:val="false"/>
                <w:bCs w:val="false"/>
                <w:sz w:val="17"/>
                <w:szCs w:val="17"/>
                <w:highlight w:val="green"/>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Madine et al. </w:t>
            </w:r>
            <w:r>
              <w:rPr>
                <w:rFonts w:ascii="Times New Roman" w:cs="Times New Roman" w:eastAsia="Times New Roman" w:hAnsi="Times New Roman"/>
                <w:b w:val="false"/>
                <w:bCs w:val="false"/>
                <w:sz w:val="17"/>
                <w:szCs w:val="17"/>
                <w:highlight w:val="green"/>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Maruthi and Singh </w:t>
            </w:r>
            <w:r>
              <w:rPr>
                <w:rFonts w:ascii="Times New Roman" w:cs="Times New Roman" w:eastAsia="Times New Roman" w:hAnsi="Times New Roman"/>
                <w:b w:val="false"/>
                <w:bCs w:val="false"/>
                <w:sz w:val="17"/>
                <w:szCs w:val="17"/>
                <w:highlight w:val="green"/>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Mei et al. </w:t>
            </w:r>
            <w:r>
              <w:rPr>
                <w:rFonts w:ascii="Times New Roman" w:cs="Times New Roman" w:eastAsia="Times New Roman" w:hAnsi="Times New Roman"/>
                <w:b w:val="false"/>
                <w:bCs w:val="false"/>
                <w:sz w:val="17"/>
                <w:szCs w:val="17"/>
                <w:highlight w:val="green"/>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Panagoulias et al. </w:t>
            </w:r>
            <w:r>
              <w:rPr>
                <w:rFonts w:ascii="Times New Roman" w:cs="Times New Roman" w:eastAsia="Times New Roman" w:hAnsi="Times New Roman"/>
                <w:b w:val="false"/>
                <w:bCs w:val="false"/>
                <w:sz w:val="17"/>
                <w:szCs w:val="17"/>
                <w:highlight w:val="green"/>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highlight w:val="green"/>
              </w:rPr>
              <w:t xml:space="preserve">(2026b)</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highlight w:val="green"/>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Punia et al. </w:t>
            </w:r>
            <w:r>
              <w:rPr>
                <w:rFonts w:ascii="Times New Roman" w:cs="Times New Roman" w:eastAsia="Times New Roman" w:hAnsi="Times New Roman"/>
                <w:b w:val="false"/>
                <w:bCs w:val="false"/>
                <w:sz w:val="17"/>
                <w:szCs w:val="17"/>
                <w:highlight w:val="green"/>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Román-Martínez et al. </w:t>
            </w:r>
            <w:r>
              <w:rPr>
                <w:rFonts w:ascii="Times New Roman" w:cs="Times New Roman" w:eastAsia="Times New Roman" w:hAnsi="Times New Roman"/>
                <w:b w:val="false"/>
                <w:bCs w:val="false"/>
                <w:sz w:val="17"/>
                <w:szCs w:val="17"/>
                <w:highlight w:val="green"/>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Hema et al. </w:t>
            </w:r>
            <w:r>
              <w:rPr>
                <w:rFonts w:ascii="Times New Roman" w:cs="Times New Roman" w:eastAsia="Times New Roman" w:hAnsi="Times New Roman"/>
                <w:b w:val="false"/>
                <w:bCs w:val="false"/>
                <w:sz w:val="17"/>
                <w:szCs w:val="17"/>
                <w:highlight w:val="green"/>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highlight w:val="green"/>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Tan et al. </w:t>
            </w:r>
            <w:r>
              <w:rPr>
                <w:rFonts w:ascii="Times New Roman" w:cs="Times New Roman" w:eastAsia="Times New Roman" w:hAnsi="Times New Roman"/>
                <w:b w:val="false"/>
                <w:bCs w:val="false"/>
                <w:sz w:val="17"/>
                <w:szCs w:val="17"/>
                <w:highlight w:val="green"/>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Tith et al. </w:t>
            </w:r>
            <w:r>
              <w:rPr>
                <w:rFonts w:ascii="Times New Roman" w:cs="Times New Roman" w:eastAsia="Times New Roman" w:hAnsi="Times New Roman"/>
                <w:b w:val="false"/>
                <w:bCs w:val="false"/>
                <w:sz w:val="17"/>
                <w:szCs w:val="17"/>
                <w:highlight w:val="green"/>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Tremper et al. </w:t>
            </w:r>
            <w:r>
              <w:rPr>
                <w:rFonts w:ascii="Times New Roman" w:cs="Times New Roman" w:eastAsia="Times New Roman" w:hAnsi="Times New Roman"/>
                <w:b w:val="false"/>
                <w:bCs w:val="false"/>
                <w:sz w:val="17"/>
                <w:szCs w:val="17"/>
                <w:highlight w:val="green"/>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Tseng et al. </w:t>
            </w:r>
            <w:r>
              <w:rPr>
                <w:rFonts w:ascii="Times New Roman" w:cs="Times New Roman" w:eastAsia="Times New Roman" w:hAnsi="Times New Roman"/>
                <w:b w:val="false"/>
                <w:bCs w:val="false"/>
                <w:sz w:val="17"/>
                <w:szCs w:val="17"/>
                <w:highlight w:val="green"/>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et al. </w:t>
            </w:r>
            <w:r>
              <w:rPr>
                <w:rFonts w:ascii="Times New Roman" w:cs="Times New Roman" w:eastAsia="Times New Roman" w:hAnsi="Times New Roman"/>
                <w:b w:val="false"/>
                <w:bCs w:val="false"/>
                <w:sz w:val="17"/>
                <w:szCs w:val="17"/>
                <w:highlight w:val="green"/>
              </w:rPr>
              <w:t xml:space="preserve">(2022)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2022</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and Zhang </w:t>
            </w:r>
            <w:r>
              <w:rPr>
                <w:rFonts w:ascii="Times New Roman" w:cs="Times New Roman" w:eastAsia="Times New Roman" w:hAnsi="Times New Roman"/>
                <w:b w:val="false"/>
                <w:bCs w:val="false"/>
                <w:sz w:val="17"/>
                <w:szCs w:val="17"/>
                <w:highlight w:val="green"/>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bCs/>
          <w:sz w:val="26"/>
          <w:szCs w:val="26"/>
        </w:rPr>
        <w:t xml:space="preserve">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 </w:t>
      </w:r>
      <w:r>
        <w:rPr>
          <w:rFonts w:ascii="Times New Roman" w:cs="Times New Roman" w:eastAsia="Times New Roman" w:hAnsi="Times New Roman"/>
          <w:sz w:val="22"/>
          <w:szCs w:val="22"/>
        </w:rPr>
        <w:t xml:space="preserve">Each included study was assigned to one stream, normally the one on which it is coded most strongly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S6 </w:t>
      </w:r>
      <w:r>
        <w:rPr>
          <w:rFonts w:ascii="Times New Roman" w:cs="Times New Roman" w:eastAsia="Times New Roman" w:hAnsi="Times New Roman"/>
          <w:sz w:val="22"/>
          <w:szCs w:val="22"/>
          <w:highlight w:val="green"/>
        </w:rPr>
        <w:t xml:space="preserve">(Hagström et al. 2024)</w:t>
      </w:r>
      <w:r>
        <w:rPr>
          <w:rFonts w:ascii="Times New Roman" w:cs="Times New Roman" w:eastAsia="Times New Roman" w:hAnsi="Times New Roman"/>
          <w:sz w:val="22"/>
          <w:szCs w:val="22"/>
        </w:rPr>
        <w:t xml:space="preserve"> is placed in the multi-party stream for its guardian access gate, although it is graded Partial on Req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Consent representation and blockchain-based consent governance (Req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Two of the three studies of this stream are deployed platforms graded Partial.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SooHoo</w:t>
      </w:r>
      <w:r>
        <w:rPr>
          <w:rFonts w:ascii="Times New Roman" w:cs="Times New Roman" w:eastAsia="Times New Roman" w:hAnsi="Times New Roman"/>
          <w:sz w:val="22"/>
          <w:szCs w:val="22"/>
        </w:rPr>
        <w:t xml:space="preserve"> et al. </w:t>
      </w:r>
      <w:r>
        <w:rPr>
          <w:rFonts w:ascii="Times New Roman" w:cs="Times New Roman" w:eastAsia="Times New Roman" w:hAnsi="Times New Roman"/>
          <w:sz w:val="22"/>
          <w:szCs w:val="22"/>
          <w:highlight w:val="green"/>
        </w:rPr>
        <w:t xml:space="preserve">(2026)</w:t>
      </w:r>
      <w:r>
        <w:rPr>
          <w:rFonts w:ascii="Times New Roman" w:cs="Times New Roman" w:eastAsia="Times New Roman" w:hAnsi="Times New Roman"/>
          <w:sz w:val="22"/>
          <w:szCs w:val="22"/>
        </w:rPr>
        <w:t xml:space="preserve"> describe the iAgree portal across three United States health systems with a permissioned Ethereum audit contract, but consent enforcement is outside its scope. Tremper et al. </w:t>
      </w:r>
      <w:r>
        <w:rPr>
          <w:rFonts w:ascii="Times New Roman" w:cs="Times New Roman" w:eastAsia="Times New Roman" w:hAnsi="Times New Roman"/>
          <w:sz w:val="22"/>
          <w:szCs w:val="22"/>
          <w:highlight w:val="green"/>
        </w:rPr>
        <w:t xml:space="preserve">(2026)</w:t>
      </w:r>
      <w:r>
        <w:rPr>
          <w:rFonts w:ascii="Times New Roman" w:cs="Times New Roman" w:eastAsia="Times New Roman" w:hAnsi="Times New Roman"/>
          <w:sz w:val="22"/>
          <w:szCs w:val="22"/>
        </w:rPr>
        <w:t xml:space="preserve"> report ten years of the Mainzelliste service with FHIR consent directives, but specify no check semantics and no demonstrated enforcement of withdrawal. </w:t>
      </w:r>
      <w:r>
        <w:rPr>
          <w:rFonts w:ascii="Times New Roman" w:cs="Times New Roman" w:eastAsia="Times New Roman" w:hAnsi="Times New Roman"/>
          <w:sz w:val="22"/>
          <w:szCs w:val="22"/>
        </w:rPr>
        <w:t xml:space="preserve">The two platforms are single-party systems. Al Amin et al. </w:t>
      </w:r>
      <w:r>
        <w:rPr>
          <w:rFonts w:ascii="Times New Roman" w:cs="Times New Roman" w:eastAsia="Times New Roman" w:hAnsi="Times New Roman"/>
          <w:sz w:val="22"/>
          <w:szCs w:val="22"/>
          <w:highlight w:val="green"/>
        </w:rPr>
        <w:t xml:space="preserve">(2023)</w:t>
      </w:r>
      <w:r>
        <w:rPr>
          <w:rFonts w:ascii="Times New Roman" w:cs="Times New Roman" w:eastAsia="Times New Roman" w:hAnsi="Times New Roman"/>
          <w:sz w:val="22"/>
          <w:szCs w:val="22"/>
        </w:rPr>
        <w:t xml:space="preserve">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w:t>
      </w:r>
      <w:r>
        <w:rPr>
          <w:rFonts w:ascii="Times New Roman" w:cs="Times New Roman" w:eastAsia="Times New Roman" w:hAnsi="Times New Roman"/>
          <w:sz w:val="22"/>
          <w:szCs w:val="22"/>
        </w:rPr>
        <w:t xml:space="preserve">operation </w:t>
      </w:r>
      <w:r>
        <w:rPr>
          <w:rFonts w:ascii="Times New Roman" w:cs="Times New Roman" w:eastAsia="Times New Roman" w:hAnsi="Times New Roman"/>
          <w:sz w:val="22"/>
          <w:szCs w:val="22"/>
          <w:highlight w:val="green"/>
        </w:rPr>
        <w:t xml:space="preserve">(Akter &amp; Sanam 2025; Prashanth et al. 2024)</w:t>
      </w:r>
      <w:r>
        <w:rPr>
          <w:rFonts w:ascii="Times New Roman" w:cs="Times New Roman" w:eastAsia="Times New Roman" w:hAnsi="Times New Roman"/>
          <w:sz w:val="22"/>
          <w:szCs w:val="22"/>
        </w:rPr>
        <w:t xml:space="preserve">, as conditions fixed at encryption time </w:t>
      </w:r>
      <w:r>
        <w:rPr>
          <w:rFonts w:ascii="Times New Roman" w:cs="Times New Roman" w:eastAsia="Times New Roman" w:hAnsi="Times New Roman"/>
          <w:sz w:val="22"/>
          <w:szCs w:val="22"/>
          <w:highlight w:val="green"/>
        </w:rPr>
        <w:t xml:space="preserve">(Zhang, Kan &amp; Huang 2022)</w:t>
      </w:r>
      <w:r>
        <w:rPr>
          <w:rFonts w:ascii="Times New Roman" w:cs="Times New Roman" w:eastAsia="Times New Roman" w:hAnsi="Times New Roman"/>
          <w:sz w:val="22"/>
          <w:szCs w:val="22"/>
        </w:rPr>
        <w:t xml:space="preserve">, or as a key issued by the patient for each request </w:t>
      </w:r>
      <w:r>
        <w:rPr>
          <w:rFonts w:ascii="Times New Roman" w:cs="Times New Roman" w:eastAsia="Times New Roman" w:hAnsi="Times New Roman"/>
          <w:sz w:val="22"/>
          <w:szCs w:val="22"/>
          <w:highlight w:val="green"/>
        </w:rPr>
        <w:t xml:space="preserve">(Teeda &amp; Subba Rao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r>
        <w:rPr>
          <w:rFonts w:ascii="Times New Roman" w:cs="Times New Roman" w:eastAsia="Times New Roman" w:hAnsi="Times New Roman"/>
          <w:sz w:val="22"/>
          <w:szCs w:val="22"/>
        </w:rPr>
        <w:t xml:space="preserve"> Table 2.3 summarises the description and the issues and limitations of each primary study.</w:t>
      </w:r>
    </w:p>
    <w:p>
      <w:pPr>
        <w:spacing w:after="110" w:line="264"/>
        <w:jc w:val="both"/>
      </w:pPr>
      <w:r>
        <w:rPr>
          <w:rFonts w:ascii="Times New Roman" w:cs="Times New Roman" w:eastAsia="Times New Roman" w:hAnsi="Times New Roman"/>
          <w:b/>
          <w:bCs/>
          <w:sz w:val="22"/>
          <w:szCs w:val="22"/>
        </w:rPr>
        <w:t xml:space="preserve">Decentralised identity and authority trust (Req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trust dimension T2 was graded Yes in only 10 of the 25 studies and Partial in 15, and the stricter Req 2 grade in Table 2.4, which needs both identity and authority, is Yes in only 7.</w:t>
      </w:r>
      <w:r>
        <w:rPr>
          <w:rFonts w:ascii="Times New Roman" w:cs="Times New Roman" w:eastAsia="Times New Roman" w:hAnsi="Times New Roman"/>
          <w:sz w:val="22"/>
          <w:szCs w:val="22"/>
        </w:rPr>
        <w:t xml:space="preserve"> Phuyal et al. </w:t>
      </w:r>
      <w:r>
        <w:rPr>
          <w:rFonts w:ascii="Times New Roman" w:cs="Times New Roman" w:eastAsia="Times New Roman" w:hAnsi="Times New Roman"/>
          <w:sz w:val="22"/>
          <w:szCs w:val="22"/>
          <w:highlight w:val="green"/>
        </w:rPr>
        <w:t xml:space="preserve">(2026b)</w:t>
      </w:r>
      <w:r>
        <w:rPr>
          <w:rFonts w:ascii="Times New Roman" w:cs="Times New Roman" w:eastAsia="Times New Roman" w:hAnsi="Times New Roman"/>
          <w:sz w:val="22"/>
          <w:szCs w:val="22"/>
        </w:rPr>
        <w:t xml:space="preserve">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t>
      </w:r>
      <w:r>
        <w:rPr>
          <w:rFonts w:ascii="Times New Roman" w:cs="Times New Roman" w:eastAsia="Times New Roman" w:hAnsi="Times New Roman"/>
          <w:sz w:val="22"/>
          <w:szCs w:val="22"/>
        </w:rPr>
        <w:t xml:space="preserve">which is among the strongest Req 2 evidence in the corpus.</w:t>
      </w:r>
      <w:r>
        <w:rPr>
          <w:rFonts w:ascii="Times New Roman" w:cs="Times New Roman" w:eastAsia="Times New Roman" w:hAnsi="Times New Roman"/>
          <w:sz w:val="22"/>
          <w:szCs w:val="22"/>
        </w:rPr>
        <w:t xml:space="preserve"> However, a single patient grants consent, the stored expiry is not checked, there is no threat model, and the companion architecture </w:t>
      </w:r>
      <w:r>
        <w:rPr>
          <w:rFonts w:ascii="Times New Roman" w:cs="Times New Roman" w:eastAsia="Times New Roman" w:hAnsi="Times New Roman"/>
          <w:sz w:val="22"/>
          <w:szCs w:val="22"/>
          <w:highlight w:val="green"/>
        </w:rPr>
        <w:t xml:space="preserve">(Phuyal et al. 2026a)</w:t>
      </w:r>
      <w:r>
        <w:rPr>
          <w:rFonts w:ascii="Times New Roman" w:cs="Times New Roman" w:eastAsia="Times New Roman" w:hAnsi="Times New Roman"/>
          <w:sz w:val="22"/>
          <w:szCs w:val="22"/>
        </w:rPr>
        <w:t xml:space="preserve"> is design-only. Tseng et al. </w:t>
      </w:r>
      <w:r>
        <w:rPr>
          <w:rFonts w:ascii="Times New Roman" w:cs="Times New Roman" w:eastAsia="Times New Roman" w:hAnsi="Times New Roman"/>
          <w:sz w:val="22"/>
          <w:szCs w:val="22"/>
          <w:highlight w:val="green"/>
        </w:rPr>
        <w:t xml:space="preserve">(2025)</w:t>
      </w:r>
      <w:r>
        <w:rPr>
          <w:rFonts w:ascii="Times New Roman" w:cs="Times New Roman" w:eastAsia="Times New Roman" w:hAnsi="Times New Roman"/>
          <w:sz w:val="22"/>
          <w:szCs w:val="22"/>
        </w:rPr>
        <w:t xml:space="preserve">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sz w:val="22"/>
          <w:szCs w:val="22"/>
        </w:rPr>
        <w:t xml:space="preserve">Multi-party authorisation and collaborative consent (Req 3).</w:t>
      </w:r>
      <w:r>
        <w:rPr>
          <w:rFonts w:ascii="Times New Roman" w:cs="Times New Roman" w:eastAsia="Times New Roman" w:hAnsi="Times New Roman"/>
          <w:sz w:val="22"/>
          <w:szCs w:val="22"/>
        </w:rPr>
        <w:t xml:space="preserve"> T3 was graded Yes in 6 of the 25 studies, Partial in 4, and No in 15, across six ratified mechanism classes. Madine et al. </w:t>
      </w:r>
      <w:r>
        <w:rPr>
          <w:rFonts w:ascii="Times New Roman" w:cs="Times New Roman" w:eastAsia="Times New Roman" w:hAnsi="Times New Roman"/>
          <w:sz w:val="22"/>
          <w:szCs w:val="22"/>
          <w:highlight w:val="green"/>
        </w:rPr>
        <w:t xml:space="preserve">(2020)</w:t>
      </w:r>
      <w:r>
        <w:rPr>
          <w:rFonts w:ascii="Times New Roman" w:cs="Times New Roman" w:eastAsia="Times New Roman" w:hAnsi="Times New Roman"/>
          <w:sz w:val="22"/>
          <w:szCs w:val="22"/>
        </w:rPr>
        <w:t xml:space="preserve"> require a regulator and a guardian threshold on the incapacitated path, but a single patient key suffices on the normal path. Wu et al. </w:t>
      </w:r>
      <w:r>
        <w:rPr>
          <w:rFonts w:ascii="Times New Roman" w:cs="Times New Roman" w:eastAsia="Times New Roman" w:hAnsi="Times New Roman"/>
          <w:sz w:val="22"/>
          <w:szCs w:val="22"/>
          <w:highlight w:val="green"/>
        </w:rPr>
        <w:t xml:space="preserve">(2022)</w:t>
      </w:r>
      <w:r>
        <w:rPr>
          <w:rFonts w:ascii="Times New Roman" w:cs="Times New Roman" w:eastAsia="Times New Roman" w:hAnsi="Times New Roman"/>
          <w:sz w:val="22"/>
          <w:szCs w:val="22"/>
        </w:rPr>
        <w:t xml:space="preserve"> apply a (t, n) investigator threshold to record admission and revocation, and Abbasi et al. </w:t>
      </w:r>
      <w:r>
        <w:rPr>
          <w:rFonts w:ascii="Times New Roman" w:cs="Times New Roman" w:eastAsia="Times New Roman" w:hAnsi="Times New Roman"/>
          <w:sz w:val="22"/>
          <w:szCs w:val="22"/>
          <w:highlight w:val="green"/>
        </w:rPr>
        <w:t xml:space="preserve">(2026)</w:t>
      </w:r>
      <w:r>
        <w:rPr>
          <w:rFonts w:ascii="Times New Roman" w:cs="Times New Roman" w:eastAsia="Times New Roman" w:hAnsi="Times New Roman"/>
          <w:sz w:val="22"/>
          <w:szCs w:val="22"/>
        </w:rPr>
        <w:t xml:space="preserve"> use a Shamir (5, 3) threshold for key custody. Punia et al. </w:t>
      </w:r>
      <w:r>
        <w:rPr>
          <w:rFonts w:ascii="Times New Roman" w:cs="Times New Roman" w:eastAsia="Times New Roman" w:hAnsi="Times New Roman"/>
          <w:sz w:val="22"/>
          <w:szCs w:val="22"/>
          <w:highlight w:val="green"/>
        </w:rPr>
        <w:t xml:space="preserve">(2025)</w:t>
      </w:r>
      <w:r>
        <w:rPr>
          <w:rFonts w:ascii="Times New Roman" w:cs="Times New Roman" w:eastAsia="Times New Roman" w:hAnsi="Times New Roman"/>
          <w:sz w:val="22"/>
          <w:szCs w:val="22"/>
        </w:rPr>
        <w:t xml:space="preserve"> conjoin an M-of-N multi-signature with an attribute and role policy, but a single emergency officer can bypass the threshold. Tan et al. </w:t>
      </w:r>
      <w:r>
        <w:rPr>
          <w:rFonts w:ascii="Times New Roman" w:cs="Times New Roman" w:eastAsia="Times New Roman" w:hAnsi="Times New Roman"/>
          <w:sz w:val="22"/>
          <w:szCs w:val="22"/>
          <w:highlight w:val="green"/>
        </w:rPr>
        <w:t xml:space="preserve">(2024)</w:t>
      </w:r>
      <w:r>
        <w:rPr>
          <w:rFonts w:ascii="Times New Roman" w:cs="Times New Roman" w:eastAsia="Times New Roman" w:hAnsi="Times New Roman"/>
          <w:sz w:val="22"/>
          <w:szCs w:val="22"/>
        </w:rPr>
        <w:t xml:space="preserve"> use patient-appointed verifiers as a contingency, </w:t>
      </w:r>
      <w:r>
        <w:rPr>
          <w:rFonts w:ascii="Times New Roman" w:cs="Times New Roman" w:eastAsia="Times New Roman" w:hAnsi="Times New Roman"/>
          <w:sz w:val="22"/>
          <w:szCs w:val="22"/>
          <w:highlight w:val="green"/>
        </w:rPr>
        <w:t xml:space="preserve">(Ekholm et al. 2025)</w:t>
      </w:r>
      <w:r>
        <w:rPr>
          <w:rFonts w:ascii="Times New Roman" w:cs="Times New Roman" w:eastAsia="Times New Roman" w:hAnsi="Times New Roman"/>
          <w:sz w:val="22"/>
          <w:szCs w:val="22"/>
        </w:rPr>
        <w:t xml:space="preserve"> reports guardian co-consent at registration time, and </w:t>
      </w:r>
      <w:r>
        <w:rPr>
          <w:rFonts w:ascii="Times New Roman" w:cs="Times New Roman" w:eastAsia="Times New Roman" w:hAnsi="Times New Roman"/>
          <w:sz w:val="22"/>
          <w:szCs w:val="22"/>
          <w:highlight w:val="green"/>
        </w:rPr>
        <w:t xml:space="preserve">(Hagström et al. 2024)</w:t>
      </w:r>
      <w:r>
        <w:rPr>
          <w:rFonts w:ascii="Times New Roman" w:cs="Times New Roman" w:eastAsia="Times New Roman" w:hAnsi="Times New Roman"/>
          <w:sz w:val="22"/>
          <w:szCs w:val="22"/>
        </w:rPr>
        <w:t xml:space="preserve"> gates guardian access by the minor's consent and a clinician's capacity assessment.</w:t>
      </w:r>
      <w:r>
        <w:rPr>
          <w:rFonts w:ascii="Times New Roman" w:cs="Times New Roman" w:eastAsia="Times New Roman" w:hAnsi="Times New Roman"/>
          <w:sz w:val="22"/>
          <w:szCs w:val="22"/>
        </w:rPr>
        <w:t xml:space="preserve"> No reviewed study evaluates a threshold predicate over a patient-designated guardian set on every request, and none does so together with the policy, temporal, and jurisdictional conditions. </w:t>
      </w:r>
      <w:r>
        <w:rPr>
          <w:rFonts w:ascii="Times New Roman" w:cs="Times New Roman" w:eastAsia="Times New Roman" w:hAnsi="Times New Roman"/>
          <w:sz w:val="22"/>
          <w:szCs w:val="22"/>
        </w:rPr>
        <w:t xml:space="preserve"> 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 Tith et al. </w:t>
      </w:r>
      <w:r>
        <w:rPr>
          <w:rFonts w:ascii="Times New Roman" w:cs="Times New Roman" w:eastAsia="Times New Roman" w:hAnsi="Times New Roman"/>
          <w:sz w:val="22"/>
          <w:szCs w:val="22"/>
          <w:highlight w:val="green"/>
        </w:rPr>
        <w:t xml:space="preserve">(2020)</w:t>
      </w:r>
      <w:r>
        <w:rPr>
          <w:rFonts w:ascii="Times New Roman" w:cs="Times New Roman" w:eastAsia="Times New Roman" w:hAnsi="Times New Roman"/>
          <w:sz w:val="22"/>
          <w:szCs w:val="22"/>
        </w:rPr>
        <w:t xml:space="preserve"> match a purpose tree in chaincode, and Jaiman and Urovi </w:t>
      </w:r>
      <w:r>
        <w:rPr>
          <w:rFonts w:ascii="Times New Roman" w:cs="Times New Roman" w:eastAsia="Times New Roman" w:hAnsi="Times New Roman"/>
          <w:sz w:val="22"/>
          <w:szCs w:val="22"/>
          <w:highlight w:val="green"/>
        </w:rPr>
        <w:t xml:space="preserve">(2020)</w:t>
      </w:r>
      <w:r>
        <w:rPr>
          <w:rFonts w:ascii="Times New Roman" w:cs="Times New Roman" w:eastAsia="Times New Roman" w:hAnsi="Times New Roman"/>
          <w:sz w:val="22"/>
          <w:szCs w:val="22"/>
        </w:rPr>
        <w:t xml:space="preserve"> match ontology terms against the patient's consent. Albalwy et al. </w:t>
      </w:r>
      <w:r>
        <w:rPr>
          <w:rFonts w:ascii="Times New Roman" w:cs="Times New Roman" w:eastAsia="Times New Roman" w:hAnsi="Times New Roman"/>
          <w:sz w:val="22"/>
          <w:szCs w:val="22"/>
          <w:highlight w:val="green"/>
        </w:rPr>
        <w:t xml:space="preserve">(2021)</w:t>
      </w:r>
      <w:r>
        <w:rPr>
          <w:rFonts w:ascii="Times New Roman" w:cs="Times New Roman" w:eastAsia="Times New Roman" w:hAnsi="Times New Roman"/>
          <w:sz w:val="22"/>
          <w:szCs w:val="22"/>
        </w:rPr>
        <w:t xml:space="preserve"> evaluate a hashed policy tree of data type, role, and purpose, and Román-Martínez et al. </w:t>
      </w:r>
      <w:r>
        <w:rPr>
          <w:rFonts w:ascii="Times New Roman" w:cs="Times New Roman" w:eastAsia="Times New Roman" w:hAnsi="Times New Roman"/>
          <w:sz w:val="22"/>
          <w:szCs w:val="22"/>
          <w:highlight w:val="green"/>
        </w:rPr>
        <w:t xml:space="preserve">(2023)</w:t>
      </w:r>
      <w:r>
        <w:rPr>
          <w:rFonts w:ascii="Times New Roman" w:cs="Times New Roman" w:eastAsia="Times New Roman" w:hAnsi="Times New Roman"/>
          <w:sz w:val="22"/>
          <w:szCs w:val="22"/>
        </w:rPr>
        <w:t xml:space="preserve"> evaluate the FHIR purpose-of-use through XACML. </w:t>
      </w:r>
      <w:r>
        <w:rPr>
          <w:rFonts w:ascii="Times New Roman" w:cs="Times New Roman" w:eastAsia="Times New Roman" w:hAnsi="Times New Roman"/>
          <w:sz w:val="22"/>
          <w:szCs w:val="22"/>
        </w:rPr>
        <w:t xml:space="preserve">The trust dimension T4 is coded Yes in 11 studies, Partial in 10, and No in 4, and the Req 4 grade in Table 2.4 is Yes in 10, Partial in 11, and No in 4.</w:t>
      </w:r>
      <w:r>
        <w:rPr>
          <w:rFonts w:ascii="Times New Roman" w:cs="Times New Roman" w:eastAsia="Times New Roman" w:hAnsi="Times New Roman"/>
          <w:sz w:val="22"/>
          <w:szCs w:val="22"/>
        </w:rPr>
        <w:t xml:space="preserve"> However, purpose-of-use enters the decision in only six studies </w:t>
      </w:r>
      <w:r>
        <w:rPr>
          <w:rFonts w:ascii="Times New Roman" w:cs="Times New Roman" w:eastAsia="Times New Roman" w:hAnsi="Times New Roman"/>
          <w:sz w:val="22"/>
          <w:szCs w:val="22"/>
          <w:highlight w:val="green"/>
        </w:rPr>
        <w:t xml:space="preserve">(Eneh et al. 2026; Panagoulias et al. 2026)</w:t>
      </w:r>
      <w:r>
        <w:rPr>
          <w:rFonts w:ascii="Times New Roman" w:cs="Times New Roman" w:eastAsia="Times New Roman" w:hAnsi="Times New Roman"/>
          <w:sz w:val="22"/>
          <w:szCs w:val="22"/>
        </w:rPr>
        <w:t xml:space="preserve">, and every one is coded T3 No.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 Eneh et al. </w:t>
      </w:r>
      <w:r>
        <w:rPr>
          <w:rFonts w:ascii="Times New Roman" w:cs="Times New Roman" w:eastAsia="Times New Roman" w:hAnsi="Times New Roman"/>
          <w:sz w:val="22"/>
          <w:szCs w:val="22"/>
          <w:highlight w:val="green"/>
        </w:rPr>
        <w:t xml:space="preserve">(2026)</w:t>
      </w:r>
      <w:r>
        <w:rPr>
          <w:rFonts w:ascii="Times New Roman" w:cs="Times New Roman" w:eastAsia="Times New Roman" w:hAnsi="Times New Roman"/>
          <w:sz w:val="22"/>
          <w:szCs w:val="22"/>
        </w:rPr>
        <w:t xml:space="preserve"> present EdgeConsent, </w:t>
      </w:r>
      <w:r>
        <w:rPr>
          <w:rFonts w:ascii="Times New Roman" w:cs="Times New Roman" w:eastAsia="Times New Roman" w:hAnsi="Times New Roman"/>
          <w:sz w:val="22"/>
          <w:szCs w:val="22"/>
        </w:rPr>
        <w:t xml:space="preserve">which enforces</w:t>
      </w:r>
      <w:r>
        <w:rPr>
          <w:rFonts w:ascii="Times New Roman" w:cs="Times New Roman" w:eastAsia="Times New Roman" w:hAnsi="Times New Roman"/>
          <w:sz w:val="22"/>
          <w:szCs w:val="22"/>
        </w:rPr>
        <w:t xml:space="preserve"> temporal validity inside the decision predicate, although its lifecycle is only an active flag. Temporal validity must also be evaluated together with the lifecycle state of the consent. Hema et al. </w:t>
      </w:r>
      <w:r>
        <w:rPr>
          <w:rFonts w:ascii="Times New Roman" w:cs="Times New Roman" w:eastAsia="Times New Roman" w:hAnsi="Times New Roman"/>
          <w:sz w:val="22"/>
          <w:szCs w:val="22"/>
          <w:highlight w:val="green"/>
        </w:rPr>
        <w:t xml:space="preserve">(2026)</w:t>
      </w:r>
      <w:r>
        <w:rPr>
          <w:rFonts w:ascii="Times New Roman" w:cs="Times New Roman" w:eastAsia="Times New Roman" w:hAnsi="Times New Roman"/>
          <w:sz w:val="22"/>
          <w:szCs w:val="22"/>
        </w:rPr>
        <w:t xml:space="preserve"> bind the expiry into key derivation, and Panagoulias et al. </w:t>
      </w:r>
      <w:r>
        <w:rPr>
          <w:rFonts w:ascii="Times New Roman" w:cs="Times New Roman" w:eastAsia="Times New Roman" w:hAnsi="Times New Roman"/>
          <w:sz w:val="22"/>
          <w:szCs w:val="22"/>
          <w:highlight w:val="green"/>
        </w:rPr>
        <w:t xml:space="preserve">(2026)</w:t>
      </w:r>
      <w:r>
        <w:rPr>
          <w:rFonts w:ascii="Times New Roman" w:cs="Times New Roman" w:eastAsia="Times New Roman" w:hAnsi="Times New Roman"/>
          <w:sz w:val="22"/>
          <w:szCs w:val="22"/>
        </w:rPr>
        <w:t xml:space="preserve"> enforce revocation at decision time across 43,500 simulated attempts in a single-node ledger. </w:t>
      </w:r>
      <w:r>
        <w:rPr>
          <w:rFonts w:ascii="Times New Roman" w:cs="Times New Roman" w:eastAsia="Times New Roman" w:hAnsi="Times New Roman"/>
          <w:sz w:val="22"/>
          <w:szCs w:val="22"/>
        </w:rPr>
        <w:t xml:space="preserve">T5 is coded Yes in 8 studies and T6 in 7, a post-revocation denial </w:t>
      </w:r>
      <w:r>
        <w:rPr>
          <w:rFonts w:ascii="Times New Roman" w:cs="Times New Roman" w:eastAsia="Times New Roman" w:hAnsi="Times New Roman"/>
          <w:sz w:val="22"/>
          <w:szCs w:val="22"/>
        </w:rPr>
        <w:t xml:space="preserve">is demonstrated only by </w:t>
      </w:r>
      <w:r>
        <w:rPr>
          <w:rFonts w:ascii="Times New Roman" w:cs="Times New Roman" w:eastAsia="Times New Roman" w:hAnsi="Times New Roman"/>
          <w:sz w:val="22"/>
          <w:szCs w:val="22"/>
          <w:highlight w:val="green"/>
        </w:rPr>
        <w:t xml:space="preserve">(Phuyal et al. 2026b)</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and the </w:t>
      </w:r>
      <w:r>
        <w:rPr>
          <w:rFonts w:ascii="Times New Roman" w:cs="Times New Roman" w:eastAsia="Times New Roman" w:hAnsi="Times New Roman"/>
          <w:sz w:val="22"/>
          <w:szCs w:val="22"/>
        </w:rPr>
        <w:t xml:space="preserve">four</w:t>
      </w:r>
      <w:r>
        <w:rPr>
          <w:rFonts w:ascii="Times New Roman" w:cs="Times New Roman" w:eastAsia="Times New Roman" w:hAnsi="Times New Roman"/>
          <w:sz w:val="22"/>
          <w:szCs w:val="22"/>
        </w:rPr>
        <w:t xml:space="preserve"> stream-5 systems that enforce time inside the decision are all single-party</w:t>
      </w:r>
      <w:r>
        <w:rPr>
          <w:rFonts w:ascii="Times New Roman" w:cs="Times New Roman" w:eastAsia="Times New Roman" w:hAnsi="Times New Roman"/>
          <w:sz w:val="22"/>
          <w:szCs w:val="22"/>
        </w:rPr>
        <w:t xml:space="preserve">, with doing so through the credential rather than the consent</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w:t>
      </w:r>
      <w:r>
        <w:rPr>
          <w:rFonts w:ascii="Times New Roman" w:cs="Times New Roman" w:eastAsia="Times New Roman" w:hAnsi="Times New Roman"/>
          <w:sz w:val="22"/>
          <w:szCs w:val="22"/>
          <w:highlight w:val="green"/>
        </w:rPr>
        <w:t xml:space="preserve">(2025)</w:t>
      </w:r>
      <w:r>
        <w:rPr>
          <w:rFonts w:ascii="Times New Roman" w:cs="Times New Roman" w:eastAsia="Times New Roman" w:hAnsi="Times New Roman"/>
          <w:sz w:val="22"/>
          <w:szCs w:val="22"/>
        </w:rPr>
        <w:t xml:space="preserve"> present HealthDID, with three game-based definitions and three theorems proved by reduction, although </w:t>
      </w:r>
      <w:r>
        <w:rPr>
          <w:rFonts w:ascii="Times New Roman" w:cs="Times New Roman" w:eastAsia="Times New Roman" w:hAnsi="Times New Roman"/>
          <w:sz w:val="22"/>
          <w:szCs w:val="22"/>
        </w:rPr>
        <w:t xml:space="preserve">the proofs cover</w:t>
      </w:r>
      <w:r>
        <w:rPr>
          <w:rFonts w:ascii="Times New Roman" w:cs="Times New Roman" w:eastAsia="Times New Roman" w:hAnsi="Times New Roman"/>
          <w:sz w:val="22"/>
          <w:szCs w:val="22"/>
        </w:rPr>
        <w:t xml:space="preserve"> only the identity and authority fragment. Zhao and Su </w:t>
      </w:r>
      <w:r>
        <w:rPr>
          <w:rFonts w:ascii="Times New Roman" w:cs="Times New Roman" w:eastAsia="Times New Roman" w:hAnsi="Times New Roman"/>
          <w:sz w:val="22"/>
          <w:szCs w:val="22"/>
          <w:highlight w:val="green"/>
        </w:rPr>
        <w:t xml:space="preserve">(2024)</w:t>
      </w:r>
      <w:r>
        <w:rPr>
          <w:rFonts w:ascii="Times New Roman" w:cs="Times New Roman" w:eastAsia="Times New Roman" w:hAnsi="Times New Roman"/>
          <w:sz w:val="22"/>
          <w:szCs w:val="22"/>
        </w:rPr>
        <w:t xml:space="preserve"> and Maruthi and Singh </w:t>
      </w:r>
      <w:r>
        <w:rPr>
          <w:rFonts w:ascii="Times New Roman" w:cs="Times New Roman" w:eastAsia="Times New Roman" w:hAnsi="Times New Roman"/>
          <w:sz w:val="22"/>
          <w:szCs w:val="22"/>
          <w:highlight w:val="green"/>
        </w:rPr>
        <w:t xml:space="preserve">(2025)</w:t>
      </w:r>
      <w:r>
        <w:rPr>
          <w:rFonts w:ascii="Times New Roman" w:cs="Times New Roman" w:eastAsia="Times New Roman" w:hAnsi="Times New Roman"/>
          <w:sz w:val="22"/>
          <w:szCs w:val="22"/>
        </w:rPr>
        <w:t xml:space="preserve"> prove threshold gates in isolation, and Mei et al. </w:t>
      </w:r>
      <w:r>
        <w:rPr>
          <w:rFonts w:ascii="Times New Roman" w:cs="Times New Roman" w:eastAsia="Times New Roman" w:hAnsi="Times New Roman"/>
          <w:sz w:val="22"/>
          <w:szCs w:val="22"/>
          <w:highlight w:val="green"/>
        </w:rPr>
        <w:t xml:space="preserve">(2026)</w:t>
      </w:r>
      <w:r>
        <w:rPr>
          <w:rFonts w:ascii="Times New Roman" w:cs="Times New Roman" w:eastAsia="Times New Roman" w:hAnsi="Times New Roman"/>
          <w:sz w:val="22"/>
          <w:szCs w:val="22"/>
        </w:rPr>
        <w:t xml:space="preserve"> prove a static encryption predicate. Formal assurance is coded Yes in only 4 of the 25 studies, and empirical validation Yes in 5, Partial in 19, and No in 1. </w:t>
      </w:r>
      <w:r>
        <w:rPr>
          <w:rFonts w:ascii="Times New Roman" w:cs="Times New Roman" w:eastAsia="Times New Roman" w:hAnsi="Times New Roman"/>
          <w:sz w:val="22"/>
          <w:szCs w:val="22"/>
          <w:highlight w:val="magenta"/>
        </w:rPr>
        <w:t xml:space="preserve">An inverse relation between predicate breadth and assurance strength was observed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Few studies</w:t>
      </w:r>
      <w:r>
        <w:rPr>
          <w:rFonts w:ascii="Times New Roman" w:cs="Times New Roman" w:eastAsia="Times New Roman" w:hAnsi="Times New Roman"/>
          <w:sz w:val="22"/>
          <w:szCs w:val="22"/>
        </w:rPr>
        <w:t xml:space="preserve"> execute adversarial scenarios that examine whether security controls can resist deliberate attempts to circumvent the authorisation process.</w:t>
      </w:r>
    </w:p>
    <w:p>
      <w:pPr>
        <w:keepNext/>
        <w:spacing w:after="80" w:before="200"/>
        <w:jc w:val="center"/>
      </w:pPr>
      <w:r>
        <w:rPr>
          <w:rFonts w:ascii="Times New Roman" w:cs="Times New Roman" w:eastAsia="Times New Roman" w:hAnsi="Times New Roman"/>
          <w:b/>
          <w:bCs/>
          <w:sz w:val="18"/>
          <w:szCs w:val="18"/>
        </w:rPr>
        <w:t xml:space="preserve">Table 2.3: </w:t>
      </w:r>
      <w:r>
        <w:rPr>
          <w:rFonts w:ascii="Times New Roman" w:cs="Times New Roman" w:eastAsia="Times New Roman" w:hAnsi="Times New Roman"/>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w:t>
            </w:r>
            <w:r>
              <w:rPr>
                <w:rFonts w:ascii="Times New Roman" w:cs="Times New Roman" w:eastAsia="Times New Roman" w:hAnsi="Times New Roman"/>
                <w:b w:val="false"/>
                <w:bCs w:val="false"/>
                <w:sz w:val="17"/>
                <w:szCs w:val="17"/>
                <w:highlight w:val="green"/>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w:t>
            </w:r>
            <w:r>
              <w:rPr>
                <w:rFonts w:ascii="Times New Roman" w:cs="Times New Roman" w:eastAsia="Times New Roman" w:hAnsi="Times New Roman"/>
                <w:b w:val="false"/>
                <w:bCs w:val="false"/>
                <w:sz w:val="17"/>
                <w:szCs w:val="17"/>
                <w:highlight w:val="green"/>
              </w:rPr>
              <w:t xml:space="preserve">(2021)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w:t>
            </w:r>
            <w:r>
              <w:rPr>
                <w:rFonts w:ascii="Times New Roman" w:cs="Times New Roman" w:eastAsia="Times New Roman" w:hAnsi="Times New Roman"/>
                <w:b w:val="false"/>
                <w:bCs w:val="false"/>
                <w:sz w:val="17"/>
                <w:szCs w:val="17"/>
                <w:highlight w:val="green"/>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w:t>
            </w:r>
            <w:r>
              <w:rPr>
                <w:rFonts w:ascii="Times New Roman" w:cs="Times New Roman" w:eastAsia="Times New Roman" w:hAnsi="Times New Roman"/>
                <w:b w:val="false"/>
                <w:bCs w:val="false"/>
                <w:sz w:val="17"/>
                <w:szCs w:val="17"/>
                <w:highlight w:val="green"/>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w:t>
            </w:r>
            <w:r>
              <w:rPr>
                <w:rFonts w:ascii="Times New Roman" w:cs="Times New Roman" w:eastAsia="Times New Roman" w:hAnsi="Times New Roman"/>
                <w:b w:val="false"/>
                <w:bCs w:val="false"/>
                <w:sz w:val="17"/>
                <w:szCs w:val="17"/>
                <w:highlight w:val="green"/>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w:t>
            </w:r>
            <w:r>
              <w:rPr>
                <w:rFonts w:ascii="Times New Roman" w:cs="Times New Roman" w:eastAsia="Times New Roman" w:hAnsi="Times New Roman"/>
                <w:b w:val="false"/>
                <w:bCs w:val="false"/>
                <w:sz w:val="17"/>
                <w:szCs w:val="17"/>
                <w:highlight w:val="green"/>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w:t>
            </w:r>
            <w:r>
              <w:rPr>
                <w:rFonts w:ascii="Times New Roman" w:cs="Times New Roman" w:eastAsia="Times New Roman" w:hAnsi="Times New Roman"/>
                <w:b w:val="false"/>
                <w:bCs w:val="false"/>
                <w:sz w:val="17"/>
                <w:szCs w:val="17"/>
                <w:highlight w:val="green"/>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w:t>
            </w:r>
            <w:r>
              <w:rPr>
                <w:rFonts w:ascii="Times New Roman" w:cs="Times New Roman" w:eastAsia="Times New Roman" w:hAnsi="Times New Roman"/>
                <w:b w:val="false"/>
                <w:bCs w:val="false"/>
                <w:sz w:val="17"/>
                <w:szCs w:val="17"/>
                <w:highlight w:val="green"/>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w:t>
            </w:r>
            <w:r>
              <w:rPr>
                <w:rFonts w:ascii="Times New Roman" w:cs="Times New Roman" w:eastAsia="Times New Roman" w:hAnsi="Times New Roman"/>
                <w:b w:val="false"/>
                <w:bCs w:val="false"/>
                <w:sz w:val="17"/>
                <w:szCs w:val="17"/>
                <w:highlight w:val="green"/>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Time is enforced in the decision through the credential rather than the consent, which is why Req 5 is graded Yes, but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w:t>
            </w:r>
            <w:r>
              <w:rPr>
                <w:rFonts w:ascii="Times New Roman" w:cs="Times New Roman" w:eastAsia="Times New Roman" w:hAnsi="Times New Roman"/>
                <w:b w:val="false"/>
                <w:bCs w:val="false"/>
                <w:sz w:val="17"/>
                <w:szCs w:val="17"/>
                <w:highlight w:val="green"/>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 the normal path a single patient key authorises, so multi-party approval is a contingency</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purpose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w:t>
            </w:r>
            <w:r>
              <w:rPr>
                <w:rFonts w:ascii="Times New Roman" w:cs="Times New Roman" w:eastAsia="Times New Roman" w:hAnsi="Times New Roman"/>
                <w:b w:val="false"/>
                <w:bCs w:val="false"/>
                <w:sz w:val="17"/>
                <w:szCs w:val="17"/>
                <w:highlight w:val="green"/>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w:t>
            </w:r>
            <w:r>
              <w:rPr>
                <w:rFonts w:ascii="Times New Roman" w:cs="Times New Roman" w:eastAsia="Times New Roman" w:hAnsi="Times New Roman"/>
                <w:b w:val="false"/>
                <w:bCs w:val="false"/>
                <w:sz w:val="17"/>
                <w:szCs w:val="17"/>
                <w:highlight w:val="green"/>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w:t>
            </w:r>
            <w:r>
              <w:rPr>
                <w:rFonts w:ascii="Times New Roman" w:cs="Times New Roman" w:eastAsia="Times New Roman" w:hAnsi="Times New Roman"/>
                <w:b w:val="false"/>
                <w:bCs w:val="false"/>
                <w:sz w:val="17"/>
                <w:szCs w:val="17"/>
                <w:highlight w:val="green"/>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w:t>
            </w:r>
            <w:r>
              <w:rPr>
                <w:rFonts w:ascii="Times New Roman" w:cs="Times New Roman" w:eastAsia="Times New Roman" w:hAnsi="Times New Roman"/>
                <w:b w:val="false"/>
                <w:bCs w:val="false"/>
                <w:sz w:val="17"/>
                <w:szCs w:val="17"/>
                <w:highlight w:val="green"/>
              </w:rPr>
              <w:t xml:space="preserve">(2026b)</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w:t>
            </w:r>
            <w:r>
              <w:rPr>
                <w:rFonts w:ascii="Times New Roman" w:cs="Times New Roman" w:eastAsia="Times New Roman" w:hAnsi="Times New Roman"/>
                <w:b w:val="false"/>
                <w:bCs w:val="false"/>
                <w:sz w:val="17"/>
                <w:szCs w:val="17"/>
                <w:highlight w:val="green"/>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w:t>
            </w:r>
            <w:r>
              <w:rPr>
                <w:rFonts w:ascii="Times New Roman" w:cs="Times New Roman" w:eastAsia="Times New Roman" w:hAnsi="Times New Roman"/>
                <w:b w:val="false"/>
                <w:bCs w:val="false"/>
                <w:sz w:val="17"/>
                <w:szCs w:val="17"/>
                <w:highlight w:val="green"/>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w:t>
            </w:r>
            <w:r>
              <w:rPr>
                <w:rFonts w:ascii="Times New Roman" w:cs="Times New Roman" w:eastAsia="Times New Roman" w:hAnsi="Times New Roman"/>
                <w:b w:val="false"/>
                <w:bCs w:val="false"/>
                <w:sz w:val="17"/>
                <w:szCs w:val="17"/>
                <w:highlight w:val="green"/>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w:t>
            </w:r>
            <w:r>
              <w:rPr>
                <w:rFonts w:ascii="Times New Roman" w:cs="Times New Roman" w:eastAsia="Times New Roman" w:hAnsi="Times New Roman"/>
                <w:b w:val="false"/>
                <w:bCs w:val="false"/>
                <w:sz w:val="17"/>
                <w:szCs w:val="17"/>
                <w:highlight w:val="green"/>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highlight w:val="green"/>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w:t>
            </w:r>
            <w:r>
              <w:rPr>
                <w:rFonts w:ascii="Times New Roman" w:cs="Times New Roman" w:eastAsia="Times New Roman" w:hAnsi="Times New Roman"/>
                <w:b w:val="false"/>
                <w:bCs w:val="false"/>
                <w:sz w:val="17"/>
                <w:szCs w:val="17"/>
                <w:highlight w:val="green"/>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w:t>
            </w:r>
            <w:r>
              <w:rPr>
                <w:rFonts w:ascii="Times New Roman" w:cs="Times New Roman" w:eastAsia="Times New Roman" w:hAnsi="Times New Roman"/>
                <w:b w:val="false"/>
                <w:bCs w:val="false"/>
                <w:sz w:val="17"/>
                <w:szCs w:val="17"/>
                <w:highlight w:val="green"/>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w:t>
            </w:r>
            <w:r>
              <w:rPr>
                <w:rFonts w:ascii="Times New Roman" w:cs="Times New Roman" w:eastAsia="Times New Roman" w:hAnsi="Times New Roman"/>
                <w:b w:val="false"/>
                <w:bCs w:val="false"/>
                <w:sz w:val="17"/>
                <w:szCs w:val="17"/>
                <w:highlight w:val="green"/>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w:t>
            </w:r>
            <w:r>
              <w:rPr>
                <w:rFonts w:ascii="Times New Roman" w:cs="Times New Roman" w:eastAsia="Times New Roman" w:hAnsi="Times New Roman"/>
                <w:b w:val="false"/>
                <w:bCs w:val="false"/>
                <w:sz w:val="17"/>
                <w:szCs w:val="17"/>
                <w:highlight w:val="green"/>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Wu et al. </w:t>
            </w:r>
            <w:r>
              <w:rPr>
                <w:rFonts w:ascii="Times New Roman" w:cs="Times New Roman" w:eastAsia="Times New Roman" w:hAnsi="Times New Roman"/>
                <w:b w:val="false"/>
                <w:bCs w:val="false"/>
                <w:sz w:val="17"/>
                <w:szCs w:val="17"/>
                <w:highlight w:val="green"/>
              </w:rPr>
              <w:t xml:space="preserve">(2022)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w:t>
            </w:r>
            <w:r>
              <w:rPr>
                <w:rFonts w:ascii="Times New Roman" w:cs="Times New Roman" w:eastAsia="Times New Roman" w:hAnsi="Times New Roman"/>
                <w:b w:val="false"/>
                <w:bCs w:val="false"/>
                <w:sz w:val="17"/>
                <w:szCs w:val="17"/>
                <w:highlight w:val="green"/>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bCs/>
          <w:sz w:val="26"/>
          <w:szCs w:val="26"/>
        </w:rPr>
        <w:t xml:space="preserve">Comparative Analysis of Existing Approaches</w:t>
      </w:r>
    </w:p>
    <w:p>
      <w:pPr>
        <w:spacing w:after="110" w:line="264"/>
        <w:jc w:val="both"/>
      </w:pPr>
      <w:r>
        <w:rPr>
          <w:rFonts w:ascii="Times New Roman" w:cs="Times New Roman" w:eastAsia="Times New Roman" w:hAnsi="Times New Roman"/>
          <w:sz w:val="22"/>
          <w:szCs w:val="22"/>
          <w:highlight w:val="magenta"/>
        </w:rPr>
        <w:t xml:space="preserve">Existing approaches solve single dimensions of trustworthy data sharing, each at a different layer of the security problem.</w:t>
      </w:r>
      <w:r>
        <w:rPr>
          <w:rFonts w:ascii="Times New Roman" w:cs="Times New Roman" w:eastAsia="Times New Roman" w:hAnsi="Times New Roman"/>
          <w:sz w:val="22"/>
          <w:szCs w:val="22"/>
        </w:rPr>
        <w:t xml:space="preserve"> No individual mechanism can independently establish that a healthcare data-access decision is trustworthy. The systems that enforce purpose and time are authored by a single patient and lack a formal argument. </w:t>
      </w:r>
      <w:r>
        <w:rPr>
          <w:rFonts w:ascii="Times New Roman" w:cs="Times New Roman" w:eastAsia="Times New Roman" w:hAnsi="Times New Roman"/>
          <w:sz w:val="22"/>
          <w:szCs w:val="22"/>
        </w:rPr>
        <w:t xml:space="preserve">The multi-party systems carry no purpose condition, whereas the proved schemes either omit policy, temporal validity, and lifecycle or, as in </w:t>
      </w:r>
      <w:r>
        <w:rPr>
          <w:rFonts w:ascii="Times New Roman" w:cs="Times New Roman" w:eastAsia="Times New Roman" w:hAnsi="Times New Roman"/>
          <w:sz w:val="22"/>
          <w:szCs w:val="22"/>
          <w:highlight w:val="green"/>
        </w:rPr>
        <w:t xml:space="preserve">(Mei et al. 2026)</w:t>
      </w:r>
      <w:r>
        <w:rPr>
          <w:rFonts w:ascii="Times New Roman" w:cs="Times New Roman" w:eastAsia="Times New Roman" w:hAnsi="Times New Roman"/>
          <w:sz w:val="22"/>
          <w:szCs w:val="22"/>
        </w:rPr>
        <w:t xml:space="preserve">, prove only a static encryption predicate.</w:t>
      </w:r>
      <w:r>
        <w:rPr>
          <w:rFonts w:ascii="Times New Roman" w:cs="Times New Roman" w:eastAsia="Times New Roman" w:hAnsi="Times New Roman"/>
          <w:sz w:val="22"/>
          <w:szCs w:val="22"/>
        </w:rPr>
        <w:t xml:space="preserve"> Table 2.4 summarises the 25 studies against the six requirements, </w:t>
      </w:r>
      <w:r>
        <w:rPr>
          <w:rFonts w:ascii="Times New Roman" w:cs="Times New Roman" w:eastAsia="Times New Roman" w:hAnsi="Times New Roman"/>
          <w:sz w:val="22"/>
          <w:szCs w:val="22"/>
        </w:rPr>
        <w:t xml:space="preserve">where Yes denotes satisfied, Partial partially satisfied, and No not satisfied.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Req 6 combines review questions 6 and 7, so in that column each study takes the higher of its formal assurance grade and its empirical validation grade.</w:t>
      </w:r>
    </w:p>
    <w:p>
      <w:pPr>
        <w:keepNext/>
        <w:spacing w:after="80" w:before="200"/>
        <w:jc w:val="center"/>
      </w:pPr>
      <w:r>
        <w:rPr>
          <w:rFonts w:ascii="Times New Roman" w:cs="Times New Roman" w:eastAsia="Times New Roman" w:hAnsi="Times New Roman"/>
          <w:b/>
          <w:bCs/>
          <w:sz w:val="18"/>
          <w:szCs w:val="18"/>
        </w:rPr>
        <w:t xml:space="preserve">Table 2.4: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t>
            </w:r>
            <w:r>
              <w:rPr>
                <w:rFonts w:ascii="Times New Roman" w:cs="Times New Roman" w:eastAsia="Times New Roman" w:hAnsi="Times New Roman"/>
                <w:b w:val="false"/>
                <w:bCs w:val="false"/>
                <w:sz w:val="17"/>
                <w:szCs w:val="17"/>
              </w:rPr>
              <w:t xml:space="preserve">Wu et al. (2022)</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bl>
    <w:p>
      <w:pPr>
        <w:spacing w:after="160"/>
      </w:pPr>
    </w:p>
    <w:p>
      <w:pPr>
        <w:spacing w:after="110" w:line="264"/>
        <w:jc w:val="both"/>
      </w:pPr>
      <w:r>
        <w:rPr>
          <w:rFonts w:ascii="Times New Roman" w:cs="Times New Roman" w:eastAsia="Times New Roman" w:hAnsi="Times New Roman"/>
          <w:sz w:val="22"/>
          <w:szCs w:val="22"/>
        </w:rPr>
        <w:t xml:space="preserve">The matrix supports four observations. First, counting only full satisfaction, Req 1 is met by 12 of the 25 studies, Req 2 by 7, Req 3 by 6, Req 4 by 10, Req 5 by 8, and Req 6 by 9. Second, no study satisfies all six, the maximum of four is reached by </w:t>
      </w:r>
      <w:r>
        <w:rPr>
          <w:rFonts w:ascii="Times New Roman" w:cs="Times New Roman" w:eastAsia="Times New Roman" w:hAnsi="Times New Roman"/>
          <w:sz w:val="22"/>
          <w:szCs w:val="22"/>
          <w:highlight w:val="green"/>
        </w:rPr>
        <w:t xml:space="preserve">(Madine et al. 2020)</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highlight w:val="green"/>
        </w:rPr>
        <w:t xml:space="preserve">(Panagoulias et al. 2026)</w:t>
      </w:r>
      <w:r>
        <w:rPr>
          <w:rFonts w:ascii="Times New Roman" w:cs="Times New Roman" w:eastAsia="Times New Roman" w:hAnsi="Times New Roman"/>
          <w:sz w:val="22"/>
          <w:szCs w:val="22"/>
        </w:rPr>
        <w:t xml:space="preserve">, and five studies fully satisfy none. Third, Req 1 with Req 4 is the most frequent pair, in seven studies, whereas Req 2 and Req 4 never co-occur in full. Req 3 co-occurs with Req 4 only in </w:t>
      </w:r>
      <w:r>
        <w:rPr>
          <w:rFonts w:ascii="Times New Roman" w:cs="Times New Roman" w:eastAsia="Times New Roman" w:hAnsi="Times New Roman"/>
          <w:sz w:val="22"/>
          <w:szCs w:val="22"/>
          <w:highlight w:val="green"/>
        </w:rPr>
        <w:t xml:space="preserve">(Punia et al. 2025)</w:t>
      </w:r>
      <w:r>
        <w:rPr>
          <w:rFonts w:ascii="Times New Roman" w:cs="Times New Roman" w:eastAsia="Times New Roman" w:hAnsi="Times New Roman"/>
          <w:sz w:val="22"/>
          <w:szCs w:val="22"/>
        </w:rPr>
        <w:t xml:space="preserve">, whose threshold lies outside the policy predicate and whose policy carries no purpose term. Similarly, Req 3 co-occurs with Req 6 only in </w:t>
      </w:r>
      <w:r>
        <w:rPr>
          <w:rFonts w:ascii="Times New Roman" w:cs="Times New Roman" w:eastAsia="Times New Roman" w:hAnsi="Times New Roman"/>
          <w:sz w:val="22"/>
          <w:szCs w:val="22"/>
          <w:highlight w:val="green"/>
        </w:rPr>
        <w:t xml:space="preserve">(Maruthi &amp; Singh 2025; Zhao &amp; Su 2024)</w:t>
      </w:r>
      <w:r>
        <w:rPr>
          <w:rFonts w:ascii="Times New Roman" w:cs="Times New Roman" w:eastAsia="Times New Roman" w:hAnsi="Times New Roman"/>
          <w:sz w:val="22"/>
          <w:szCs w:val="22"/>
        </w:rPr>
        <w:t xml:space="preserve">. Fourth, the two quadruples are complementary, since lacks policy and assurance, whereas lacks multi-party approval and identity depth.</w:t>
      </w:r>
    </w:p>
    <w:p>
      <w:pPr>
        <w:spacing w:after="110" w:line="264"/>
        <w:jc w:val="both"/>
      </w:pPr>
      <w:r>
        <w:rPr>
          <w:rFonts w:ascii="Times New Roman" w:cs="Times New Roman" w:eastAsia="Times New Roman" w:hAnsi="Times New Roman"/>
          <w:sz w:val="22"/>
          <w:szCs w:val="22"/>
          <w:highlight w:val="magenta"/>
        </w:rPr>
        <w:t xml:space="preserve">The comparison shows that the contribution of this research is the explicit relationship it establishes among existing technologies, not their replacement.</w:t>
      </w:r>
      <w:r>
        <w:rPr>
          <w:rFonts w:ascii="Times New Roman" w:cs="Times New Roman" w:eastAsia="Times New Roman" w:hAnsi="Times New Roman"/>
          <w:sz w:val="22"/>
          <w:szCs w:val="22"/>
        </w:rPr>
        <w:t xml:space="preserve"> The consent object C carries the identity, authority, threshold, policy, temporal, and lifecycle conditions together, so that their relationship is verifiable. </w:t>
      </w:r>
      <w:r>
        <w:rPr>
          <w:rFonts w:ascii="Times New Roman" w:cs="Times New Roman" w:eastAsia="Times New Roman" w:hAnsi="Times New Roman"/>
          <w:sz w:val="22"/>
          <w:szCs w:val="22"/>
        </w:rPr>
        <w:t xml:space="preserve">Table 2.5 in Section 2.6 positions the proposed framework relative to these requirements.</w:t>
      </w:r>
      <w:r>
        <w:rPr>
          <w:rFonts w:ascii="Times New Roman" w:cs="Times New Roman" w:eastAsia="Times New Roman" w:hAnsi="Times New Roman"/>
          <w:sz w:val="22"/>
          <w:szCs w:val="22"/>
        </w:rPr>
        <w:t xml:space="preserve"> The conjunction is formally specified and validated through allow-and-deny test cases and attack cases, whereas its formal verification and the remaining lifecycle extensions of RQ5 </w:t>
      </w:r>
      <w:r>
        <w:rPr>
          <w:rFonts w:ascii="Times New Roman" w:cs="Times New Roman" w:eastAsia="Times New Roman" w:hAnsi="Times New Roman"/>
          <w:sz w:val="22"/>
          <w:szCs w:val="22"/>
        </w:rPr>
        <w:t xml:space="preserve">are left for the next stage (Sections 10 and 11)</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2.5  </w:t>
      </w:r>
      <w:r>
        <w:rPr>
          <w:rFonts w:ascii="Times New Roman" w:cs="Times New Roman" w:eastAsia="Times New Roman" w:hAnsi="Times New Roman"/>
          <w:b/>
          <w:bCs/>
          <w:sz w:val="26"/>
          <w:szCs w:val="26"/>
        </w:rPr>
        <w:t xml:space="preserve">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 Across the corpus, Req 3 is the least satisfied requirement, </w:t>
      </w:r>
      <w:r>
        <w:rPr>
          <w:rFonts w:ascii="Times New Roman" w:cs="Times New Roman" w:eastAsia="Times New Roman" w:hAnsi="Times New Roman"/>
          <w:sz w:val="22"/>
          <w:szCs w:val="22"/>
        </w:rPr>
        <w:t xml:space="preserve">while within Req 6, formal assurance alone is provided by 4 studies, argued informally by 9, and absent in 12. The other five Yes grades for Req 6 in Table 2.4 rest on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rarity of multi-party approval and formal verification is also seen in</w:t>
      </w:r>
      <w:r>
        <w:rPr>
          <w:rFonts w:ascii="Times New Roman" w:cs="Times New Roman" w:eastAsia="Times New Roman" w:hAnsi="Times New Roman"/>
          <w:sz w:val="22"/>
          <w:szCs w:val="22"/>
        </w:rPr>
        <w:t xml:space="preserve">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sz w:val="22"/>
          <w:szCs w:val="22"/>
        </w:rPr>
        <w:t xml:space="preserve">The review corrects one framing. Multi-party authorisation of patient consent is not absent from the literature, since the full-text coding shows it in six forms.</w:t>
      </w:r>
      <w:r>
        <w:rPr>
          <w:rFonts w:ascii="Times New Roman" w:cs="Times New Roman" w:eastAsia="Times New Roman" w:hAnsi="Times New Roman"/>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w:t>
      </w:r>
      <w:r>
        <w:rPr>
          <w:rFonts w:ascii="Times New Roman" w:cs="Times New Roman" w:eastAsia="Times New Roman" w:hAnsi="Times New Roman"/>
          <w:sz w:val="22"/>
          <w:szCs w:val="22"/>
        </w:rPr>
        <w:t xml:space="preserve">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sz w:val="22"/>
          <w:szCs w:val="22"/>
        </w:rPr>
        <w:t xml:space="preserve">The review establishes two gaps. The first is a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since no study conjoins identity, authority, threshold, policy, temporal, jurisdictional, and lifecycle conditions in one decision predicate in which multi-party approval is a standing condition and the patient defines the approving set. The second is an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5715000" cy="2867025"/>
            <wp:effectExtent t="0" r="0" b="0" l="0"/>
            <wp:docPr id="1"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sz w:val="18"/>
          <w:szCs w:val="18"/>
        </w:rPr>
        <w:t xml:space="preserve">graded Yes for each requirement in Table 2.4</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review has limitations. A further 588 records, mostly from SpringerLink, could not be screened at the abstract stage because the export contained no abstracts. </w:t>
      </w:r>
      <w:r>
        <w:rPr>
          <w:rFonts w:ascii="Times New Roman" w:cs="Times New Roman" w:eastAsia="Times New Roman" w:hAnsi="Times New Roman"/>
          <w:sz w:val="22"/>
          <w:szCs w:val="22"/>
        </w:rPr>
        <w:t xml:space="preserve">The reporting checkpoint and a single round of coding mean that a small number of relevant studies may have been missed.</w:t>
      </w:r>
      <w:r>
        <w:rPr>
          <w:rFonts w:ascii="Times New Roman" w:cs="Times New Roman" w:eastAsia="Times New Roman" w:hAnsi="Times New Roman"/>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w:t>
      </w:r>
      <w:r>
        <w:rPr>
          <w:rFonts w:ascii="Times New Roman" w:cs="Times New Roman" w:eastAsia="Times New Roman" w:hAnsi="Times New Roman"/>
          <w:b/>
          <w:bCs/>
          <w:sz w:val="26"/>
          <w:szCs w:val="26"/>
        </w:rPr>
        <w:t xml:space="preserve">The Proposed Framework and the Key Requirements</w:t>
      </w:r>
    </w:p>
    <w:p>
      <w:pPr>
        <w:spacing w:after="110" w:line="264"/>
        <w:jc w:val="both"/>
      </w:pPr>
      <w:r>
        <w:rPr>
          <w:rFonts w:ascii="Times New Roman" w:cs="Times New Roman" w:eastAsia="Times New Roman" w:hAnsi="Times New Roman"/>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partially completed will be completed in the next stage.</w:t>
      </w:r>
    </w:p>
    <w:p>
      <w:pPr>
        <w:keepNext/>
        <w:spacing w:after="80" w:before="200"/>
        <w:jc w:val="center"/>
      </w:pPr>
      <w:r>
        <w:rPr>
          <w:rFonts w:ascii="Times New Roman" w:cs="Times New Roman" w:eastAsia="Times New Roman" w:hAnsi="Times New Roman"/>
          <w:b/>
          <w:bCs/>
          <w:sz w:val="18"/>
          <w:szCs w:val="18"/>
        </w:rPr>
        <w:t xml:space="preserve">Table 2.5: </w:t>
      </w:r>
      <w:r>
        <w:rPr>
          <w:rFonts w:ascii="Times New Roman" w:cs="Times New Roman" w:eastAsia="Times New Roman" w:hAnsi="Times New Roman"/>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represented as the evaluable object C = (I, A, P, T, L, E), created through Algorithm 6.1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DID and VC verification separates identity from authority and is evaluated as V</w:t>
            </w:r>
            <w:r>
              <w:rPr>
                <w:rFonts w:ascii="Times New Roman" w:cs="Times New Roman" w:eastAsia="Times New Roman" w:hAnsi="Times New Roman"/>
                <w:b w:val="false"/>
                <w:bCs w:val="false"/>
                <w:sz w:val="17"/>
                <w:szCs w:val="17"/>
                <w:vertAlign w:val="subscript"/>
              </w:rPr>
              <w:t xml:space="preserve">I</w:t>
            </w:r>
            <w:r>
              <w:rPr>
                <w:rFonts w:ascii="Times New Roman" w:cs="Times New Roman" w:eastAsia="Times New Roman" w:hAnsi="Times New Roman"/>
                <w:b w:val="false"/>
                <w:bCs w:val="false"/>
                <w:sz w:val="17"/>
                <w:szCs w:val="17"/>
              </w:rPr>
              <w:t xml:space="preserve"> through Algorithm 7.1.</w:t>
            </w:r>
            <w:r>
              <w:rPr>
                <w:rFonts w:ascii="Times New Roman" w:cs="Times New Roman" w:eastAsia="Times New Roman" w:hAnsi="Times New Roman"/>
                <w:b w:val="false"/>
                <w:bCs w:val="false"/>
                <w:sz w:val="17"/>
                <w:szCs w:val="17"/>
              </w:rPr>
              <w:t xml:space="preserve"> The prototype checks the DID format, and full DID resolution and VC validation are planned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N-of-N approval by the guardian set G with EIP-712 guardian signatures </w:t>
            </w:r>
            <w:r>
              <w:rPr>
                <w:rFonts w:ascii="Times New Roman" w:cs="Times New Roman" w:eastAsia="Times New Roman" w:hAnsi="Times New Roman"/>
                <w:b w:val="false"/>
                <w:bCs w:val="false"/>
                <w:sz w:val="17"/>
                <w:szCs w:val="17"/>
                <w:highlight w:val="green"/>
              </w:rPr>
              <w:t xml:space="preserve">(Bloemen, Logvinov &amp; Evans 2017)</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evaluated as V</w:t>
            </w:r>
            <w:r>
              <w:rPr>
                <w:rFonts w:ascii="Times New Roman" w:cs="Times New Roman" w:eastAsia="Times New Roman" w:hAnsi="Times New Roman"/>
                <w:b w:val="false"/>
                <w:bCs w:val="false"/>
                <w:sz w:val="17"/>
                <w:szCs w:val="17"/>
                <w:vertAlign w:val="subscript"/>
              </w:rPr>
              <w:t xml:space="preserve">A</w:t>
            </w:r>
            <w:r>
              <w:rPr>
                <w:rFonts w:ascii="Times New Roman" w:cs="Times New Roman" w:eastAsia="Times New Roman" w:hAnsi="Times New Roman"/>
                <w:b w:val="false"/>
                <w:bCs w:val="false"/>
                <w:sz w:val="17"/>
                <w:szCs w:val="17"/>
              </w:rPr>
              <w:t xml:space="preserve"> through Algorithm 8.1.</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and a non-empty data scope within the consent are evaluated as V</w:t>
            </w:r>
            <w:r>
              <w:rPr>
                <w:rFonts w:ascii="Times New Roman" w:cs="Times New Roman" w:eastAsia="Times New Roman" w:hAnsi="Times New Roman"/>
                <w:b w:val="false"/>
                <w:bCs w:val="false"/>
                <w:sz w:val="17"/>
                <w:szCs w:val="17"/>
                <w:vertAlign w:val="subscript"/>
              </w:rPr>
              <w:t xml:space="preserve">P</w:t>
            </w:r>
            <w:r>
              <w:rPr>
                <w:rFonts w:ascii="Times New Roman" w:cs="Times New Roman" w:eastAsia="Times New Roman" w:hAnsi="Times New Roman"/>
                <w:b w:val="false"/>
                <w:bCs w:val="false"/>
                <w:sz w:val="17"/>
                <w:szCs w:val="17"/>
              </w:rPr>
              <w:t xml:space="preserve"> through Algorithm 9.1, together with the jurisdiction condition V</w:t>
            </w:r>
            <w:r>
              <w:rPr>
                <w:rFonts w:ascii="Times New Roman" w:cs="Times New Roman" w:eastAsia="Times New Roman" w:hAnsi="Times New Roman"/>
                <w:b w:val="false"/>
                <w:bCs w:val="false"/>
                <w:sz w:val="17"/>
                <w:szCs w:val="17"/>
                <w:vertAlign w:val="subscript"/>
              </w:rPr>
              <w:t xml:space="preserve">L</w:t>
            </w:r>
            <w:r>
              <w:rPr>
                <w:rFonts w:ascii="Times New Roman" w:cs="Times New Roman" w:eastAsia="Times New Roman" w:hAnsi="Times New Roman"/>
                <w:b w:val="false"/>
                <w:bCs w:val="false"/>
                <w:sz w:val="17"/>
                <w:szCs w:val="17"/>
              </w:rPr>
              <w:t xml:space="preserve">(C, R).</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validity window V</w:t>
            </w:r>
            <w:r>
              <w:rPr>
                <w:rFonts w:ascii="Times New Roman" w:cs="Times New Roman" w:eastAsia="Times New Roman" w:hAnsi="Times New Roman"/>
                <w:b w:val="false"/>
                <w:bCs w:val="false"/>
                <w:sz w:val="17"/>
                <w:szCs w:val="17"/>
                <w:vertAlign w:val="subscript"/>
              </w:rPr>
              <w:t xml:space="preserve">T</w:t>
            </w:r>
            <w:r>
              <w:rPr>
                <w:rFonts w:ascii="Times New Roman" w:cs="Times New Roman" w:eastAsia="Times New Roman" w:hAnsi="Times New Roman"/>
                <w:b w:val="false"/>
                <w:bCs w:val="false"/>
                <w:sz w:val="17"/>
                <w:szCs w:val="17"/>
              </w:rPr>
              <w:t xml:space="preserve">, revocation, the lifecycle states, and the on-chain revocation on Sepolia are implemented. The lifecycle transition check is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 Progress (partially completed)</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Audit ledger evidence, 36 automated tests, and twelve unit-level attack scenarios. Formal analysis is left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Partially completed (for RQ1 to RQ4)</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bCs/>
          <w:sz w:val="26"/>
          <w:szCs w:val="26"/>
        </w:rPr>
        <w:t xml:space="preserve">Research Gap</w:t>
      </w:r>
    </w:p>
    <w:p>
      <w:pPr>
        <w:spacing w:after="110" w:line="264"/>
        <w:jc w:val="both"/>
      </w:pPr>
      <w:r>
        <w:rPr>
          <w:rFonts w:ascii="Times New Roman" w:cs="Times New Roman" w:eastAsia="Times New Roman" w:hAnsi="Times New Roman"/>
          <w:sz w:val="22"/>
          <w:szCs w:val="22"/>
          <w:highlight w:val="magenta"/>
        </w:rPr>
        <w:t xml:space="preserve">The systematic literature review shows much work on individual mechanisms for securing healthcare data sharing, but also a conceptual and architectural fragmentation</w:t>
      </w:r>
      <w:r>
        <w:rPr>
          <w:rFonts w:ascii="Times New Roman" w:cs="Times New Roman" w:eastAsia="Times New Roman" w:hAnsi="Times New Roman"/>
          <w:sz w:val="22"/>
          <w:szCs w:val="22"/>
        </w:rPr>
        <w:t xml:space="preserve"> among these mechanisms. They are commonly investigated as independent technical solutions rather than as coordinated components of a unified trust-oriented authorisation model. The few studies that coordinate several of them in one decision </w:t>
      </w:r>
      <w:r>
        <w:rPr>
          <w:rFonts w:ascii="Times New Roman" w:cs="Times New Roman" w:eastAsia="Times New Roman" w:hAnsi="Times New Roman"/>
          <w:sz w:val="22"/>
          <w:szCs w:val="22"/>
          <w:highlight w:val="green"/>
        </w:rPr>
        <w:t xml:space="preserve">(Ferreira et al. 2025; Panagoulias et al. 2026; Phuyal et al. 2026b; Punia et al. 2025; Shanmugham &amp; Senthilkumar 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do not make multi-party approval a standing condition of that decision. Some of them test their own decisions empirically, but none proves or tests a conjunction that includes multi-party approval.</w:t>
      </w:r>
    </w:p>
    <w:p>
      <w:pPr>
        <w:spacing w:after="110" w:line="264"/>
        <w:jc w:val="both"/>
      </w:pPr>
      <w:r>
        <w:rPr>
          <w:rFonts w:ascii="Times New Roman" w:cs="Times New Roman" w:eastAsia="Times New Roman" w:hAnsi="Times New Roman"/>
          <w:sz w:val="22"/>
          <w:szCs w:val="22"/>
          <w:highlight w:val="magenta"/>
        </w:rPr>
        <w:t xml:space="preserve">The central gap is the absence of an integrated model</w:t>
      </w:r>
      <w:r>
        <w:rPr>
          <w:rFonts w:ascii="Times New Roman" w:cs="Times New Roman" w:eastAsia="Times New Roman" w:hAnsi="Times New Roman"/>
          <w:sz w:val="22"/>
          <w:szCs w:val="22"/>
        </w:rPr>
        <w:t xml:space="preserve"> explaining how these mechanisms collectively establish a trustworthy authorisation decision. Existing consent-oriented approaches tend to </w:t>
      </w:r>
      <w:r>
        <w:rPr>
          <w:rFonts w:ascii="Times New Roman" w:cs="Times New Roman" w:eastAsia="Times New Roman" w:hAnsi="Times New Roman"/>
          <w:sz w:val="22"/>
          <w:szCs w:val="22"/>
        </w:rPr>
        <w:t xml:space="preserve">treat consent primarily as a record of a patient’s permission </w:t>
      </w:r>
      <w:r>
        <w:rPr>
          <w:rFonts w:ascii="Times New Roman" w:cs="Times New Roman" w:eastAsia="Times New Roman" w:hAnsi="Times New Roman"/>
          <w:sz w:val="22"/>
          <w:szCs w:val="22"/>
          <w:highlight w:val="green"/>
        </w:rPr>
        <w:t xml:space="preserve">(Akter &amp; Sanam 2025; Prashanth et al. 2024)</w:t>
      </w:r>
      <w:r>
        <w:rPr>
          <w:rFonts w:ascii="Times New Roman" w:cs="Times New Roman" w:eastAsia="Times New Roman" w:hAnsi="Times New Roman"/>
          <w:sz w:val="22"/>
          <w:szCs w:val="22"/>
        </w:rPr>
        <w:t xml:space="preserve">, and some claim consent but leave it out of the access decision </w:t>
      </w:r>
      <w:r>
        <w:rPr>
          <w:rFonts w:ascii="Times New Roman" w:cs="Times New Roman" w:eastAsia="Times New Roman" w:hAnsi="Times New Roman"/>
          <w:sz w:val="22"/>
          <w:szCs w:val="22"/>
          <w:highlight w:val="green"/>
        </w:rPr>
        <w:t xml:space="preserve">(Sawant &amp; Gomes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 Even the evaluable consent objects reported since 2020 </w:t>
      </w:r>
      <w:r>
        <w:rPr>
          <w:rFonts w:ascii="Times New Roman" w:cs="Times New Roman" w:eastAsia="Times New Roman" w:hAnsi="Times New Roman"/>
          <w:sz w:val="22"/>
          <w:szCs w:val="22"/>
          <w:highlight w:val="green"/>
        </w:rPr>
        <w:t xml:space="preserve">(Albalwy, Brass &amp; Davies 2021; Eneh et al. 2026; Phuyal et al. 2026b; Shanmugham &amp; Senthilkumar 2026; Tith et al. 2020)</w:t>
      </w:r>
      <w:r>
        <w:rPr>
          <w:rFonts w:ascii="Times New Roman" w:cs="Times New Roman" w:eastAsia="Times New Roman" w:hAnsi="Times New Roman"/>
          <w:sz w:val="22"/>
          <w:szCs w:val="22"/>
        </w:rPr>
        <w:t xml:space="preserve">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highlight w:val="magenta"/>
        </w:rPr>
        <w:t xml:space="preserve">Recording consent and enforcing trustworthy authorisation are two different security problems.</w:t>
      </w:r>
      <w:r>
        <w:rPr>
          <w:rFonts w:ascii="Times New Roman" w:cs="Times New Roman" w:eastAsia="Times New Roman" w:hAnsi="Times New Roman"/>
          <w:sz w:val="22"/>
          <w:szCs w:val="22"/>
        </w:rPr>
        <w:t xml:space="preserve"> A blockchain may provide an immutable representation of a consent event </w:t>
      </w:r>
      <w:r>
        <w:rPr>
          <w:rFonts w:ascii="Times New Roman" w:cs="Times New Roman" w:eastAsia="Times New Roman" w:hAnsi="Times New Roman"/>
          <w:sz w:val="22"/>
          <w:szCs w:val="22"/>
          <w:highlight w:val="green"/>
        </w:rPr>
        <w:t xml:space="preserve">(Andrew et al. 2023; Tawfik et al. 2025)</w:t>
      </w:r>
      <w:r>
        <w:rPr>
          <w:rFonts w:ascii="Times New Roman" w:cs="Times New Roman" w:eastAsia="Times New Roman" w:hAnsi="Times New Roman"/>
          <w:sz w:val="22"/>
          <w:szCs w:val="22"/>
        </w:rPr>
        <w:t xml:space="preserve">, but immutability does not establish the legitimacy of the entities involved in that event. Similarly, a valid decentralised identity can establish who a participant is </w:t>
      </w:r>
      <w:r>
        <w:rPr>
          <w:rFonts w:ascii="Times New Roman" w:cs="Times New Roman" w:eastAsia="Times New Roman" w:hAnsi="Times New Roman"/>
          <w:sz w:val="22"/>
          <w:szCs w:val="22"/>
          <w:highlight w:val="green"/>
        </w:rPr>
        <w:t xml:space="preserve">(Mazzocca et al. 2025)</w:t>
      </w:r>
      <w:r>
        <w:rPr>
          <w:rFonts w:ascii="Times New Roman" w:cs="Times New Roman" w:eastAsia="Times New Roman" w:hAnsi="Times New Roman"/>
          <w:sz w:val="22"/>
          <w:szCs w:val="22"/>
        </w:rPr>
        <w:t xml:space="preserve">,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w:t>
      </w:r>
      <w:r>
        <w:rPr>
          <w:rFonts w:ascii="Times New Roman" w:cs="Times New Roman" w:eastAsia="Times New Roman" w:hAnsi="Times New Roman"/>
          <w:sz w:val="22"/>
          <w:szCs w:val="22"/>
        </w:rPr>
        <w:t xml:space="preserve">multi-party approval is never conjoined with a purpose condition </w:t>
      </w:r>
      <w:r>
        <w:rPr>
          <w:rFonts w:ascii="Times New Roman" w:cs="Times New Roman" w:eastAsia="Times New Roman" w:hAnsi="Times New Roman"/>
          <w:sz w:val="22"/>
          <w:szCs w:val="22"/>
          <w:highlight w:val="green"/>
        </w:rPr>
        <w:t xml:space="preserve">(Madine et al. 2020; Punia et al. 2025; Tan, Chi &amp; Lam 2024)</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trust cannot be attributed to any individual mechanism in isolation. From a Trust Computing perspective, trustworthy access should be understood as an outcome of the coordinated satisfaction of multiple independently verifiable conditions. </w:t>
      </w:r>
      <w:r>
        <w:rPr>
          <w:rFonts w:ascii="Times New Roman" w:cs="Times New Roman" w:eastAsia="Times New Roman" w:hAnsi="Times New Roman"/>
          <w:sz w:val="22"/>
          <w:szCs w:val="22"/>
          <w:highlight w:val="magenta"/>
        </w:rPr>
        <w:t xml:space="preserve">In this research, trust is a property of a verifiable authorisation process, not an attribute of one entity or technology.</w:t>
      </w:r>
    </w:p>
    <w:p>
      <w:pPr>
        <w:spacing w:after="110" w:line="264"/>
        <w:jc w:val="both"/>
      </w:pPr>
      <w:r>
        <w:rPr>
          <w:rFonts w:ascii="Times New Roman" w:cs="Times New Roman" w:eastAsia="Times New Roman" w:hAnsi="Times New Roman"/>
          <w:sz w:val="22"/>
          <w:szCs w:val="22"/>
          <w:highlight w:val="magenta"/>
        </w:rPr>
        <w:t xml:space="preserve">Existing healthcare consent and access-control research provides most of the needed technology, but not an integrated Trust Computing framework</w:t>
      </w:r>
      <w:r>
        <w:rPr>
          <w:rFonts w:ascii="Times New Roman" w:cs="Times New Roman" w:eastAsia="Times New Roman" w:hAnsi="Times New Roman"/>
          <w:sz w:val="22"/>
          <w:szCs w:val="22"/>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and enforcing the policy and data-scope constraints associated with the consent. In this framework, the consent object carries identity, authority, threshold, policy, temporal, jurisdictional, and lifecycle conditions, multi-party approval must be a standing condition of every access decision, and the conjunction of these conditions must be formally and empirically assured. These two requirements correspond to the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and the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identified in Section 2. The approving set must be defined by the patient rather than by an institution, whereas in the reviewed studies, the approving set is either defined on the institutional or delegate side </w:t>
      </w:r>
      <w:r>
        <w:rPr>
          <w:rFonts w:ascii="Times New Roman" w:cs="Times New Roman" w:eastAsia="Times New Roman" w:hAnsi="Times New Roman"/>
          <w:sz w:val="22"/>
          <w:szCs w:val="22"/>
          <w:highlight w:val="green"/>
        </w:rPr>
        <w:t xml:space="preserve">(Punia et al. 2025; Wu et al. 2022; Zhao &amp; Su 2024)</w:t>
      </w:r>
      <w:r>
        <w:rPr>
          <w:rFonts w:ascii="Times New Roman" w:cs="Times New Roman" w:eastAsia="Times New Roman" w:hAnsi="Times New Roman"/>
          <w:sz w:val="22"/>
          <w:szCs w:val="22"/>
        </w:rPr>
        <w:t xml:space="preserve">, or appointed by the patient </w:t>
      </w:r>
      <w:r>
        <w:rPr>
          <w:rFonts w:ascii="Times New Roman" w:cs="Times New Roman" w:eastAsia="Times New Roman" w:hAnsi="Times New Roman"/>
          <w:sz w:val="22"/>
          <w:szCs w:val="22"/>
          <w:highlight w:val="green"/>
        </w:rPr>
        <w:t xml:space="preserve">(Maruthi &amp; Singh 2025; Tan, Chi &amp; Lam 2024)</w:t>
      </w:r>
      <w:r>
        <w:rPr>
          <w:rFonts w:ascii="Times New Roman" w:cs="Times New Roman" w:eastAsia="Times New Roman" w:hAnsi="Times New Roman"/>
          <w:sz w:val="22"/>
          <w:szCs w:val="22"/>
        </w:rPr>
        <w:t xml:space="preserve"> but evaluated only as a contingency path or as a key-custody threshold.</w:t>
      </w:r>
    </w:p>
    <w:p>
      <w:pPr>
        <w:spacing w:after="110" w:line="264"/>
        <w:jc w:val="both"/>
      </w:pPr>
      <w:r>
        <w:rPr>
          <w:rFonts w:ascii="Times New Roman" w:cs="Times New Roman" w:eastAsia="Times New Roman" w:hAnsi="Times New Roman"/>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1 (consent representation).</w:t>
      </w:r>
      <w:r>
        <w:rPr>
          <w:rFonts w:ascii="Times New Roman" w:cs="Times New Roman" w:eastAsia="Times New Roman" w:hAnsi="Times New Roman"/>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w:t>
      </w:r>
      <w:r>
        <w:rPr>
          <w:rFonts w:ascii="Times New Roman" w:cs="Times New Roman" w:eastAsia="Times New Roman" w:hAnsi="Times New Roman"/>
          <w:sz w:val="22"/>
          <w:szCs w:val="22"/>
        </w:rPr>
        <w:t xml:space="preserve">and authority is verified separately from authentication in only 10 of the 25 studies.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3 (multi-party authorisation).</w:t>
      </w:r>
      <w:r>
        <w:rPr>
          <w:rFonts w:ascii="Times New Roman" w:cs="Times New Roman" w:eastAsia="Times New Roman" w:hAnsi="Times New Roman"/>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4 (policy and context).</w:t>
      </w:r>
      <w:r>
        <w:rPr>
          <w:rFonts w:ascii="Times New Roman" w:cs="Times New Roman" w:eastAsia="Times New Roman" w:hAnsi="Times New Roman"/>
          <w:sz w:val="22"/>
          <w:szCs w:val="22"/>
        </w:rPr>
        <w:t xml:space="preserve"> Purpose, data-scope, and jurisdictional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5 (temporal and lifecycle trust).</w:t>
      </w:r>
      <w:r>
        <w:rPr>
          <w:rFonts w:ascii="Times New Roman" w:cs="Times New Roman" w:eastAsia="Times New Roman" w:hAnsi="Times New Roman"/>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6 (security assurance).</w:t>
      </w:r>
      <w:r>
        <w:rPr>
          <w:rFonts w:ascii="Times New Roman" w:cs="Times New Roman" w:eastAsia="Times New Roman" w:hAnsi="Times New Roman"/>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Each guardian is checked to determine whether the individual or entity possesses the required authority to participate in consent-related decisions. The threshold N is the number of valid guardian approvals needed for activation. If the number of valid approvals is below the required threshold N, the consent cannot produce an effective authorisation decision.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bCs/>
          <w:sz w:val="26"/>
          <w:szCs w:val="26"/>
        </w:rPr>
        <w:t xml:space="preserve">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w:t>
      </w:r>
      <w:r>
        <w:rPr>
          <w:rFonts w:ascii="Times New Roman" w:cs="Times New Roman" w:eastAsia="Times New Roman" w:hAnsi="Times New Roman"/>
          <w:b/>
          <w:bCs/>
          <w:sz w:val="26"/>
          <w:szCs w:val="26"/>
        </w:rPr>
        <w:t xml:space="preserve">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 Each sub-research question addresses a distinct dimension of the proposed trust-oriented healthcare authorisation framework. </w:t>
      </w:r>
      <w:r>
        <w:rPr>
          <w:rFonts w:ascii="Times New Roman" w:cs="Times New Roman" w:eastAsia="Times New Roman" w:hAnsi="Times New Roman"/>
          <w:sz w:val="22"/>
          <w:szCs w:val="22"/>
        </w:rPr>
        <w:t xml:space="preserve"> For brevity, SRQ1 to SRQ6 are referred to as RQ1 to RQ6 </w:t>
      </w:r>
      <w:r>
        <w:rPr>
          <w:rFonts w:ascii="Times New Roman" w:cs="Times New Roman" w:eastAsia="Times New Roman" w:hAnsi="Times New Roman"/>
          <w:sz w:val="22"/>
          <w:szCs w:val="22"/>
        </w:rPr>
        <w:t xml:space="preserve">throughout this report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L is the jurisdictional constraint, and E also records whether the consent remains active or has been revoked.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(3.1)</w:t>
      </w:r>
    </w:p>
    <w:p>
      <w:pPr>
        <w:pStyle w:val="Heading2"/>
        <w:keepNext/>
        <w:spacing w:after="120" w:before="240"/>
      </w:pPr>
      <w:r>
        <w:rPr>
          <w:rFonts w:ascii="Times New Roman" w:cs="Times New Roman" w:eastAsia="Times New Roman" w:hAnsi="Times New Roman"/>
          <w:b/>
          <w:bCs/>
          <w:sz w:val="26"/>
          <w:szCs w:val="26"/>
        </w:rPr>
        <w:t xml:space="preserve">3.4  </w:t>
      </w:r>
      <w:r>
        <w:rPr>
          <w:rFonts w:ascii="Times New Roman" w:cs="Times New Roman" w:eastAsia="Times New Roman" w:hAnsi="Times New Roman"/>
          <w:b/>
          <w:bCs/>
          <w:sz w:val="26"/>
          <w:szCs w:val="26"/>
        </w:rPr>
        <w:t xml:space="preserve">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represents identity and authority validity,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collective authorisation validity,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policy and contextual compliance,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temporal validity,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jurisdictional compliance, while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(3.2)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 Consequently, failure of any individual condition results in denial. In the prototype, an ALLOW decision additionally </w:t>
      </w:r>
      <w:r>
        <w:rPr>
          <w:rFonts w:ascii="Times New Roman" w:cs="Times New Roman" w:eastAsia="Times New Roman" w:hAnsi="Times New Roman"/>
          <w:sz w:val="22"/>
          <w:szCs w:val="22"/>
        </w:rPr>
        <w:t xml:space="preserve">requires the Groth16 ZK proof </w:t>
      </w:r>
      <w:r>
        <w:rPr>
          <w:rFonts w:ascii="Times New Roman" w:cs="Times New Roman" w:eastAsia="Times New Roman" w:hAnsi="Times New Roman"/>
          <w:sz w:val="22"/>
          <w:szCs w:val="22"/>
          <w:highlight w:val="green"/>
        </w:rPr>
        <w:t xml:space="preserve">(Groth 2016)</w:t>
      </w:r>
      <w:r>
        <w:rPr>
          <w:rFonts w:ascii="Times New Roman" w:cs="Times New Roman" w:eastAsia="Times New Roman" w:hAnsi="Times New Roman"/>
          <w:sz w:val="22"/>
          <w:szCs w:val="22"/>
        </w:rPr>
        <w:t xml:space="preserve"> to verify</w:t>
      </w:r>
      <w:r>
        <w:rPr>
          <w:rFonts w:ascii="Times New Roman" w:cs="Times New Roman" w:eastAsia="Times New Roman" w:hAnsi="Times New Roman"/>
          <w:sz w:val="22"/>
          <w:szCs w:val="22"/>
        </w:rPr>
        <w:t xml:space="preserve">, so a request that satisfies the five predicates is still denied when the proof fails, as in attack A9 (Section 11.5).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highlight w:val="magenta"/>
        </w:rPr>
        <w:t xml:space="preserve">The research objectives turn the research gap into concrete research and development activities.</w:t>
      </w:r>
      <w:r>
        <w:rPr>
          <w:rFonts w:ascii="Times New Roman" w:cs="Times New Roman" w:eastAsia="Times New Roman" w:hAnsi="Times New Roman"/>
          <w:sz w:val="22"/>
          <w:szCs w:val="22"/>
        </w:rPr>
        <w:t xml:space="preserve">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bCs/>
          <w:sz w:val="26"/>
          <w:szCs w:val="26"/>
        </w:rPr>
        <w:t xml:space="preserve">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bCs/>
          <w:sz w:val="26"/>
          <w:szCs w:val="26"/>
        </w:rPr>
        <w:t xml:space="preserve">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w:t>
      </w:r>
      <w:r>
        <w:rPr>
          <w:rFonts w:ascii="Times New Roman" w:cs="Times New Roman" w:eastAsia="Times New Roman" w:hAnsi="Times New Roman"/>
          <w:b/>
          <w:bCs/>
          <w:sz w:val="26"/>
          <w:szCs w:val="26"/>
        </w:rPr>
        <w:t xml:space="preserve">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w:t>
      </w:r>
      <w:r>
        <w:rPr>
          <w:rFonts w:ascii="Times New Roman" w:cs="Times New Roman" w:eastAsia="Times New Roman" w:hAnsi="Times New Roman"/>
          <w:b/>
          <w:bCs/>
          <w:sz w:val="26"/>
          <w:szCs w:val="26"/>
        </w:rPr>
        <w:t xml:space="preserve">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w:t>
      </w:r>
      <w:r>
        <w:rPr>
          <w:rFonts w:ascii="Times New Roman" w:cs="Times New Roman" w:eastAsia="Times New Roman" w:hAnsi="Times New Roman"/>
          <w:b/>
          <w:bCs/>
          <w:sz w:val="26"/>
          <w:szCs w:val="26"/>
        </w:rPr>
        <w:t xml:space="preserve">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implements end-to-end revocation, including an on-chain revoke transaction, and manages the consent through an explicit lifecycle state machine. A consent that has expired or been revoked must not remain usable merely because its original approval threshold was satisfied. The remaining work concerns </w:t>
      </w:r>
      <w:r>
        <w:rPr>
          <w:rFonts w:ascii="Times New Roman" w:cs="Times New Roman" w:eastAsia="Times New Roman" w:hAnsi="Times New Roman"/>
          <w:sz w:val="22"/>
          <w:szCs w:val="22"/>
        </w:rPr>
        <w:t xml:space="preserve">the lifecycle transition check, a formal lifecycle model, and </w:t>
      </w:r>
      <w:r>
        <w:rPr>
          <w:rFonts w:ascii="Times New Roman" w:cs="Times New Roman" w:eastAsia="Times New Roman" w:hAnsi="Times New Roman"/>
          <w:sz w:val="22"/>
          <w:szCs w:val="22"/>
        </w:rPr>
        <w:t xml:space="preserve">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w:t>
      </w:r>
      <w:r>
        <w:rPr>
          <w:rFonts w:ascii="Times New Roman" w:cs="Times New Roman" w:eastAsia="Times New Roman" w:hAnsi="Times New Roman"/>
          <w:b/>
          <w:bCs/>
          <w:sz w:val="26"/>
          <w:szCs w:val="26"/>
        </w:rPr>
        <w:t xml:space="preserve">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w:t>
      </w:r>
      <w:r>
        <w:rPr>
          <w:rFonts w:ascii="Times New Roman" w:cs="Times New Roman" w:eastAsia="Times New Roman" w:hAnsi="Times New Roman"/>
          <w:sz w:val="22"/>
          <w:szCs w:val="22"/>
          <w:highlight w:val="magenta"/>
        </w:rPr>
        <w:t xml:space="preserve">The prototype must execute valid consent workflows, and it must also behave correctly when one or more trust conditions are violated.</w:t>
      </w:r>
      <w:r>
        <w:rPr>
          <w:rFonts w:ascii="Times New Roman" w:cs="Times New Roman" w:eastAsia="Times New Roman" w:hAnsi="Times New Roman"/>
          <w:sz w:val="22"/>
          <w:szCs w:val="22"/>
        </w:rPr>
        <w:t xml:space="preserve"> RO6 is partially completed through the implementation and initial scenario-based validation of the HALAH prototype. In particular, 36 automated tests cover signature rejection, proof tampering, and twelve attack scenarios against the components of C and the contract. Preliminary measurements of on-chain cost, confirmation latency, and processing time have been obtained, and a live out-of-jurisdiction request against a consent anchored on the deployed Sepolia contract was refused by the application.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w:t>
      </w:r>
      <w:r>
        <w:rPr>
          <w:rFonts w:ascii="Times New Roman" w:cs="Times New Roman" w:eastAsia="Times New Roman" w:hAnsi="Times New Roman"/>
          <w:b/>
          <w:bCs/>
          <w:sz w:val="26"/>
          <w:szCs w:val="26"/>
        </w:rPr>
        <w:t xml:space="preserve">Relationship Between Research Questions and Objectives</w:t>
      </w:r>
    </w:p>
    <w:p>
      <w:pPr>
        <w:spacing w:after="110" w:line="264"/>
        <w:jc w:val="both"/>
      </w:pPr>
      <w:r>
        <w:rPr>
          <w:rFonts w:ascii="Times New Roman" w:cs="Times New Roman" w:eastAsia="Times New Roman" w:hAnsi="Times New Roman"/>
          <w:sz w:val="22"/>
          <w:szCs w:val="22"/>
        </w:rPr>
        <w:t xml:space="preserve">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w:t>
      </w:r>
      <w:r>
        <w:rPr>
          <w:rFonts w:ascii="Times New Roman" w:cs="Times New Roman" w:eastAsia="Times New Roman" w:hAnsi="Times New Roman"/>
          <w:sz w:val="22"/>
          <w:szCs w:val="22"/>
          <w:highlight w:val="magenta"/>
        </w:rPr>
        <w:t xml:space="preserve">Each research question therefore has one research activity, and each objective contributes to the framework.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RO1 to RO4 are delivered in this stage,</w:t>
      </w:r>
      <w:r>
        <w:rPr>
          <w:rFonts w:ascii="Times New Roman" w:cs="Times New Roman" w:eastAsia="Times New Roman" w:hAnsi="Times New Roman"/>
          <w:sz w:val="22"/>
          <w:szCs w:val="22"/>
        </w:rPr>
        <w:t xml:space="preserve"> together with their validation and evaluation through the implemented prototype, whereas, as stated in Section 1, RO5 and RO6 are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 </w:t>
      </w:r>
      <w:r>
        <w:rPr>
          <w:rFonts w:ascii="Times New Roman" w:cs="Times New Roman" w:eastAsia="Times New Roman" w:hAnsi="Times New Roman"/>
          <w:sz w:val="22"/>
          <w:szCs w:val="22"/>
          <w:highlight w:val="magenta"/>
        </w:rPr>
        <w:t xml:space="preserve">In the proposed framework, MVC does more than separate data, interfaces, and application logic. It is extended to support a separation</w:t>
      </w:r>
      <w:r>
        <w:rPr>
          <w:rFonts w:ascii="Times New Roman" w:cs="Times New Roman" w:eastAsia="Times New Roman" w:hAnsi="Times New Roman"/>
          <w:sz w:val="22"/>
          <w:szCs w:val="22"/>
        </w:rPr>
        <w:t xml:space="preserve"> between the representation of consent, the interaction of independent stakeholders, and the enforcement of security-critical authorisation decisions. </w:t>
      </w:r>
      <w:r>
        <w:rPr>
          <w:rFonts w:ascii="Times New Roman" w:cs="Times New Roman" w:eastAsia="Times New Roman" w:hAnsi="Times New Roman"/>
          <w:sz w:val="22"/>
          <w:szCs w:val="22"/>
        </w:rPr>
        <w:t xml:space="preserve">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w:t>
      </w:r>
      <w:r>
        <w:rPr>
          <w:rFonts w:ascii="Times New Roman" w:cs="Times New Roman" w:eastAsia="Times New Roman" w:hAnsi="Times New Roman"/>
          <w:sz w:val="22"/>
          <w:szCs w:val="22"/>
          <w:highlight w:val="magenta"/>
        </w:rPr>
        <w:t xml:space="preserve">Instead, the authorisation decision is the result of evaluating independently verifiable security conditions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5.1 describes the layers and their components, Section 5.2 explains where trust is evaluated and where the architectural boundaries lie, Section 5.3 walks through the authorisation workflow, and Section 5.4 maps the architecture to the research objectives.</w:t>
      </w:r>
    </w:p>
    <w:p>
      <w:pPr>
        <w:pStyle w:val="Heading2"/>
        <w:keepNext/>
        <w:spacing w:after="120" w:before="240"/>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bCs/>
          <w:sz w:val="26"/>
          <w:szCs w:val="26"/>
        </w:rPr>
        <w:t xml:space="preserve">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524250"/>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5.1: </w:t>
      </w:r>
      <w:r>
        <w:rPr>
          <w:rFonts w:ascii="Times New Roman" w:cs="Times New Roman" w:eastAsia="Times New Roman" w:hAnsi="Times New Roman"/>
          <w:sz w:val="18"/>
          <w:szCs w:val="18"/>
        </w:rPr>
        <w:t xml:space="preserve">Layered MVC architecture and component decomposition of the HALAH framework</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jurisdictional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5.2: </w:t>
      </w:r>
      <w:r>
        <w:rPr>
          <w:rFonts w:ascii="Times New Roman" w:cs="Times New Roman" w:eastAsia="Times New Roman" w:hAnsi="Times New Roman"/>
          <w:sz w:val="18"/>
          <w:szCs w:val="18"/>
        </w:rPr>
        <w:t xml:space="preserve">Functional decomposition of the MVC components</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performs the Sepolia mint and revoke transactions as a background process. The Model correspondingly contains the ConsentSBTv3 soulbound contract deployed on Sepolia together with the application audit ledger, both of which an independent verification tool reads, as described in Section 11. It should be acknowledged that, in the present prototype, credential verification consists of a structural check that each DID is well formed, and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combines this check with the EIP-712 verification of each listed guardian's signature. The requester's role and jurisdiction are declared in the interface rather than authenticated, and wallet-held signing keys and authenticated verifiable credentials are deferred to the production design.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bCs/>
          <w:sz w:val="26"/>
          <w:szCs w:val="26"/>
        </w:rPr>
        <w:t xml:space="preserve">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 The fifth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(C, R), determines whether the jurisdiction of the request satisfies the recorded jurisdictional constraint of the consent.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rather than within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The integrated decision can therefore be expressed as Equation (3.2).</w:t>
      </w:r>
    </w:p>
    <w:p>
      <w:pPr>
        <w:keepNext/>
        <w:spacing w:after="60" w:before="160"/>
        <w:jc w:val="center"/>
      </w:pPr>
      <w:r>
        <w:drawing>
          <wp:inline distT="0" distB="0" distL="0" distR="0">
            <wp:extent cx="3676650" cy="5334000"/>
            <wp:effectExtent t="0" r="0" b="0" l="0"/>
            <wp:docPr id="1" name="F8.png" descr="Trust predicate evaluation and authorisation decision flow (in the current prototype, VI also checks the EIP-712 signature of each listed guardian, and a refusal for a consent that is not ACTIVE is not recorded)" title="Trust predicate evaluation and authorisation decision flow (in the current prototype, VI also checks the EIP-712 signature of each listed guardian, and a refusal for a consent that is not ACTIVE is not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766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5.3: </w:t>
      </w:r>
      <w:r>
        <w:rPr>
          <w:rFonts w:ascii="Times New Roman" w:cs="Times New Roman" w:eastAsia="Times New Roman" w:hAnsi="Times New Roman"/>
          <w:sz w:val="18"/>
          <w:szCs w:val="18"/>
        </w:rPr>
        <w:t xml:space="preserve">Trust predicate evaluation and authorisation decision flow (in the current prototype, V</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also checks the EIP-712 signature of each listed guardian, and a refusal for a consent that is not ACTIVE is not recorded)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 The Controller does not itself create these trust conditions. Instead, it evaluates evidence represented by the Model and coordinates the resulting decision. </w:t>
      </w:r>
      <w:r>
        <w:rPr>
          <w:rFonts w:ascii="Times New Roman" w:cs="Times New Roman" w:eastAsia="Times New Roman" w:hAnsi="Times New Roman"/>
          <w:sz w:val="22"/>
          <w:szCs w:val="22"/>
          <w:highlight w:val="magenta"/>
        </w:rPr>
        <w:t xml:space="preserve">For the interpretation of the architecture</w:t>
      </w:r>
      <w:r>
        <w:rPr>
          <w:rFonts w:ascii="Times New Roman" w:cs="Times New Roman" w:eastAsia="Times New Roman" w:hAnsi="Times New Roman"/>
          <w:sz w:val="22"/>
          <w:szCs w:val="22"/>
        </w:rPr>
        <w:t xml:space="preserv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w:t>
      </w:r>
    </w:p>
    <w:p>
      <w:pPr>
        <w:pStyle w:val="Heading2"/>
        <w:keepNext/>
        <w:spacing w:after="120" w:before="240"/>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bCs/>
          <w:sz w:val="26"/>
          <w:szCs w:val="26"/>
        </w:rPr>
        <w:t xml:space="preserve">Trust-Oriented Consent Authorisation Workflow</w:t>
      </w:r>
    </w:p>
    <w:p>
      <w:pPr>
        <w:spacing w:after="110" w:line="264"/>
        <w:jc w:val="both"/>
      </w:pPr>
      <w:r>
        <w:rPr>
          <w:rFonts w:ascii="Times New Roman" w:cs="Times New Roman" w:eastAsia="Times New Roman" w:hAnsi="Times New Roman"/>
          <w:sz w:val="22"/>
          <w:szCs w:val="22"/>
        </w:rPr>
        <w:t xml:space="preserve">Figure 5.4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w:t>
      </w:r>
      <w:r>
        <w:rPr>
          <w:rFonts w:ascii="Times New Roman" w:cs="Times New Roman" w:eastAsia="Times New Roman" w:hAnsi="Times New Roman"/>
          <w:sz w:val="22"/>
          <w:szCs w:val="22"/>
          <w:highlight w:val="magenta"/>
        </w:rPr>
        <w:t xml:space="preserve">The framework separates identity authentication from authorisation.</w:t>
      </w:r>
      <w:r>
        <w:rPr>
          <w:rFonts w:ascii="Times New Roman" w:cs="Times New Roman" w:eastAsia="Times New Roman" w:hAnsi="Times New Roman"/>
          <w:sz w:val="22"/>
          <w:szCs w:val="22"/>
        </w:rPr>
        <w:t xml:space="preserve"> A successfully verified DID or VC does not, by itself, grant permission to access patient data. The framework then collects </w:t>
      </w:r>
      <w:r>
        <w:rPr>
          <w:rFonts w:ascii="Times New Roman" w:cs="Times New Roman" w:eastAsia="Times New Roman" w:hAnsi="Times New Roman"/>
          <w:sz w:val="22"/>
          <w:szCs w:val="22"/>
        </w:rPr>
        <w:t xml:space="preserve">the guardians'</w:t>
      </w:r>
      <w:r>
        <w:rPr>
          <w:rFonts w:ascii="Times New Roman" w:cs="Times New Roman" w:eastAsia="Times New Roman" w:hAnsi="Times New Roman"/>
          <w:sz w:val="22"/>
          <w:szCs w:val="22"/>
        </w:rPr>
        <w:t xml:space="preserve"> independent approvals and evaluates whether the predefined authorisation threshold has been satisfied.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sz w:val="22"/>
          <w:szCs w:val="22"/>
        </w:rPr>
        <w:t xml:space="preserve">guardians whose approvals have been verified</w:t>
      </w:r>
      <w:r>
        <w:rPr>
          <w:rFonts w:ascii="Times New Roman" w:cs="Times New Roman" w:eastAsia="Times New Roman" w:hAnsi="Times New Roman"/>
          <w:sz w:val="22"/>
          <w:szCs w:val="22"/>
        </w:rPr>
        <w:t xml:space="preserve"> and let N denote the required authorisation threshold, as in Equation (5.1). Here, Token(C) ≠ ∅ means that C has been assigned a token identifier, and Revoked(C) = 0 means that the consent has not been revoked.</w:t>
      </w:r>
    </w:p>
    <w:p>
      <w:pPr>
        <w:keepNext/>
        <w:spacing w:after="60" w:before="160"/>
        <w:jc w:val="center"/>
      </w:pPr>
      <w:r>
        <w:drawing>
          <wp:inline distT="0" distB="0" distL="0" distR="0">
            <wp:extent cx="3305175" cy="533400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051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5.4: </w:t>
      </w:r>
      <w:r>
        <w:rPr>
          <w:rFonts w:ascii="Times New Roman" w:cs="Times New Roman" w:eastAsia="Times New Roman" w:hAnsi="Times New Roman"/>
          <w:sz w:val="18"/>
          <w:szCs w:val="18"/>
        </w:rPr>
        <w:t xml:space="preserve">End-to-end workflow of the trust-oriented consent authorisation framework</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(5.1)</w:t>
      </w:r>
    </w:p>
    <w:p>
      <w:pPr>
        <w:spacing w:after="110" w:line="264"/>
        <w:jc w:val="both"/>
      </w:pPr>
      <w:r>
        <w:rPr>
          <w:rFonts w:ascii="Times New Roman" w:cs="Times New Roman" w:eastAsia="Times New Roman" w:hAnsi="Times New Roman"/>
          <w:sz w:val="22"/>
          <w:szCs w:val="22"/>
        </w:rPr>
        <w:t xml:space="preserve">Only independently verified participants can contribute to the </w:t>
      </w:r>
      <w:r>
        <w:rPr>
          <w:rFonts w:ascii="Times New Roman" w:cs="Times New Roman" w:eastAsia="Times New Roman" w:hAnsi="Times New Roman"/>
          <w:sz w:val="22"/>
          <w:szCs w:val="22"/>
        </w:rPr>
        <w:t xml:space="preserve">set of verified approving guardians</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as defined in Equation (5.2), where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denotes the set of approvals submitted for C. </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therefore contains each member of G at most once, and an approval from a signer outside G does not enter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w:t>
      </w:r>
      <w:r>
        <w:rPr>
          <w:rFonts w:ascii="Times New Roman" w:cs="Times New Roman" w:eastAsia="Times New Roman" w:hAnsi="Times New Roman"/>
          <w:sz w:val="22"/>
          <w:szCs w:val="22"/>
        </w:rPr>
        <w:t xml:space="preserve">a registration-time co-consent, a documentation-time gate on guardian access, an institution-side admission gate, a custodial M-of-N signature, a key-share reconstruction, or a threshold proxy re-encryption.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{g ∈ G | ∃ a</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 ∈ A</w:t>
      </w:r>
      <w:r>
        <w:rPr>
          <w:rFonts w:ascii="Cambria Math" w:cs="Cambria Math" w:eastAsia="Cambria Math" w:hAnsi="Cambria Math"/>
          <w:i w:val="false"/>
          <w:iCs w:val="false"/>
          <w:sz w:val="18"/>
          <w:szCs w:val="18"/>
          <w:vertAlign w:val="subscript"/>
        </w:rPr>
        <w:t xml:space="preserve">s</w:t>
      </w:r>
      <w:r>
        <w:rPr>
          <w:rFonts w:ascii="Cambria Math" w:cs="Cambria Math" w:eastAsia="Cambria Math" w:hAnsi="Cambria Math"/>
          <w:i w:val="false"/>
          <w:iCs w:val="false"/>
          <w:sz w:val="18"/>
          <w:szCs w:val="18"/>
        </w:rPr>
        <w:t xml:space="preserve"> submitted by g with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w:t>
      </w:r>
      <w:r>
        <w:rPr>
          <w:rFonts w:ascii="Cambria Math" w:cs="Cambria Math" w:eastAsia="Cambria Math" w:hAnsi="Cambria Math"/>
          <w:i w:val="false"/>
          <w:iCs w:val="false"/>
          <w:sz w:val="18"/>
          <w:szCs w:val="18"/>
        </w:rPr>
        <w:t xml:space="preserve">g</w:t>
      </w:r>
      <w:r>
        <w:rPr>
          <w:rFonts w:ascii="Cambria Math" w:cs="Cambria Math" w:eastAsia="Cambria Math" w:hAnsi="Cambria Math"/>
          <w:i w:val="false"/>
          <w:iCs w:val="false"/>
          <w:sz w:val="18"/>
          <w:szCs w:val="18"/>
        </w:rPr>
        <w:t xml:space="preserve">) = 1}.</w:t>
      </w:r>
      <w:r>
        <w:rPr>
          <w:rFonts w:ascii="Times New Roman" w:cs="Times New Roman" w:eastAsia="Times New Roman" w:hAnsi="Times New Roman"/>
          <w:sz w:val="22"/>
          <w:szCs w:val="22"/>
        </w:rPr>
        <w:t xml:space="preserve">	(5.2)</w:t>
      </w:r>
    </w:p>
    <w:p>
      <w:pPr>
        <w:spacing w:after="110" w:line="264"/>
        <w:jc w:val="both"/>
      </w:pPr>
      <w:r>
        <w:rPr>
          <w:rFonts w:ascii="Times New Roman" w:cs="Times New Roman" w:eastAsia="Times New Roman" w:hAnsi="Times New Roman"/>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 The temporal check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the jurisdictional check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are then evaluated, a Groth16 proof is generated and verified before access is granted, and the audit evidence is recorded. </w:t>
      </w:r>
      <w:r>
        <w:rPr>
          <w:rFonts w:ascii="Times New Roman" w:cs="Times New Roman" w:eastAsia="Times New Roman" w:hAnsi="Times New Roman"/>
          <w:sz w:val="22"/>
          <w:szCs w:val="22"/>
        </w:rPr>
        <w:t xml:space="preserve">Beyond the access decision shown in Figure 5.4, the prototype continues</w:t>
      </w:r>
      <w:r>
        <w:rPr>
          <w:rFonts w:ascii="Times New Roman" w:cs="Times New Roman" w:eastAsia="Times New Roman" w:hAnsi="Times New Roman"/>
          <w:sz w:val="22"/>
          <w:szCs w:val="22"/>
        </w:rPr>
        <w:t xml:space="preserve"> through patient-initiated revocation and the corresponding on-chain revoke transaction, after which the auditor reviews the record and the verification tool performs an independent verification. </w:t>
      </w:r>
      <w:r>
        <w:rPr>
          <w:rFonts w:ascii="Times New Roman" w:cs="Times New Roman" w:eastAsia="Times New Roman" w:hAnsi="Times New Roman"/>
          <w:sz w:val="22"/>
          <w:szCs w:val="22"/>
        </w:rPr>
        <w:t xml:space="preserve">If the required threshold is not satisfied, the consent remains pending, and any access request made against it is denied.</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w:t>
      </w:r>
      <w:r>
        <w:rPr>
          <w:rFonts w:ascii="Times New Roman" w:cs="Times New Roman" w:eastAsia="Times New Roman" w:hAnsi="Times New Roman"/>
          <w:sz w:val="22"/>
          <w:szCs w:val="22"/>
          <w:highlight w:val="magenta"/>
        </w:rPr>
        <w:t xml:space="preserve">This step addresses a limitation of identity-based and approval-based access control:</w:t>
      </w:r>
      <w:r>
        <w:rPr>
          <w:rFonts w:ascii="Times New Roman" w:cs="Times New Roman" w:eastAsia="Times New Roman" w:hAnsi="Times New Roman"/>
          <w:sz w:val="22"/>
          <w:szCs w:val="22"/>
        </w:rPr>
        <w:t xml:space="preserve">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w:t>
      </w:r>
      <w:r>
        <w:rPr>
          <w:rFonts w:ascii="Times New Roman" w:cs="Times New Roman" w:eastAsia="Times New Roman" w:hAnsi="Times New Roman"/>
          <w:sz w:val="22"/>
          <w:szCs w:val="22"/>
        </w:rPr>
        <w:t xml:space="preserve">Similarly, the purpose must be a supported healthcare use. The full design also requires the requested purpose to match the purpose recorded in the consent, which the prototype does not yet compare, as Section 9.4 explains.</w:t>
      </w:r>
      <w:r>
        <w:rPr>
          <w:rFonts w:ascii="Times New Roman" w:cs="Times New Roman" w:eastAsia="Times New Roman" w:hAnsi="Times New Roman"/>
          <w:sz w:val="22"/>
          <w:szCs w:val="22"/>
        </w:rPr>
        <w:t xml:space="preserve">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and, in the prototype, a denial against an ACTIVE consent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bCs/>
          <w:sz w:val="26"/>
          <w:szCs w:val="26"/>
        </w:rPr>
        <w:t xml:space="preserve">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is</w:t>
      </w:r>
      <w:r>
        <w:rPr>
          <w:rFonts w:ascii="Times New Roman" w:cs="Times New Roman" w:eastAsia="Times New Roman" w:hAnsi="Times New Roman"/>
          <w:sz w:val="22"/>
          <w:szCs w:val="22"/>
        </w:rPr>
        <w:t xml:space="preserve"> evaluated by the Controller before an access decision is produced</w:t>
      </w:r>
      <w:r>
        <w:rPr>
          <w:rFonts w:ascii="Times New Roman" w:cs="Times New Roman" w:eastAsia="Times New Roman" w:hAnsi="Times New Roman"/>
          <w:sz w:val="22"/>
          <w:szCs w:val="22"/>
        </w:rPr>
        <w:t xml:space="preserve">, and the jurisdiction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of RO4 is evaluated in the same step</w:t>
      </w:r>
      <w:r>
        <w:rPr>
          <w:rFonts w:ascii="Times New Roman" w:cs="Times New Roman" w:eastAsia="Times New Roman" w:hAnsi="Times New Roman"/>
          <w:sz w:val="22"/>
          <w:szCs w:val="22"/>
        </w:rPr>
        <w:t xml:space="preserve">.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5.1: </w:t>
      </w:r>
      <w:r>
        <w:rPr>
          <w:rFonts w:ascii="Times New Roman" w:cs="Times New Roman" w:eastAsia="Times New Roman" w:hAnsi="Times New Roman"/>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w:t>
            </w:r>
            <w:r>
              <w:rPr>
                <w:rFonts w:ascii="Times New Roman" w:cs="Times New Roman" w:eastAsia="Times New Roman" w:hAnsi="Times New Roman"/>
                <w:b w:val="false"/>
                <w:bCs w:val="false"/>
                <w:sz w:val="17"/>
                <w:szCs w:val="17"/>
              </w:rPr>
              <w:t xml:space="preserve">evaluate</w:t>
            </w:r>
            <w:r>
              <w:rPr>
                <w:rFonts w:ascii="Times New Roman" w:cs="Times New Roman" w:eastAsia="Times New Roman" w:hAnsi="Times New Roman"/>
                <w:b w:val="false"/>
                <w:bCs w:val="false"/>
                <w:sz w:val="17"/>
                <w:szCs w:val="17"/>
              </w:rPr>
              <w:t xml:space="preserve">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highlight w:val="magenta"/>
        </w:rPr>
        <w:t xml:space="preserve">The contribution of the proposed architecture is the way MVC is used to carry a trust-oriented authorisation model, not the use of MVC itself.</w:t>
      </w:r>
      <w:r>
        <w:rPr>
          <w:rFonts w:ascii="Times New Roman" w:cs="Times New Roman" w:eastAsia="Times New Roman" w:hAnsi="Times New Roman"/>
          <w:sz w:val="22"/>
          <w:szCs w:val="22"/>
        </w:rPr>
        <w:t xml:space="preserve">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jurisdictional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rPr>
          <w:rFonts w:ascii="Times New Roman" w:cs="Times New Roman" w:eastAsia="Times New Roman" w:hAnsi="Times New Roman"/>
          <w:sz w:val="22"/>
          <w:szCs w:val="22"/>
        </w:rPr>
        <w:t xml:space="preserve">remains for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section presents the solution for RO1, the consent object on which the other objectives build.</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pPr>
        <w:pStyle w:val="Heading2"/>
        <w:keepNext/>
        <w:spacing w:after="120" w:before="240"/>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bCs/>
          <w:sz w:val="26"/>
          <w:szCs w:val="26"/>
        </w:rPr>
        <w:t xml:space="preserve">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(6.1)</w:t>
      </w:r>
    </w:p>
    <w:p>
      <w:pPr>
        <w:spacing w:after="110" w:line="264"/>
        <w:jc w:val="both"/>
      </w:pPr>
      <w:r>
        <w:rPr>
          <w:rFonts w:ascii="Times New Roman" w:cs="Times New Roman" w:eastAsia="Times New Roman" w:hAnsi="Times New Roman"/>
          <w:sz w:val="22"/>
          <w:szCs w:val="22"/>
        </w:rPr>
        <w:t xml:space="preserve">In Equation (6.1), I represents patient and participant identity information, A represents authorisation requirements, P represents policy constraints, and E represents authorisation evidence. T represents the temporal validity window, and L represents the jurisdiction in which the consent may be exercised.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bCs/>
          <w:sz w:val="26"/>
          <w:szCs w:val="26"/>
        </w:rPr>
        <w:t xml:space="preserve">Consent Creation Workflow</w:t>
      </w:r>
    </w:p>
    <w:p>
      <w:pPr>
        <w:spacing w:after="110" w:line="264"/>
        <w:jc w:val="both"/>
      </w:pPr>
      <w:r>
        <w:rPr>
          <w:rFonts w:ascii="Times New Roman" w:cs="Times New Roman" w:eastAsia="Times New Roman" w:hAnsi="Times New Roman"/>
          <w:sz w:val="22"/>
          <w:szCs w:val="22"/>
        </w:rPr>
        <w:t xml:space="preserve">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762250" cy="5334000"/>
            <wp:effectExtent t="0" r="0" b="0" l="0"/>
            <wp:docPr id="1" name="F10.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6.1: </w:t>
      </w:r>
      <w:r>
        <w:rPr>
          <w:rFonts w:ascii="Times New Roman" w:cs="Times New Roman" w:eastAsia="Times New Roman" w:hAnsi="Times New Roman"/>
          <w:sz w:val="18"/>
          <w:szCs w:val="18"/>
        </w:rPr>
        <w:t xml:space="preserve">RO1 workflow for trust-centric consent creation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The declared jurisdiction L is validated as a well-formed ISO alpha-2 territory code, AU in the demonstrated transactions, and is bound to the consent object at creation because the subsequent access decision is evaluated against it.</w:t>
      </w:r>
    </w:p>
    <w:p>
      <w:pPr>
        <w:pStyle w:val="Heading2"/>
        <w:keepNext/>
        <w:spacing w:after="120" w:before="240"/>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bCs/>
          <w:sz w:val="26"/>
          <w:szCs w:val="26"/>
        </w:rPr>
        <w:t xml:space="preserve">Structure of the Consent Object</w:t>
      </w:r>
    </w:p>
    <w:p>
      <w:pPr>
        <w:spacing w:after="110" w:line="264"/>
        <w:jc w:val="both"/>
      </w:pPr>
      <w:r>
        <w:rPr>
          <w:rFonts w:ascii="Times New Roman" w:cs="Times New Roman" w:eastAsia="Times New Roman" w:hAnsi="Times New Roman"/>
          <w:sz w:val="22"/>
          <w:szCs w:val="22"/>
        </w:rPr>
        <w:t xml:space="preserve">Figure 6.2 shows how the validated information is combined to construct the consent object. </w:t>
      </w:r>
      <w:r>
        <w:rPr>
          <w:rFonts w:ascii="Times New Roman" w:cs="Times New Roman" w:eastAsia="Times New Roman" w:hAnsi="Times New Roman"/>
          <w:sz w:val="22"/>
          <w:szCs w:val="22"/>
          <w:highlight w:val="magenta"/>
        </w:rPr>
        <w:t xml:space="preserve">The resulting object therefore captures the patient's preference and the evidence needed for later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title="Six-component consent model C = (I, A, P, T, L, E) with the content and supplier of each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6.2: </w:t>
      </w:r>
      <w:r>
        <w:rPr>
          <w:rFonts w:ascii="Times New Roman" w:cs="Times New Roman" w:eastAsia="Times New Roman" w:hAnsi="Times New Roman"/>
          <w:sz w:val="18"/>
          <w:szCs w:val="18"/>
        </w:rPr>
        <w:t xml:space="preserve">Six-component consent model C = (I, A, P, T, L, E) with the content and supplier of each component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 Unlike the consent objects reported in the literature, this object carries the guardian set and threshold together with the purpose, data scope, validity interval, jurisdiction, and lifecycle state.</w:t>
      </w:r>
    </w:p>
    <w:p>
      <w:pPr>
        <w:pStyle w:val="Heading2"/>
        <w:keepNext/>
        <w:spacing w:after="120" w:before="240"/>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bCs/>
          <w:sz w:val="26"/>
          <w:szCs w:val="26"/>
        </w:rPr>
        <w:t xml:space="preserve">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 The system validates the designated doctor D. </w:t>
      </w:r>
      <w:r>
        <w:rPr>
          <w:rFonts w:ascii="Times New Roman" w:cs="Times New Roman" w:eastAsia="Times New Roman" w:hAnsi="Times New Roman"/>
          <w:sz w:val="22"/>
          <w:szCs w:val="22"/>
        </w:rPr>
        <w:t xml:space="preserve">The system then validates the guardian set G, which must </w:t>
      </w:r>
      <w:r>
        <w:rPr>
          <w:rFonts w:ascii="Times New Roman" w:cs="Times New Roman" w:eastAsia="Times New Roman" w:hAnsi="Times New Roman"/>
          <w:sz w:val="22"/>
          <w:szCs w:val="22"/>
        </w:rPr>
        <w:t xml:space="preserve">be non-empty, and every guardian in it must have a well-formed DID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step prevents an arbitrary third party from being treated as an authorised representative of the patient.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 The </w:t>
      </w:r>
      <w:r>
        <w:rPr>
          <w:rFonts w:ascii="Times New Roman" w:cs="Times New Roman" w:eastAsia="Times New Roman" w:hAnsi="Times New Roman"/>
          <w:sz w:val="22"/>
          <w:szCs w:val="22"/>
        </w:rPr>
        <w:t xml:space="preserve">authorised</w:t>
      </w:r>
      <w:r>
        <w:rPr>
          <w:rFonts w:ascii="Times New Roman" w:cs="Times New Roman" w:eastAsia="Times New Roman" w:hAnsi="Times New Roman"/>
          <w:sz w:val="22"/>
          <w:szCs w:val="22"/>
        </w:rPr>
        <w:t xml:space="preserve">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 The scope may represent specific resource categories, </w:t>
      </w:r>
      <w:r>
        <w:rPr>
          <w:rFonts w:ascii="Times New Roman" w:cs="Times New Roman" w:eastAsia="Times New Roman" w:hAnsi="Times New Roman"/>
          <w:sz w:val="22"/>
          <w:szCs w:val="22"/>
        </w:rPr>
        <w:t xml:space="preserve">such as observations, medications, conditions, or procedures, which are the modules used in the prototype.</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associated with the creation event. The overall procedure can therefore be represented as a sequential trust establishment process that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 → G →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T → L → A →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C → E. </w:t>
      </w:r>
      <w:r>
        <w:rPr>
          <w:rFonts w:ascii="Times New Roman" w:cs="Times New Roman" w:eastAsia="Times New Roman" w:hAnsi="Times New Roman"/>
          <w:sz w:val="22"/>
          <w:szCs w:val="22"/>
          <w:highlight w:val="magenta"/>
        </w:rPr>
        <w:t xml:space="preserve">Consent is therefore created only after the identity, authority, purpose, scope, and temporal fields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6.1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validity interval T, jurisdiction L</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Validate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in the prototype, D is checked for DID format only at the access decision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 any member of G is invalid,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is invalid, or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Validate jurisdiction L and define authorisation requirement A</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sz w:val="19"/>
          <w:szCs w:val="19"/>
        </w:rPr>
        <w:t xml:space="preserve">Construct C = (I, A, P, T, L, E)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where I holds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and D, A holds G and the threshold N = |G|, and P holds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S</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state ← PENDING_SIGNATURE   ▷ nothing is anchored on-chain until all guardians approve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Persist 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consent creation evidence</w:t>
      </w:r>
    </w:p>
    <w:p>
      <w:pPr>
        <w:keepNext w:val="false"/>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6.1 formalises the creation process. The algorithm does not grant data access directly. Instead, it creates a consent object that can later be evaluated by the authorisation mechanism. </w:t>
      </w:r>
      <w:r>
        <w:rPr>
          <w:rFonts w:ascii="Times New Roman" w:cs="Times New Roman" w:eastAsia="Times New Roman" w:hAnsi="Times New Roman"/>
          <w:sz w:val="22"/>
          <w:szCs w:val="22"/>
        </w:rPr>
        <w:t xml:space="preserve"> The consent is placed in the PENDING_SIGNATURE state,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 </w:t>
      </w:r>
      <w:r>
        <w:rPr>
          <w:rFonts w:ascii="Times New Roman" w:cs="Times New Roman" w:eastAsia="Times New Roman" w:hAnsi="Times New Roman"/>
          <w:sz w:val="22"/>
          <w:szCs w:val="22"/>
          <w:highlight w:val="magenta"/>
        </w:rPr>
        <w:t xml:space="preserve">The main contribution of RO1 is that consent is represented as an evaluable authorisation object rather than as a binary permission.</w:t>
      </w:r>
      <w:r>
        <w:rPr>
          <w:rFonts w:ascii="Times New Roman" w:cs="Times New Roman" w:eastAsia="Times New Roman" w:hAnsi="Times New Roman"/>
          <w:sz w:val="22"/>
          <w:szCs w:val="22"/>
        </w:rPr>
        <w:t xml:space="preserve"> In the current prototype, the identity validation of the first three steps is structural. In particular, the patient DID is selected from the loaded record set, and each guardian DID must be a well-formed DID before the consent is stored, whereas the doctor DID is checked for DID format only when the access decision is evaluated, as qualified in Section 7. The validation evidence for consent creation, including the demonstration scenarios and the unit-level tests, is presented in Section 11. </w:t>
      </w:r>
      <w:r>
        <w:rPr>
          <w:rFonts w:ascii="Times New Roman" w:cs="Times New Roman" w:eastAsia="Times New Roman" w:hAnsi="Times New Roman"/>
          <w:sz w:val="22"/>
          <w:szCs w:val="22"/>
        </w:rPr>
        <w:t xml:space="preserve">The next section presents the solution for RO2, which verifies who the participants are and what authority they hold.</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pPr>
        <w:pStyle w:val="Heading2"/>
        <w:keepNext/>
        <w:spacing w:after="120" w:before="240"/>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bCs/>
          <w:sz w:val="26"/>
          <w:szCs w:val="26"/>
        </w:rPr>
        <w:t xml:space="preserve">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(7.1)</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w:t>
      </w:r>
      <w:r>
        <w:rPr>
          <w:rFonts w:ascii="Times New Roman" w:cs="Times New Roman" w:eastAsia="Times New Roman" w:hAnsi="Times New Roman"/>
          <w:sz w:val="22"/>
          <w:szCs w:val="22"/>
        </w:rPr>
        <w:t xml:space="preserve"> In the current prototype this check is structural, as Section 7.4 explains.</w:t>
      </w:r>
      <w:r>
        <w:rPr>
          <w:rFonts w:ascii="Times New Roman" w:cs="Times New Roman" w:eastAsia="Times New Roman" w:hAnsi="Times New Roman"/>
          <w:sz w:val="22"/>
          <w:szCs w:val="22"/>
        </w:rPr>
        <w:t xml:space="preserve"> The VC verification process establishes whether the participant possesses valid authority evidence.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VerifyDID(u) ∧ VerifyVC(u) ∧ Authority(u, C).</w:t>
      </w:r>
      <w:r>
        <w:rPr>
          <w:rFonts w:ascii="Times New Roman" w:cs="Times New Roman" w:eastAsia="Times New Roman" w:hAnsi="Times New Roman"/>
          <w:sz w:val="22"/>
          <w:szCs w:val="22"/>
        </w:rPr>
        <w:t xml:space="preserve">	(7.2)</w:t>
      </w:r>
    </w:p>
    <w:p>
      <w:pPr>
        <w:pStyle w:val="Heading2"/>
        <w:keepNext/>
        <w:spacing w:after="120" w:before="240"/>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bCs/>
          <w:sz w:val="26"/>
          <w:szCs w:val="26"/>
        </w:rPr>
        <w:t xml:space="preserve">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pPr>
        <w:keepNext/>
        <w:spacing w:after="60" w:before="160"/>
        <w:jc w:val="center"/>
      </w:pPr>
      <w:r>
        <w:drawing>
          <wp:inline distT="0" distB="0" distL="0" distR="0">
            <wp:extent cx="3581400" cy="5334000"/>
            <wp:effectExtent t="0" r="0" b="0" l="0"/>
            <wp:docPr id="1" name="F12.png" descr="RO2 workflow for decentralised identity and authority verification (target design; the current prototype performs a DID-format check and EIP-712 signature recovery)" title="RO2 workflow for decentralised identity and authority verification (target design; the current prototype performs a DID-format check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8140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7.1: </w:t>
      </w:r>
      <w:r>
        <w:rPr>
          <w:rFonts w:ascii="Times New Roman" w:cs="Times New Roman" w:eastAsia="Times New Roman" w:hAnsi="Times New Roman"/>
          <w:sz w:val="18"/>
          <w:szCs w:val="18"/>
        </w:rPr>
        <w:t xml:space="preserve">RO2 workflow for decentralised identity and authority verification (target design</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the current prototype performs a DID-format check and EIP-712 signature recovery)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bCs/>
          <w:sz w:val="26"/>
          <w:szCs w:val="26"/>
        </w:rPr>
        <w:t xml:space="preserve">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In the target design, the credential can be considered valid only when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Sig</w:t>
      </w:r>
      <w:r>
        <w:rPr>
          <w:rFonts w:ascii="Times New Roman" w:cs="Times New Roman" w:eastAsia="Times New Roman" w:hAnsi="Times New Roman"/>
          <w:sz w:val="22"/>
          <w:szCs w:val="22"/>
          <w:vertAlign w:val="subscript"/>
        </w:rPr>
        <w:t xml:space="preserve">VC</w:t>
      </w:r>
      <w:r>
        <w:rPr>
          <w:rFonts w:ascii="Times New Roman" w:cs="Times New Roman" w:eastAsia="Times New Roman" w:hAnsi="Times New Roman"/>
          <w:sz w:val="22"/>
          <w:szCs w:val="22"/>
        </w:rPr>
        <w:t xml:space="preserve"> ∧ Issuer</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Subject</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Time</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 </w:t>
      </w:r>
      <w:r>
        <w:rPr>
          <w:rFonts w:ascii="Times New Roman" w:cs="Times New Roman" w:eastAsia="Times New Roman" w:hAnsi="Times New Roman"/>
          <w:sz w:val="22"/>
          <w:szCs w:val="22"/>
        </w:rPr>
        <w:t xml:space="preserve"> The system establishes the binding between the verified participant identity and the corresponding authority, thereby reducing the possibility of an unrelated credential being used to obtain access. Consequently, the procedure can be interpreted as a </w:t>
      </w:r>
      <w:r>
        <w:rPr>
          <w:rFonts w:ascii="Times New Roman" w:cs="Times New Roman" w:eastAsia="Times New Roman" w:hAnsi="Times New Roman"/>
          <w:sz w:val="22"/>
          <w:szCs w:val="22"/>
        </w:rPr>
        <w:t xml:space="preserve">two-layer verification mechanism, VerifyDID(u) ∧ VerifyVC(u) ∧ Authority(u, C)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where VALID corresponds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and INVALID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0.</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 The overall verification process can therefore be represented as DID</w:t>
      </w:r>
      <w:r>
        <w:rPr>
          <w:rFonts w:ascii="Times New Roman" w:cs="Times New Roman" w:eastAsia="Times New Roman" w:hAnsi="Times New Roman"/>
          <w:sz w:val="22"/>
          <w:szCs w:val="22"/>
          <w:vertAlign w:val="subscript"/>
        </w:rPr>
        <w:t xml:space="preserve">resolve</w:t>
      </w:r>
      <w:r>
        <w:rPr>
          <w:rFonts w:ascii="Times New Roman" w:cs="Times New Roman" w:eastAsia="Times New Roman" w:hAnsi="Times New Roman"/>
          <w:sz w:val="22"/>
          <w:szCs w:val="22"/>
        </w:rPr>
        <w:t xml:space="preserve"> → DID</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retrieve</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Claims</w:t>
      </w:r>
      <w:r>
        <w:rPr>
          <w:rFonts w:ascii="Times New Roman" w:cs="Times New Roman" w:eastAsia="Times New Roman" w:hAnsi="Times New Roman"/>
          <w:sz w:val="22"/>
          <w:szCs w:val="22"/>
          <w:vertAlign w:val="subscript"/>
        </w:rPr>
        <w:t xml:space="preserve">extract</w:t>
      </w:r>
      <w:r>
        <w:rPr>
          <w:rFonts w:ascii="Times New Roman" w:cs="Times New Roman" w:eastAsia="Times New Roman" w:hAnsi="Times New Roman"/>
          <w:sz w:val="22"/>
          <w:szCs w:val="22"/>
        </w:rPr>
        <w:t xml:space="preserve"> → Authority</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Evidence</w:t>
      </w:r>
      <w:r>
        <w:rPr>
          <w:rFonts w:ascii="Times New Roman" w:cs="Times New Roman" w:eastAsia="Times New Roman" w:hAnsi="Times New Roman"/>
          <w:sz w:val="22"/>
          <w:szCs w:val="22"/>
          <w:vertAlign w:val="subscript"/>
        </w:rPr>
        <w:t xml:space="preserve">record</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w:t>
      </w:r>
    </w:p>
    <w:p>
      <w:pPr>
        <w:spacing w:after="110" w:line="264"/>
        <w:jc w:val="both"/>
      </w:pPr>
      <w:r>
        <w:rPr>
          <w:rFonts w:ascii="Times New Roman" w:cs="Times New Roman" w:eastAsia="Times New Roman" w:hAnsi="Times New Roman"/>
          <w:sz w:val="22"/>
          <w:szCs w:val="22"/>
        </w:rPr>
        <w:t xml:space="preserve">Algorithm 7.1 formalises the procedure.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7.1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Verification result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{VALID, INVALID}, where VALID corresponds to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1</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Resolve DID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Verify DID document and associated identity information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Retrieve VC associated with u</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Verify VC signature, issuer, subject, and validity</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Extract role and authority claims from VC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Record identity and authority verification evidence</w:t>
      </w:r>
    </w:p>
    <w:p>
      <w:pPr>
        <w:keepNext w:val="false"/>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7.1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w:t>
      </w:r>
      <w:r>
        <w:rPr>
          <w:rFonts w:ascii="Times New Roman" w:cs="Times New Roman" w:eastAsia="Times New Roman" w:hAnsi="Times New Roman"/>
          <w:sz w:val="22"/>
          <w:szCs w:val="22"/>
          <w:highlight w:val="magenta"/>
        </w:rPr>
        <w:t xml:space="preserve">This mechanism turns identity and authority claims into verifiable evidence.</w:t>
      </w:r>
      <w:r>
        <w:rPr>
          <w:rFonts w:ascii="Times New Roman" w:cs="Times New Roman" w:eastAsia="Times New Roman" w:hAnsi="Times New Roman"/>
          <w:sz w:val="22"/>
          <w:szCs w:val="22"/>
        </w:rPr>
        <w:t xml:space="preserve"> However, it does not independently establish collective consent or policy compliance.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access a particular patient's data.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in the current prototype combines a structural DID and credential-format check with EIP-712 verification of the signature of each listed guardian, and its outcome is recorded in the audit ledger. The condition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therefore defines the target verification model rather than the behaviour presently exercised by the demonstration. The doctor is not independently authenticated at consent creation, because the doctor DID is checked for DID format only when the access decision is evaluated. Cryptographic DID resolution against a registry, cryptographic validation of verifiable credentials, and authentication of the requester are acknowledged limitations reserved for the next stage. The validation evidence for RO2, including the scenarios and the unit-level adversarial tests, is presented in Section 11. </w:t>
      </w:r>
      <w:r>
        <w:rPr>
          <w:rFonts w:ascii="Times New Roman" w:cs="Times New Roman" w:eastAsia="Times New Roman" w:hAnsi="Times New Roman"/>
          <w:sz w:val="22"/>
          <w:szCs w:val="22"/>
        </w:rPr>
        <w:t xml:space="preserve">The next section presents the solution for RO3, the multi-party approval of the consent.</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w:t>
      </w:r>
      <w:r>
        <w:rPr>
          <w:rFonts w:ascii="Times New Roman" w:cs="Times New Roman" w:eastAsia="Times New Roman" w:hAnsi="Times New Roman"/>
          <w:sz w:val="22"/>
          <w:szCs w:val="22"/>
        </w:rPr>
        <w:t xml:space="preserve">Section 8.1 defines the threshold condition, Section 8.2 shows the multi-party authorisation workflow, Section 8.3 gives the procedure and the algorithm, and Section 8.4 states the outcome of RO3.</w:t>
      </w:r>
    </w:p>
    <w:p>
      <w:pPr>
        <w:pStyle w:val="Heading2"/>
        <w:keepNext/>
        <w:spacing w:after="120" w:before="240"/>
      </w:pPr>
      <w:r>
        <w:rPr>
          <w:rFonts w:ascii="Times New Roman" w:cs="Times New Roman" w:eastAsia="Times New Roman" w:hAnsi="Times New Roman"/>
          <w:b/>
          <w:bCs/>
          <w:sz w:val="26"/>
          <w:szCs w:val="26"/>
        </w:rPr>
        <w:t xml:space="preserve">8.1  </w:t>
      </w:r>
      <w:r>
        <w:rPr>
          <w:rFonts w:ascii="Times New Roman" w:cs="Times New Roman" w:eastAsia="Times New Roman" w:hAnsi="Times New Roman"/>
          <w:b/>
          <w:bCs/>
          <w:sz w:val="26"/>
          <w:szCs w:val="26"/>
        </w:rPr>
        <w:t xml:space="preserve">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w:t>
      </w:r>
      <w:r>
        <w:rPr>
          <w:rFonts w:ascii="Times New Roman" w:cs="Times New Roman" w:eastAsia="Times New Roman" w:hAnsi="Times New Roman"/>
          <w:sz w:val="22"/>
          <w:szCs w:val="22"/>
        </w:rPr>
        <w:t xml:space="preserve">approving guardians</w:t>
      </w:r>
      <w:r>
        <w:rPr>
          <w:rFonts w:ascii="Times New Roman" w:cs="Times New Roman" w:eastAsia="Times New Roman" w:hAnsi="Times New Roman"/>
          <w:sz w:val="22"/>
          <w:szCs w:val="22"/>
        </w:rPr>
        <w:t xml:space="preserve"> and N represent the required approval threshold. The authorisation condition can then be represented as Equation (8.1),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(8.1)</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 For example, a consent may require two valid guardian approvals. In this case, one valid approval is insufficient, whereas two valid approvals satisfy the threshold. </w:t>
      </w:r>
      <w:r>
        <w:rPr>
          <w:rFonts w:ascii="Times New Roman" w:cs="Times New Roman" w:eastAsia="Times New Roman" w:hAnsi="Times New Roman"/>
          <w:sz w:val="22"/>
          <w:szCs w:val="22"/>
          <w:highlight w:val="magenta"/>
        </w:rPr>
        <w:t xml:space="preserve">Decentralised identity systems with multi-party verification strengthen the way identity claims are established and validated</w:t>
      </w:r>
      <w:r>
        <w:rPr>
          <w:rFonts w:ascii="Times New Roman" w:cs="Times New Roman" w:eastAsia="Times New Roman" w:hAnsi="Times New Roman"/>
          <w:sz w:val="22"/>
          <w:szCs w:val="22"/>
        </w:rPr>
        <w:t xml:space="preserve">.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w:t>
      </w:r>
      <w:r>
        <w:rPr>
          <w:rFonts w:ascii="Times New Roman" w:cs="Times New Roman" w:eastAsia="Times New Roman" w:hAnsi="Times New Roman"/>
          <w:b/>
          <w:bCs/>
          <w:sz w:val="26"/>
          <w:szCs w:val="26"/>
        </w:rPr>
        <w:t xml:space="preserve">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w:t>
      </w:r>
    </w:p>
    <w:p>
      <w:pPr>
        <w:keepNext/>
        <w:spacing w:after="60" w:before="160"/>
        <w:jc w:val="center"/>
      </w:pPr>
      <w:r>
        <w:drawing>
          <wp:inline distT="0" distB="0" distL="0" distR="0">
            <wp:extent cx="3476625" cy="5334000"/>
            <wp:effectExtent t="0" r="0" b="0" l="0"/>
            <wp:docPr id="1" name="F13.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766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8.1: </w:t>
      </w:r>
      <w:r>
        <w:rPr>
          <w:rFonts w:ascii="Times New Roman" w:cs="Times New Roman" w:eastAsia="Times New Roman" w:hAnsi="Times New Roman"/>
          <w:sz w:val="18"/>
          <w:szCs w:val="18"/>
        </w:rPr>
        <w:t xml:space="preserve">RO3 workflow for threshold-based multi-party authorisation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pPr>
        <w:spacing w:after="110" w:line="264"/>
        <w:jc w:val="both"/>
      </w:pPr>
      <w:r>
        <w:rPr>
          <w:rFonts w:ascii="Times New Roman" w:cs="Times New Roman" w:eastAsia="Times New Roman" w:hAnsi="Times New Roman"/>
          <w:sz w:val="22"/>
          <w:szCs w:val="22"/>
        </w:rPr>
        <w:t xml:space="preserve">In the HALAH implementation, guardian authority is evidenced by an EIP-712 typed-data signature bound to the consent identifier, the guardian DID, and the Sepolia chain identifier, and verified through off-chain signer recovery. The preceding VC verification is presently a DID-format check, and the signing keys are derived deterministically from the guardian DIDs rather than held in wallets, which is a limitation of the prototype. At access time, the recovery is repeated for every recorded signature within the identity predicate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w:t>
      </w:r>
      <w:r>
        <w:rPr>
          <w:rFonts w:ascii="Times New Roman" w:cs="Times New Roman" w:eastAsia="Times New Roman" w:hAnsi="Times New Roman"/>
          <w:b/>
          <w:bCs/>
          <w:sz w:val="26"/>
          <w:szCs w:val="26"/>
        </w:rPr>
        <w:t xml:space="preserve">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 The system first retrieves the required participant set G associated with the consent object C.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7.1. If the verification fails, the approval is classified as invalid.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w:t>
      </w:r>
      <w:r>
        <w:rPr>
          <w:rFonts w:ascii="Times New Roman" w:cs="Times New Roman" w:eastAsia="Times New Roman" w:hAnsi="Times New Roman"/>
          <w:sz w:val="22"/>
          <w:szCs w:val="22"/>
        </w:rPr>
        <w:t xml:space="preserve">belongs to the required participant set G (g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w:t>
      </w:r>
      <w:r>
        <w:rPr>
          <w:rFonts w:ascii="Times New Roman" w:cs="Times New Roman" w:eastAsia="Times New Roman" w:hAnsi="Times New Roman"/>
          <w:sz w:val="22"/>
          <w:szCs w:val="22"/>
        </w:rPr>
        <w:t xml:space="preserve">counted, and their guardian g is added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according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{g}.</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 The overall procedure can therefore be represented as Equation (8.2).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ACTIVATED, PENDING }</w:t>
      </w:r>
      <w:r>
        <w:rPr>
          <w:rFonts w:ascii="Times New Roman" w:cs="Times New Roman" w:eastAsia="Times New Roman" w:hAnsi="Times New Roman"/>
          <w:sz w:val="22"/>
          <w:szCs w:val="22"/>
        </w:rPr>
        <w:t xml:space="preserve">	(8.2)</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(8.3)</w:t>
      </w:r>
    </w:p>
    <w:p>
      <w:pPr>
        <w:spacing w:after="110" w:line="264"/>
        <w:jc w:val="both"/>
      </w:pPr>
      <w:r>
        <w:rPr>
          <w:rFonts w:ascii="Times New Roman" w:cs="Times New Roman" w:eastAsia="Times New Roman" w:hAnsi="Times New Roman"/>
          <w:sz w:val="22"/>
          <w:szCs w:val="22"/>
        </w:rPr>
        <w:t xml:space="preserve">Algorithm 8.1 explicitly distinguishes between invalid, duplicate, and valid approvals.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8.1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interval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and jurisdiction L, patient and requester addresses 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EIP-712 domain</w:t>
      </w:r>
      <w:r>
        <w:rPr>
          <w:rFonts w:ascii="Times New Roman" w:cs="Times New Roman" w:eastAsia="Times New Roman" w:hAnsi="Times New Roman"/>
          <w:sz w:val="19"/>
          <w:szCs w:val="19"/>
        </w:rPr>
        <w:t xml:space="preserve">, signing address Addr(g) of each guardian, burn authorisation burnAuth = 2 (the issuer and the owner may both burn the token)</w:t>
      </w:r>
      <w:r>
        <w:rPr>
          <w:rFonts w:ascii="Times New Roman" w:cs="Times New Roman" w:eastAsia="Times New Roman" w:hAnsi="Times New Roman"/>
          <w:sz w:val="19"/>
          <w:szCs w:val="19"/>
        </w:rPr>
        <w:t xml:space="preserve">, approval a = (g,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submitted by guardian g</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Retrieve required participant set G</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sz w:val="19"/>
          <w:szCs w:val="19"/>
        </w:rPr>
        <w:t xml:space="preserve">N ← |G|</w:t>
      </w:r>
    </w:p>
    <w:p>
      <w:pPr>
        <w:keepNext/>
        <w:spacing w:after="10"/>
        <w:ind w:left="24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Verify identity and authority of g (Algorithm 7.1, a structural DID check in the prototype), and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verification fails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report the invalid approval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sz w:val="19"/>
          <w:szCs w:val="19"/>
        </w:rPr>
        <w:t xml:space="preserve">signer ← RecoverEIP712(domain,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g, APPROVE},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 off-chain recovery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signer ≠ Addr(g), or the signature binds a different consent, guardian, or chain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Record invalid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G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sz w:val="19"/>
          <w:szCs w:val="19"/>
        </w:rPr>
        <w:t xml:space="preserve">Record unauthorised approval attempt   </w:t>
      </w:r>
      <w:r>
        <w:rPr>
          <w:rFonts w:ascii="Times New Roman" w:cs="Times New Roman" w:eastAsia="Times New Roman" w:hAnsi="Times New Roman"/>
          <w:sz w:val="19"/>
          <w:szCs w:val="19"/>
        </w:rPr>
        <w:t xml:space="preserve">▷ in the prototype, only members of G can be selected in the guardian view, and a signature from any other signer is not counted towards 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has already approved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Record duplicate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Record signature_data[g] ← (signer,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Update valid </w:t>
      </w:r>
      <w:r>
        <w:rPr>
          <w:rFonts w:ascii="Times New Roman" w:cs="Times New Roman" w:eastAsia="Times New Roman" w:hAnsi="Times New Roman"/>
          <w:sz w:val="19"/>
          <w:szCs w:val="19"/>
        </w:rPr>
        <w:t xml:space="preserve">approver</w:t>
      </w:r>
      <w:r>
        <w:rPr>
          <w:rFonts w:ascii="Times New Roman" w:cs="Times New Roman" w:eastAsia="Times New Roman" w:hAnsi="Times New Roman"/>
          <w:sz w:val="19"/>
          <w:szCs w:val="19"/>
        </w:rPr>
        <w:t xml:space="preserve"> set A</w:t>
      </w:r>
      <w:r>
        <w:rPr>
          <w:rFonts w:ascii="Times New Roman" w:cs="Times New Roman" w:eastAsia="Times New Roman" w:hAnsi="Times New Roman"/>
          <w:sz w:val="19"/>
          <w:szCs w:val="19"/>
          <w:vertAlign w:val="subscript"/>
        </w:rPr>
        <w:t xml:space="preserve">v</w:t>
      </w:r>
    </w:p>
    <w:p>
      <w:pPr>
        <w:keepNext/>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sz w:val="19"/>
          <w:szCs w:val="19"/>
        </w:rPr>
        <w:t xml:space="preserve">Activate authorisation</w:t>
      </w:r>
    </w:p>
    <w:p>
      <w:pPr>
        <w:keepNext/>
        <w:spacing w:after="10"/>
        <w:ind w:left="60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w:t>
      </w:r>
      <w:r>
        <w:rPr>
          <w:rFonts w:ascii="Times New Roman" w:cs="Times New Roman" w:eastAsia="Times New Roman" w:hAnsi="Times New Roman"/>
          <w:sz w:val="19"/>
          <w:szCs w:val="19"/>
        </w:rPr>
        <w:t xml:space="preserve">ecord a local token identifier and set state ← ACTIVE once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has been reached</w:t>
      </w:r>
    </w:p>
    <w:p>
      <w:pPr>
        <w:keepNext/>
        <w:spacing w:after="10"/>
        <w:ind w:left="60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sz w:val="19"/>
          <w:szCs w:val="19"/>
        </w:rPr>
        <w:t xml:space="preserve">submit mintConsentV3(addr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L, burnAuth) via the owner account   ▷ the contract stores keccak256(P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runs as a background job and is reconciled on request from the guardian view</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On confirmation,</w:t>
      </w:r>
      <w:r>
        <w:rPr>
          <w:rFonts w:ascii="Times New Roman" w:cs="Times New Roman" w:eastAsia="Times New Roman" w:hAnsi="Times New Roman"/>
          <w:sz w:val="19"/>
          <w:szCs w:val="19"/>
        </w:rPr>
        <w:t xml:space="preserve"> replace the local token identifier with the on-chain token identifier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sz w:val="19"/>
          <w:szCs w:val="19"/>
        </w:rPr>
        <w:t xml:space="preserve">Record threshold-satisfied event</w:t>
      </w:r>
    </w:p>
    <w:p>
      <w:pPr>
        <w:keepNext/>
        <w:spacing w:after="10"/>
        <w:ind w:left="60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ACTIVATED   ▷ activation is distinct from the access decision</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else</w:t>
      </w:r>
    </w:p>
    <w:p>
      <w:pPr>
        <w:keepNext/>
        <w:spacing w:after="10"/>
        <w:ind w:left="60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sz w:val="19"/>
          <w:szCs w:val="19"/>
        </w:rPr>
        <w:t xml:space="preserve">Keep consent in pending state</w:t>
      </w:r>
    </w:p>
    <w:p>
      <w:pPr>
        <w:keepNext/>
        <w:spacing w:after="10"/>
        <w:ind w:left="60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Record threshold-pending event   ▷ shown in the interface in the prototype</w:t>
      </w:r>
    </w:p>
    <w:p>
      <w:pPr>
        <w:keepNext/>
        <w:spacing w:after="10"/>
        <w:ind w:left="60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highlight w:val="magenta"/>
        </w:rPr>
        <w:t xml:space="preserve">The algorithm also shows that multi-party authorisation is a trust mechanism, not a user-interface feature.</w:t>
      </w:r>
      <w:r>
        <w:rPr>
          <w:rFonts w:ascii="Times New Roman" w:cs="Times New Roman" w:eastAsia="Times New Roman" w:hAnsi="Times New Roman"/>
          <w:sz w:val="22"/>
          <w:szCs w:val="22"/>
        </w:rPr>
        <w:t xml:space="preserv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rather than the purpose itself. Activation is distinct from the access decision. This mechanism complements the DID/VC verification procedure in Algorithm 7.1. Algorithm 7.1 establishes whether an individual participant possesses a valid identity and sufficient authority, whereas Algorithm 8.1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w:t>
      </w:r>
      <w:r>
        <w:rPr>
          <w:rFonts w:ascii="Times New Roman" w:cs="Times New Roman" w:eastAsia="Times New Roman" w:hAnsi="Times New Roman"/>
          <w:b/>
          <w:bCs/>
          <w:sz w:val="26"/>
          <w:szCs w:val="26"/>
        </w:rPr>
        <w:t xml:space="preserve">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 If the threshold is not satisfied, the consent cannot be used to authorise the requested access, as stated in Equation (8.4).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&lt; N ⟹ Decision(C, R, t) = DENY.</w:t>
      </w:r>
      <w:r>
        <w:rPr>
          <w:rFonts w:ascii="Times New Roman" w:cs="Times New Roman" w:eastAsia="Times New Roman" w:hAnsi="Times New Roman"/>
          <w:sz w:val="22"/>
          <w:szCs w:val="22"/>
        </w:rPr>
        <w:t xml:space="preserve">	(8.4)</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 </w:t>
      </w:r>
      <w:r>
        <w:rPr>
          <w:rFonts w:ascii="Times New Roman" w:cs="Times New Roman" w:eastAsia="Times New Roman" w:hAnsi="Times New Roman"/>
          <w:sz w:val="22"/>
          <w:szCs w:val="22"/>
        </w:rPr>
        <w:t xml:space="preserve">For example, where N = 2, Equation (8.5) holds for a consent that has a token identifier and has not been revoked, whereas Equation (8.6) holds when only one valid approval has been given.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2 ∧ Token(C) ≠ ∅ ∧ Revoked(C) = 0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1,</w:t>
      </w:r>
      <w:r>
        <w:rPr>
          <w:rFonts w:ascii="Times New Roman" w:cs="Times New Roman" w:eastAsia="Times New Roman" w:hAnsi="Times New Roman"/>
          <w:sz w:val="22"/>
          <w:szCs w:val="22"/>
        </w:rPr>
        <w:t xml:space="preserve">	(8.5)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(8.6)</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w:t>
      </w:r>
      <w:r>
        <w:rPr>
          <w:rFonts w:ascii="Times New Roman" w:cs="Times New Roman" w:eastAsia="Times New Roman" w:hAnsi="Times New Roman"/>
          <w:sz w:val="22"/>
          <w:szCs w:val="22"/>
        </w:rPr>
        <w:t xml:space="preserve">The next section presents the solution for RO4, which checks the purpose and the data scope of each request.</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w:t>
      </w: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w:t>
      </w:r>
      <w:r>
        <w:rPr>
          <w:rFonts w:ascii="Times New Roman" w:cs="Times New Roman" w:eastAsia="Times New Roman" w:hAnsi="Times New Roman"/>
          <w:sz w:val="22"/>
          <w:szCs w:val="22"/>
        </w:rPr>
        <w:t xml:space="preserve">Section 9.1 defines the scope and policy conditions, Section 9.2 shows the policy-aware access workflow, Section 9.3 gives the decision algorithm, Section 9.4 qualifies what the prototype checks, and Section 9.5 states the outcome of RO4.</w:t>
      </w:r>
    </w:p>
    <w:p>
      <w:pPr>
        <w:pStyle w:val="Heading2"/>
        <w:keepNext/>
        <w:spacing w:after="120" w:before="240"/>
      </w:pPr>
      <w:r>
        <w:rPr>
          <w:rFonts w:ascii="Times New Roman" w:cs="Times New Roman" w:eastAsia="Times New Roman" w:hAnsi="Times New Roman"/>
          <w:b/>
          <w:bCs/>
          <w:sz w:val="26"/>
          <w:szCs w:val="26"/>
        </w:rPr>
        <w:t xml:space="preserve">9.1  </w:t>
      </w:r>
      <w:r>
        <w:rPr>
          <w:rFonts w:ascii="Times New Roman" w:cs="Times New Roman" w:eastAsia="Times New Roman" w:hAnsi="Times New Roman"/>
          <w:b/>
          <w:bCs/>
          <w:sz w:val="26"/>
          <w:szCs w:val="26"/>
        </w:rPr>
        <w:t xml:space="preserve">Scope and Policy Conditions</w:t>
      </w:r>
    </w:p>
    <w:p>
      <w:pPr>
        <w:spacing w:after="110" w:line="264"/>
        <w:jc w:val="both"/>
      </w:pPr>
      <w:r>
        <w:rPr>
          <w:rFonts w:ascii="Times New Roman" w:cs="Times New Roman" w:eastAsia="Times New Roman" w:hAnsi="Times New Roman"/>
          <w:sz w:val="22"/>
          <w:szCs w:val="22"/>
        </w:rPr>
        <w:t xml:space="preserve">The system evaluates whether the requested data scope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is non-empty and contained within the data scope authorised by the consent, denoted by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Equation (9.1) defines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(9.1)</w:t>
      </w:r>
    </w:p>
    <w:p>
      <w:pPr>
        <w:spacing w:after="110" w:line="264"/>
        <w:jc w:val="both"/>
      </w:pPr>
      <w:r>
        <w:rPr>
          <w:rFonts w:ascii="Times New Roman" w:cs="Times New Roman" w:eastAsia="Times New Roman" w:hAnsi="Times New Roman"/>
          <w:sz w:val="22"/>
          <w:szCs w:val="22"/>
        </w:rPr>
        <w:t xml:space="preserve">The policy condition can therefore be expressed as Equation (9.2)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U</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(9.2)</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the five verification predicates in Equation (9.3)</w:t>
      </w:r>
      <w:r>
        <w:rPr>
          <w:rFonts w:ascii="Times New Roman" w:cs="Times New Roman" w:eastAsia="Times New Roman" w:hAnsi="Times New Roman"/>
          <w:sz w:val="22"/>
          <w:szCs w:val="22"/>
        </w:rPr>
        <w:t xml:space="preserve">, where the jurisdiction predicate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belongs to this objective and is written out in Equation (10.2)</w:t>
      </w:r>
      <w:r>
        <w:rPr>
          <w:rFonts w:ascii="Times New Roman" w:cs="Times New Roman" w:eastAsia="Times New Roman" w:hAnsi="Times New Roman"/>
          <w:sz w:val="22"/>
          <w:szCs w:val="22"/>
        </w:rPr>
        <w:t xml:space="preserve">. If any of these conditions is false, the request is denied. This creates a conjunctive trust model in which the failure of any required condition prevents the final authorisation decision. In the current version, each request against an ACTIVE consent has its decision matrix recorded in the audit ledger with the GRANTED or DENIED outcome, although the three earliest grants of 22 September 2026 predate this logging. </w:t>
      </w:r>
      <w:r>
        <w:rPr>
          <w:rFonts w:ascii="Times New Roman" w:cs="Times New Roman" w:eastAsia="Times New Roman" w:hAnsi="Times New Roman"/>
          <w:sz w:val="22"/>
          <w:szCs w:val="22"/>
          <w:highlight w:val="magenta"/>
        </w:rPr>
        <w:t xml:space="preserve">Both successful and denied decisions should be recorded, because accountability covers the data that were released and the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(9.3)</w:t>
      </w:r>
    </w:p>
    <w:p>
      <w:pPr>
        <w:spacing w:after="110" w:line="264"/>
        <w:jc w:val="both"/>
      </w:pPr>
      <w:r>
        <w:rPr>
          <w:rFonts w:ascii="Times New Roman" w:cs="Times New Roman" w:eastAsia="Times New Roman" w:hAnsi="Times New Roman"/>
          <w:sz w:val="22"/>
          <w:szCs w:val="22"/>
        </w:rPr>
        <w:t xml:space="preserve">In the prototype, the matrix column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records the purpose check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only, while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is evaluated separately by the scope check of the doctor subsystem at request time. The final decision therefore combines the decision matrix with that scope check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w:t>
      </w:r>
      <w:r>
        <w:rPr>
          <w:rFonts w:ascii="Times New Roman" w:cs="Times New Roman" w:eastAsia="Times New Roman" w:hAnsi="Times New Roman"/>
          <w:b/>
          <w:bCs/>
          <w:sz w:val="26"/>
          <w:szCs w:val="26"/>
        </w:rPr>
        <w:t xml:space="preserve">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w:t>
      </w:r>
      <w:r>
        <w:rPr>
          <w:rFonts w:ascii="Times New Roman" w:cs="Times New Roman" w:eastAsia="Times New Roman" w:hAnsi="Times New Roman"/>
          <w:sz w:val="22"/>
          <w:szCs w:val="22"/>
        </w:rPr>
        <w:t xml:space="preserve">consent purpose</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the requested </w:t>
      </w:r>
      <w:r>
        <w:rPr>
          <w:rFonts w:ascii="Times New Roman" w:cs="Times New Roman" w:eastAsia="Times New Roman" w:hAnsi="Times New Roman"/>
          <w:sz w:val="22"/>
          <w:szCs w:val="22"/>
        </w:rPr>
        <w:t xml:space="preserve">data scope. The HALAH implementation provides a concrete basis for this objective. As shown in Figure 9.1, the Doctor interface retrieves a consent, evaluates its state, allows a requested scope to be selected from the consent scope, generates a proof, checks the requested scope, and invokes the authorisation function before returning data. </w:t>
      </w:r>
      <w:r>
        <w:rPr>
          <w:rFonts w:ascii="Times New Roman" w:cs="Times New Roman" w:eastAsia="Times New Roman" w:hAnsi="Times New Roman"/>
          <w:sz w:val="22"/>
          <w:szCs w:val="22"/>
        </w:rPr>
        <w:t xml:space="preserve">Suppose that a consent permits access to the data categories given in Equation (9.4), and a healthcare professional then requests the categories given in Equation (9.5).</w:t>
      </w:r>
    </w:p>
    <w:p>
      <w:pPr>
        <w:keepNext/>
        <w:spacing w:after="60" w:before="160"/>
        <w:jc w:val="center"/>
      </w:pPr>
      <w:r>
        <w:drawing>
          <wp:inline distT="0" distB="0" distL="0" distR="0">
            <wp:extent cx="3324225" cy="5905500"/>
            <wp:effectExtent t="0" r="0" b="0" l="0"/>
            <wp:docPr id="1" name="F14.png" descr="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titl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24225" cy="59055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9.1: </w:t>
      </w:r>
      <w:r>
        <w:rPr>
          <w:rFonts w:ascii="Times New Roman" w:cs="Times New Roman" w:eastAsia="Times New Roman" w:hAnsi="Times New Roman"/>
          <w:sz w:val="18"/>
          <w:szCs w:val="18"/>
        </w:rPr>
        <w:t xml:space="preserv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(9.4)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(9.5)</w:t>
      </w:r>
    </w:p>
    <w:p>
      <w:pPr>
        <w:spacing w:after="110" w:line="264"/>
        <w:jc w:val="both"/>
      </w:pPr>
      <w:r>
        <w:rPr>
          <w:rFonts w:ascii="Times New Roman" w:cs="Times New Roman" w:eastAsia="Times New Roman" w:hAnsi="Times New Roman"/>
          <w:sz w:val="22"/>
          <w:szCs w:val="22"/>
        </w:rPr>
        <w:t xml:space="preserve">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w:t>
      </w:r>
      <w:r>
        <w:rPr>
          <w:rFonts w:ascii="Times New Roman" w:cs="Times New Roman" w:eastAsia="Times New Roman" w:hAnsi="Times New Roman"/>
          <w:sz w:val="22"/>
          <w:szCs w:val="22"/>
          <w:highlight w:val="magenta"/>
        </w:rPr>
        <w:t xml:space="preserve">Authorisation to access one category of healthcare information does not imply authorisation to access all categories</w:t>
      </w:r>
      <w:r>
        <w:rPr>
          <w:rFonts w:ascii="Times New Roman" w:cs="Times New Roman" w:eastAsia="Times New Roman" w:hAnsi="Times New Roman"/>
          <w:sz w:val="22"/>
          <w:szCs w:val="22"/>
        </w:rPr>
        <w:t xml:space="preserve">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(9.6)</w:t>
      </w:r>
    </w:p>
    <w:p>
      <w:pPr>
        <w:pStyle w:val="Heading2"/>
        <w:keepNext/>
        <w:spacing w:after="120" w:before="240"/>
      </w:pPr>
      <w:r>
        <w:rPr>
          <w:rFonts w:ascii="Times New Roman" w:cs="Times New Roman" w:eastAsia="Times New Roman" w:hAnsi="Times New Roman"/>
          <w:b/>
          <w:bCs/>
          <w:sz w:val="26"/>
          <w:szCs w:val="26"/>
        </w:rPr>
        <w:t xml:space="preserve">9.3  </w:t>
      </w:r>
      <w:r>
        <w:rPr>
          <w:rFonts w:ascii="Times New Roman" w:cs="Times New Roman" w:eastAsia="Times New Roman" w:hAnsi="Times New Roman"/>
          <w:b/>
          <w:bCs/>
          <w:sz w:val="26"/>
          <w:szCs w:val="26"/>
        </w:rPr>
        <w:t xml:space="preserve">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9.1 evaluates the complete set of conditions defined by the consent and applicable access-control policies. </w:t>
      </w:r>
      <w:r>
        <w:rPr>
          <w:rFonts w:ascii="Times New Roman" w:cs="Times New Roman" w:eastAsia="Times New Roman" w:hAnsi="Times New Roman"/>
          <w:sz w:val="22"/>
          <w:szCs w:val="22"/>
        </w:rPr>
        <w:t xml:space="preserve">If any mandatory condition fails during the evaluation process, the system returns DENY and records the corresponding denial evidence. </w:t>
      </w:r>
      <w:r>
        <w:rPr>
          <w:rFonts w:ascii="Times New Roman" w:cs="Times New Roman" w:eastAsia="Times New Roman" w:hAnsi="Times New Roman"/>
          <w:sz w:val="22"/>
          <w:szCs w:val="22"/>
        </w:rPr>
        <w:t xml:space="preserve">There are two exceptions in the prototype: a consent that is not ACTIVE, whose refusal is reported only in the doctor interface, and an empty request, which the interface stops before it reaches the ledger.</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9.1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 (u, P</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Jur(R)), requesting participant u, current time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Verify DID and VC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Evaluate consent state</w:t>
      </w:r>
    </w:p>
    <w:p>
      <w:pPr>
        <w:keepNext/>
        <w:spacing w:after="10"/>
        <w:ind w:left="24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sz w:val="19"/>
          <w:szCs w:val="19"/>
        </w:rPr>
        <w:t xml:space="preserve">Report the refusal in the doctor interface   ▷ not written to the audit ledger in the prototype</w:t>
      </w:r>
    </w:p>
    <w:p>
      <w:pPr>
        <w:keepNext/>
        <w:spacing w:after="10"/>
        <w:ind w:left="60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sz w:val="19"/>
          <w:szCs w:val="19"/>
        </w:rPr>
        <w:t xml:space="preserve">Verify multi-party authorisation</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Evaluate requested purpose   ▷ in the prototype, the request purpose is the consent purpose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Evaluate requested data scope</w:t>
      </w:r>
    </w:p>
    <w:p>
      <w:pPr>
        <w:keepNext/>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 or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Record denied decision</w:t>
      </w:r>
      <w:r>
        <w:rPr>
          <w:rFonts w:ascii="Times New Roman" w:cs="Times New Roman" w:eastAsia="Times New Roman" w:hAnsi="Times New Roman"/>
          <w:sz w:val="19"/>
          <w:szCs w:val="19"/>
        </w:rPr>
        <w:t xml:space="preserve">   ▷ in the prototype, an empty request is stopped by the interface and is not written to the audit ledger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 &lt;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or t &gt;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r>
        <w:rPr>
          <w:rFonts w:ascii="Times New Roman" w:cs="Times New Roman" w:eastAsia="Times New Roman" w:hAnsi="Times New Roman"/>
          <w:sz w:val="19"/>
          <w:szCs w:val="19"/>
        </w:rPr>
        <w:t xml:space="preserve">   ▷ in the prototype, a consent outside its window is NOT_STARTED or EXPIRED, so this refusal is reported in the doctor interface and is not written to the audit ledger</w:t>
      </w:r>
    </w:p>
    <w:p>
      <w:pPr>
        <w:keepNext/>
        <w:spacing w:after="10"/>
        <w:ind w:left="24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Jur(C) ≠ ∅ and </w:t>
      </w:r>
      <w:r>
        <w:rPr>
          <w:rFonts w:ascii="Times New Roman" w:cs="Times New Roman" w:eastAsia="Times New Roman" w:hAnsi="Times New Roman"/>
          <w:sz w:val="19"/>
          <w:szCs w:val="19"/>
        </w:rPr>
        <w:t xml:space="preserve">Jur(R) ≠ Jur(C)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Generate and verify a Groth16 proof that Poseidon(secret, expiry) equals the public commitment and that t ≤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in the prototype, the proof is generated and verified before the decision matrix is evaluated</w:t>
      </w:r>
    </w:p>
    <w:p>
      <w:pPr>
        <w:keepNext/>
        <w:spacing w:after="10"/>
        <w:ind w:left="24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proof does not verify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sz w:val="19"/>
          <w:szCs w:val="19"/>
        </w:rPr>
        <w:t xml:space="preserve">Retrieve authorised healthcare data</w:t>
      </w:r>
    </w:p>
    <w:p>
      <w:pPr>
        <w:keepNext/>
        <w:spacing w:after="10"/>
        <w:ind w:left="240"/>
      </w:pPr>
      <w:r>
        <w:rPr>
          <w:rFonts w:ascii="Times New Roman" w:cs="Times New Roman" w:eastAsia="Times New Roman" w:hAnsi="Times New Roman"/>
          <w:color w:val="555555"/>
          <w:sz w:val="16"/>
          <w:szCs w:val="16"/>
        </w:rPr>
        <w:t xml:space="preserve">31:  </w:t>
      </w:r>
      <w:r>
        <w:rPr>
          <w:rFonts w:ascii="Times New Roman" w:cs="Times New Roman" w:eastAsia="Times New Roman" w:hAnsi="Times New Roman"/>
          <w:sz w:val="19"/>
          <w:szCs w:val="19"/>
        </w:rPr>
        <w:t xml:space="preserve">Record granted decision</w:t>
      </w:r>
      <w:r>
        <w:rPr>
          <w:rFonts w:ascii="Times New Roman" w:cs="Times New Roman" w:eastAsia="Times New Roman" w:hAnsi="Times New Roman"/>
          <w:sz w:val="19"/>
          <w:szCs w:val="19"/>
        </w:rPr>
        <w:t xml:space="preserve"> with proof_mode = groth16</w:t>
      </w:r>
    </w:p>
    <w:p>
      <w:pPr>
        <w:keepNext w:val="false"/>
        <w:spacing w:after="10"/>
        <w:ind w:left="240"/>
      </w:pPr>
      <w:r>
        <w:rPr>
          <w:rFonts w:ascii="Times New Roman" w:cs="Times New Roman" w:eastAsia="Times New Roman" w:hAnsi="Times New Roman"/>
          <w:color w:val="555555"/>
          <w:sz w:val="16"/>
          <w:szCs w:val="16"/>
        </w:rPr>
        <w:t xml:space="preserve">32: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 </w:t>
      </w:r>
      <w:r>
        <w:rPr>
          <w:rFonts w:ascii="Times New Roman" w:cs="Times New Roman" w:eastAsia="Times New Roman" w:hAnsi="Times New Roman"/>
          <w:sz w:val="22"/>
          <w:szCs w:val="22"/>
          <w:highlight w:val="magenta"/>
        </w:rPr>
        <w:t xml:space="preserve">This ordering prevents the system from treating identity validity or collective approval as unrestricted permission.</w:t>
      </w:r>
      <w:r>
        <w:rPr>
          <w:rFonts w:ascii="Times New Roman" w:cs="Times New Roman" w:eastAsia="Times New Roman" w:hAnsi="Times New Roman"/>
          <w:sz w:val="22"/>
          <w:szCs w:val="22"/>
        </w:rPr>
        <w:t xml:space="preserve">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compatibility, scope containment, temporal validity, and jurisdictional match.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prevents a mismatch between the policy decision and the actual data returned to the requester.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w:t>
      </w:r>
      <w:r>
        <w:rPr>
          <w:rFonts w:ascii="Times New Roman" w:cs="Times New Roman" w:eastAsia="Times New Roman" w:hAnsi="Times New Roman"/>
          <w:b/>
          <w:bCs/>
          <w:sz w:val="26"/>
          <w:szCs w:val="26"/>
        </w:rPr>
        <w:t xml:space="preserve">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w:t>
      </w:r>
      <w:r>
        <w:rPr>
          <w:rFonts w:ascii="Times New Roman" w:cs="Times New Roman" w:eastAsia="Times New Roman" w:hAnsi="Times New Roman"/>
          <w:sz w:val="22"/>
          <w:szCs w:val="22"/>
        </w:rPr>
        <w:t xml:space="preserve">requires</w:t>
      </w:r>
      <w:r>
        <w:rPr>
          <w:rFonts w:ascii="Times New Roman" w:cs="Times New Roman" w:eastAsia="Times New Roman" w:hAnsi="Times New Roman"/>
          <w:sz w:val="22"/>
          <w:szCs w:val="22"/>
        </w:rPr>
        <w:t xml:space="preserve"> the evidence supporting the access decision</w:t>
      </w:r>
      <w:r>
        <w:rPr>
          <w:rFonts w:ascii="Times New Roman" w:cs="Times New Roman" w:eastAsia="Times New Roman" w:hAnsi="Times New Roman"/>
          <w:sz w:val="22"/>
          <w:szCs w:val="22"/>
        </w:rPr>
        <w:t xml:space="preserve"> to be</w:t>
      </w:r>
      <w:r>
        <w:rPr>
          <w:rFonts w:ascii="Times New Roman" w:cs="Times New Roman" w:eastAsia="Times New Roman" w:hAnsi="Times New Roman"/>
          <w:sz w:val="22"/>
          <w:szCs w:val="22"/>
        </w:rPr>
        <w:t xml:space="preserve"> a Groth16 zero-knowledge proof</w:t>
      </w:r>
      <w:r>
        <w:rPr>
          <w:rFonts w:ascii="Times New Roman" w:cs="Times New Roman" w:eastAsia="Times New Roman" w:hAnsi="Times New Roman"/>
          <w:sz w:val="22"/>
          <w:szCs w:val="22"/>
        </w:rPr>
        <w:t xml:space="preserve"> that has verified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in the prototype, the doctor subsystem generates and verifies this proof before the decision matrix is evaluated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circuit is written in circom </w:t>
      </w:r>
      <w:r>
        <w:rPr>
          <w:rFonts w:ascii="Times New Roman" w:cs="Times New Roman" w:eastAsia="Times New Roman" w:hAnsi="Times New Roman"/>
          <w:sz w:val="22"/>
          <w:szCs w:val="22"/>
          <w:highlight w:val="green"/>
        </w:rPr>
        <w:t xml:space="preserve">(iden3 2026b)</w:t>
      </w:r>
      <w:r>
        <w:rPr>
          <w:rFonts w:ascii="Times New Roman" w:cs="Times New Roman" w:eastAsia="Times New Roman" w:hAnsi="Times New Roman"/>
          <w:sz w:val="22"/>
          <w:szCs w:val="22"/>
        </w:rPr>
        <w:t xml:space="preserve">, and the proof is generated and verified with snarkjs </w:t>
      </w:r>
      <w:r>
        <w:rPr>
          <w:rFonts w:ascii="Times New Roman" w:cs="Times New Roman" w:eastAsia="Times New Roman" w:hAnsi="Times New Roman"/>
          <w:sz w:val="22"/>
          <w:szCs w:val="22"/>
          <w:highlight w:val="green"/>
        </w:rPr>
        <w:t xml:space="preserve">(iden3 2026a)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proof shows that the prover knows the secret and the expiry time </w:t>
      </w:r>
      <w:r>
        <w:rPr>
          <w:rFonts w:ascii="Times New Roman" w:cs="Times New Roman" w:eastAsia="Times New Roman" w:hAnsi="Times New Roman"/>
          <w:sz w:val="22"/>
          <w:szCs w:val="22"/>
        </w:rPr>
        <w:t xml:space="preserve">behind a Poseidon commitment </w:t>
      </w:r>
      <w:r>
        <w:rPr>
          <w:rFonts w:ascii="Times New Roman" w:cs="Times New Roman" w:eastAsia="Times New Roman" w:hAnsi="Times New Roman"/>
          <w:sz w:val="22"/>
          <w:szCs w:val="22"/>
          <w:highlight w:val="green"/>
        </w:rPr>
        <w:t xml:space="preserve">(Grassi et al. 2021)</w:t>
      </w:r>
      <w:r>
        <w:rPr>
          <w:rFonts w:ascii="Times New Roman" w:cs="Times New Roman" w:eastAsia="Times New Roman" w:hAnsi="Times New Roman"/>
          <w:sz w:val="22"/>
          <w:szCs w:val="22"/>
        </w:rPr>
        <w:t xml:space="preserve"> held</w:t>
      </w:r>
      <w:r>
        <w:rPr>
          <w:rFonts w:ascii="Times New Roman" w:cs="Times New Roman" w:eastAsia="Times New Roman" w:hAnsi="Times New Roman"/>
          <w:sz w:val="22"/>
          <w:szCs w:val="22"/>
        </w:rPr>
        <w:t xml:space="preserve"> in the application's consent record, and that the consent has not expired at time t. The proof mode is recorded with the decision in the audit ledger, and the proof constitutes the access evidence required by Algorithm 9.1 before any data are retrieved.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sz w:val="22"/>
          <w:szCs w:val="22"/>
        </w:rP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sz w:val="22"/>
          <w:szCs w:val="22"/>
        </w:rPr>
        <w:t xml:space="preserve">The denial for a consent that is not ACTIVE is reported in the doctor interface but is not written to the audit ledger in the current prototype. Only requests evaluated against an ACTIVE consent produce the STATE_CHECK and DATA_ACCESS records, whether the decision is GRANTED or DENIED, and the refusal that follows revocation is therefore evidenced by the interface and the automated tests rather than by a ledger row.</w:t>
      </w:r>
    </w:p>
    <w:p>
      <w:pPr>
        <w:pStyle w:val="Heading2"/>
        <w:keepNext/>
        <w:spacing w:after="120" w:before="240"/>
      </w:pPr>
      <w:r>
        <w:rPr>
          <w:rFonts w:ascii="Times New Roman" w:cs="Times New Roman" w:eastAsia="Times New Roman" w:hAnsi="Times New Roman"/>
          <w:b/>
          <w:bCs/>
          <w:sz w:val="26"/>
          <w:szCs w:val="26"/>
        </w:rPr>
        <w:t xml:space="preserve">9.5  </w:t>
      </w:r>
      <w:r>
        <w:rPr>
          <w:rFonts w:ascii="Times New Roman" w:cs="Times New Roman" w:eastAsia="Times New Roman" w:hAnsi="Times New Roman"/>
          <w:b/>
          <w:bCs/>
          <w:sz w:val="26"/>
          <w:szCs w:val="26"/>
        </w:rPr>
        <w:t xml:space="preserve">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 RO4 represents the third layer of the framework beyond identity and multi-party approval. In the formal model,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w:t>
      </w:r>
      <w:r>
        <w:rPr>
          <w:rFonts w:ascii="Times New Roman" w:cs="Times New Roman" w:eastAsia="Times New Roman" w:hAnsi="Times New Roman"/>
          <w:sz w:val="22"/>
          <w:szCs w:val="22"/>
          <w:highlight w:val="magenta"/>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sz w:val="22"/>
          <w:szCs w:val="22"/>
        </w:rPr>
        <w:t xml:space="preserve">Every denial names the failed checks in the interface. Each consent specification and access request is accepted only when the required fields are valid. Malformed identifiers, scopes, and jurisdictions therefore do not reach the decision logic.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9.1 therefore acts as the final policy-enforcement layer of the proposed authorisation lifecycle. Algorithm 6.1 establishes the consent constraints, Algorithm 7.1 establishes trustworthy identity and authority evidence, and Algorithm 8.1 establishes collective authorisation evidence. Algorithm 9.1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Section 11 demonstrates on the live system that a request is permitted only when the requested data scope is contained within the authorised scope. </w:t>
      </w:r>
      <w:r>
        <w:rPr>
          <w:rFonts w:ascii="Times New Roman" w:cs="Times New Roman" w:eastAsia="Times New Roman" w:hAnsi="Times New Roman"/>
          <w:sz w:val="22"/>
          <w:szCs w:val="22"/>
        </w:rPr>
        <w:t xml:space="preserve">The next section presents the solution for RO5, which keeps a consent valid only within its time interval and lifecycle state.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In Progress (partially completed)</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 This objective </w:t>
      </w:r>
      <w:r>
        <w:rPr>
          <w:rFonts w:ascii="Times New Roman" w:cs="Times New Roman" w:eastAsia="Times New Roman" w:hAnsi="Times New Roman"/>
          <w:sz w:val="22"/>
          <w:szCs w:val="22"/>
        </w:rPr>
        <w:t xml:space="preserve">was originally planned for the next stage because</w:t>
      </w:r>
      <w:r>
        <w:rPr>
          <w:rFonts w:ascii="Times New Roman" w:cs="Times New Roman" w:eastAsia="Times New Roman" w:hAnsi="Times New Roman"/>
          <w:sz w:val="22"/>
          <w:szCs w:val="22"/>
        </w:rPr>
        <w:t xml:space="preserv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w:t>
      </w:r>
      <w:r>
        <w:rPr>
          <w:rFonts w:ascii="Times New Roman" w:cs="Times New Roman" w:eastAsia="Times New Roman" w:hAnsi="Times New Roman"/>
          <w:sz w:val="22"/>
          <w:szCs w:val="22"/>
        </w:rPr>
        <w:t xml:space="preserve">Section 10.1 defines the temporal and jurisdictional conditions, Section 10.2 describes the controls that are already implemented, and Section 10.3 sets out the remaining work and the expected outcome.</w:t>
      </w:r>
    </w:p>
    <w:p>
      <w:pPr>
        <w:pStyle w:val="Heading2"/>
        <w:keepNext/>
        <w:spacing w:after="120" w:before="240"/>
      </w:pPr>
      <w:r>
        <w:rPr>
          <w:rFonts w:ascii="Times New Roman" w:cs="Times New Roman" w:eastAsia="Times New Roman" w:hAnsi="Times New Roman"/>
          <w:b/>
          <w:bCs/>
          <w:sz w:val="26"/>
          <w:szCs w:val="26"/>
        </w:rPr>
        <w:t xml:space="preserve">10.1  </w:t>
      </w:r>
      <w:r>
        <w:rPr>
          <w:rFonts w:ascii="Times New Roman" w:cs="Times New Roman" w:eastAsia="Times New Roman" w:hAnsi="Times New Roman"/>
          <w:b/>
          <w:bCs/>
          <w:sz w:val="26"/>
          <w:szCs w:val="26"/>
        </w:rPr>
        <w:t xml:space="preserve">Temporal </w:t>
      </w:r>
      <w:r>
        <w:rPr>
          <w:rFonts w:ascii="Times New Roman" w:cs="Times New Roman" w:eastAsia="Times New Roman" w:hAnsi="Times New Roman"/>
          <w:b/>
          <w:bCs/>
          <w:sz w:val="26"/>
          <w:szCs w:val="26"/>
        </w:rPr>
        <w:t xml:space="preserve">Trust Conditions</w:t>
      </w:r>
    </w:p>
    <w:p>
      <w:pPr>
        <w:spacing w:after="110" w:line="264"/>
        <w:jc w:val="both"/>
      </w:pPr>
      <w:r>
        <w:rPr>
          <w:rFonts w:ascii="Times New Roman" w:cs="Times New Roman" w:eastAsia="Times New Roman" w:hAnsi="Times New Roman"/>
          <w:sz w:val="22"/>
          <w:szCs w:val="22"/>
        </w:rPr>
        <w:t xml:space="preserve"> A consent that is valid at one point in time cannot necessarily be assumed to remain valid indefinitely. The system compares the current time t with the consent validity interval, and Equation (10.1)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(10.1)</w:t>
      </w:r>
    </w:p>
    <w:p>
      <w:pPr>
        <w:spacing w:after="110" w:line="264"/>
        <w:jc w:val="both"/>
      </w:pPr>
      <w:r>
        <w:rPr>
          <w:rFonts w:ascii="Times New Roman" w:cs="Times New Roman" w:eastAsia="Times New Roman" w:hAnsi="Times New Roman"/>
          <w:sz w:val="22"/>
          <w:szCs w:val="22"/>
        </w:rPr>
        <w:t xml:space="preserve">Equation (10.2) defines the jurisdictional predicate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which compares the jurisdiction of request R with the consent jurisdiction L, </w:t>
      </w:r>
      <w:r>
        <w:rPr>
          <w:rFonts w:ascii="Times New Roman" w:cs="Times New Roman" w:eastAsia="Times New Roman" w:hAnsi="Times New Roman"/>
          <w:sz w:val="22"/>
          <w:szCs w:val="22"/>
        </w:rPr>
        <w:t xml:space="preserve">where Jur(C) = L is the two-letter ISO code recorded with the consent and stored on-chain, and Jur(R) is the two-letter code declared with the request.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L</w:t>
      </w:r>
      <w:r>
        <w:rPr>
          <w:rFonts w:ascii="Cambria Math" w:cs="Cambria Math" w:eastAsia="Cambria Math" w:hAnsi="Cambria Math"/>
          <w:i w:val="false"/>
          <w:iCs w:val="false"/>
          <w:sz w:val="21"/>
          <w:szCs w:val="21"/>
        </w:rPr>
        <w:t xml:space="preserve">(C, R) = 1 ⟺ Jur(R) = Jur(C) ∨ Jur(C) = ∅.</w:t>
      </w:r>
      <w:r>
        <w:rPr>
          <w:rFonts w:ascii="Times New Roman" w:cs="Times New Roman" w:eastAsia="Times New Roman" w:hAnsi="Times New Roman"/>
          <w:sz w:val="22"/>
          <w:szCs w:val="22"/>
        </w:rPr>
        <w:t xml:space="preserve">	(10.2)</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and L is one of these fields. The disjunct Jur(C) = ∅ is therefore not reached for any consent created through the current interface, and the predicate reduces to strict equality. </w:t>
      </w:r>
      <w:r>
        <w:rPr>
          <w:rFonts w:ascii="Times New Roman" w:cs="Times New Roman" w:eastAsia="Times New Roman" w:hAnsi="Times New Roman"/>
          <w:sz w:val="22"/>
          <w:szCs w:val="22"/>
        </w:rPr>
        <w:t xml:space="preserve">As in Section 5.2, revocation and the token state remain part of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while the time-based states are evaluated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 authorisation decision consequently requires both temporal and lifecycle validity. The extended authorisation decision is therefore given by Equation (10.3). A valid authorisation decision requires the simultaneous satisfaction of all relevant trust conditions. Consequently, failure of any individual condition results in denial. </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(10.3)</w:t>
      </w:r>
    </w:p>
    <w:p>
      <w:pPr>
        <w:spacing w:after="110" w:line="264"/>
        <w:jc w:val="both"/>
      </w:pPr>
      <w:r>
        <w:rPr>
          <w:rFonts w:ascii="Times New Roman" w:cs="Times New Roman" w:eastAsia="Times New Roman" w:hAnsi="Times New Roman"/>
          <w:sz w:val="22"/>
          <w:szCs w:val="22"/>
          <w:highlight w:val="magenta"/>
        </w:rPr>
        <w:t xml:space="preserve">Authorisation is not permanent. A consent that was valid when approved can later become invalid through expiration or revocation. RO5 is therefore more than an expiry field.</w:t>
      </w:r>
      <w:r>
        <w:rPr>
          <w:rFonts w:ascii="Times New Roman" w:cs="Times New Roman" w:eastAsia="Times New Roman" w:hAnsi="Times New Roman"/>
          <w:sz w:val="22"/>
          <w:szCs w:val="22"/>
        </w:rPr>
        <w:t xml:space="preserve"> It is to ensure that the 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w:t>
      </w:r>
      <w:r>
        <w:rPr>
          <w:rFonts w:ascii="Times New Roman" w:cs="Times New Roman" w:eastAsia="Times New Roman" w:hAnsi="Times New Roman"/>
          <w:b/>
          <w:bCs/>
          <w:sz w:val="26"/>
          <w:szCs w:val="26"/>
        </w:rPr>
        <w:t xml:space="preserve">Implemented Temporal and Lifecycle Controls</w:t>
      </w:r>
    </w:p>
    <w:p>
      <w:pPr>
        <w:spacing w:after="110" w:line="264"/>
        <w:jc w:val="both"/>
      </w:pPr>
      <w:r>
        <w:rPr>
          <w:rFonts w:ascii="Times New Roman" w:cs="Times New Roman" w:eastAsia="Times New Roman" w:hAnsi="Times New Roman"/>
          <w:sz w:val="22"/>
          <w:szCs w:val="22"/>
        </w:rPr>
        <w:t xml:space="preserve">Figure 10.1 presents the RO5 workflow, which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from the application record,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3714750" cy="5334000"/>
            <wp:effectExtent t="0" r="0" b="0" l="0"/>
            <wp:docPr id="1" name="F15.png" descr="RO5 workflow for temporal and consent lifecycle trust" title="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147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10.1: </w:t>
      </w:r>
      <w:r>
        <w:rPr>
          <w:rFonts w:ascii="Times New Roman" w:cs="Times New Roman" w:eastAsia="Times New Roman" w:hAnsi="Times New Roman"/>
          <w:sz w:val="18"/>
          <w:szCs w:val="18"/>
        </w:rPr>
        <w:t xml:space="preserve">RO5 workflow for temporal and consent lifecycle trust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rather than written to the audit ledger in the current prototype.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Lifecycle states.</w:t>
      </w:r>
      <w:r>
        <w:rPr>
          <w:rFonts w:ascii="Times New Roman" w:cs="Times New Roman" w:eastAsia="Times New Roman" w:hAnsi="Times New Roman"/>
          <w:sz w:val="22"/>
          <w:szCs w:val="22"/>
        </w:rPr>
        <w:t xml:space="preserve"> The lifecycle is an explicit state machine with six states PENDING_SIGNATURE, PENDING_TOKEN, NOT_STARTED, ACTIVE, EXPIRED, and REVOKED. Each evaluation derives the state from the distinct approvals of members of G, the token identifier, the revocation flag, and the current time.</w:t>
      </w:r>
      <w:r>
        <w:rPr>
          <w:rFonts w:ascii="Times New Roman" w:cs="Times New Roman" w:eastAsia="Times New Roman" w:hAnsi="Times New Roman"/>
          <w:sz w:val="22"/>
          <w:szCs w:val="22"/>
        </w:rPr>
        <w:t xml:space="preserve"> PENDING_TOKEN is the brief state between the last verified approval and the recording of the local token identifier</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implementation performs the two in one step, which is why Algorithm 8.1 and Figure 8.1 show them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At each evaluation,</w:t>
      </w:r>
      <w:r>
        <w:rPr>
          <w:rFonts w:ascii="Times New Roman" w:cs="Times New Roman" w:eastAsia="Times New Roman" w:hAnsi="Times New Roman"/>
          <w:sz w:val="22"/>
          <w:szCs w:val="22"/>
        </w:rPr>
        <w:t xml:space="preserve"> the system verifies that the consent has not expired, been revoked, or otherwise transitioned into an inactive state. The current state is used to determine whether the requested operation can legally and logically be performed.</w:t>
      </w:r>
    </w:p>
    <w:p>
      <w:pPr>
        <w:spacing w:after="110" w:line="264"/>
        <w:jc w:val="both"/>
      </w:pPr>
      <w:r>
        <w:rPr>
          <w:rFonts w:ascii="Times New Roman" w:cs="Times New Roman" w:eastAsia="Times New Roman" w:hAnsi="Times New Roman"/>
          <w:sz w:val="22"/>
          <w:szCs w:val="22"/>
        </w:rPr>
        <w:t xml:space="preserve">Figure 10.2 summarises the implemented lifecycle. Each STATE_CHECK event in the audit ledger, recorded at every access request evaluated against an ACTIVE consent, establishes an auditable relationship between the consent’s lifecycle state and the operation performed at a particular point in time. </w:t>
      </w:r>
      <w:r>
        <w:rPr>
          <w:rFonts w:ascii="Times New Roman" w:cs="Times New Roman" w:eastAsia="Times New Roman" w:hAnsi="Times New Roman"/>
          <w:sz w:val="22"/>
          <w:szCs w:val="22"/>
          <w:highlight w:val="magenta"/>
        </w:rPr>
        <w:t xml:space="preserve">The system therefore checks whether authorisation is still valid at the time an operation is requested, instead of treating authorisation as a one-time event.</w:t>
      </w:r>
      <w:r>
        <w:rPr>
          <w:rFonts w:ascii="Times New Roman" w:cs="Times New Roman" w:eastAsia="Times New Roman" w:hAnsi="Times New Roman"/>
          <w:sz w:val="22"/>
          <w:szCs w:val="22"/>
        </w:rPr>
        <w:t xml:space="preserve"> The expiry path is not shown in the demonstration, because a window long enough for screenshots cannot expire during it, but the automated tests in Section 11 exercise it.</w:t>
      </w:r>
    </w:p>
    <w:p>
      <w:pPr>
        <w:keepNext/>
        <w:spacing w:after="60" w:before="160"/>
        <w:jc w:val="center"/>
      </w:pPr>
      <w:r>
        <w:drawing>
          <wp:inline distT="0" distB="0" distL="0" distR="0">
            <wp:extent cx="4476750" cy="1762125"/>
            <wp:effectExtent t="0" r="0" b="0" l="0"/>
            <wp:docPr id="1"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10.2: </w:t>
      </w:r>
      <w:r>
        <w:rPr>
          <w:rFonts w:ascii="Times New Roman" w:cs="Times New Roman" w:eastAsia="Times New Roman" w:hAnsi="Times New Roman"/>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10.3  </w:t>
      </w:r>
      <w:r>
        <w:rPr>
          <w:rFonts w:ascii="Times New Roman" w:cs="Times New Roman" w:eastAsia="Times New Roman" w:hAnsi="Times New Roman"/>
          <w:b/>
          <w:bCs/>
          <w:sz w:val="26"/>
          <w:szCs w:val="26"/>
        </w:rPr>
        <w:t xml:space="preserve">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 </w:t>
      </w:r>
      <w:r>
        <w:rPr>
          <w:rFonts w:ascii="Times New Roman" w:cs="Times New Roman" w:eastAsia="Times New Roman" w:hAnsi="Times New Roman"/>
          <w:sz w:val="22"/>
          <w:szCs w:val="22"/>
        </w:rPr>
        <w:t xml:space="preserve">Five elements remain for the next stage.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Consent modification.</w:t>
      </w:r>
      <w:r>
        <w:rPr>
          <w:rFonts w:ascii="Times New Roman" w:cs="Times New Roman" w:eastAsia="Times New Roman" w:hAnsi="Times New Roman"/>
          <w:sz w:val="22"/>
          <w:szCs w:val="22"/>
        </w:rPr>
        <w:t xml:space="preserve"> The current prototype assumes that the consent terms do not change after approval. </w:t>
      </w:r>
      <w:r>
        <w:rPr>
          <w:rFonts w:ascii="Times New Roman" w:cs="Times New Roman" w:eastAsia="Times New Roman" w:hAnsi="Times New Roman"/>
          <w:sz w:val="22"/>
          <w:szCs w:val="22"/>
        </w:rPr>
        <w:t xml:space="preserve">The next stage will therefore extend</w:t>
      </w:r>
      <w:r>
        <w:rPr>
          <w:rFonts w:ascii="Times New Roman" w:cs="Times New Roman" w:eastAsia="Times New Roman" w:hAnsi="Times New Roman"/>
          <w:sz w:val="22"/>
          <w:szCs w:val="22"/>
        </w:rPr>
        <w:t xml:space="preserve">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Guardian-set changes.</w:t>
      </w:r>
      <w:r>
        <w:rPr>
          <w:rFonts w:ascii="Times New Roman" w:cs="Times New Roman" w:eastAsia="Times New Roman" w:hAnsi="Times New Roman"/>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 If the transition is not permitted, the system </w:t>
      </w:r>
      <w:r>
        <w:rPr>
          <w:rFonts w:ascii="Times New Roman" w:cs="Times New Roman" w:eastAsia="Times New Roman" w:hAnsi="Times New Roman"/>
          <w:sz w:val="22"/>
          <w:szCs w:val="22"/>
        </w:rPr>
        <w:t xml:space="preserve">will record</w:t>
      </w:r>
      <w:r>
        <w:rPr>
          <w:rFonts w:ascii="Times New Roman" w:cs="Times New Roman" w:eastAsia="Times New Roman" w:hAnsi="Times New Roman"/>
          <w:sz w:val="22"/>
          <w:szCs w:val="22"/>
        </w:rPr>
        <w:t xml:space="preserve"> an unauthorised state-transition event and </w:t>
      </w:r>
      <w:r>
        <w:rPr>
          <w:rFonts w:ascii="Times New Roman" w:cs="Times New Roman" w:eastAsia="Times New Roman" w:hAnsi="Times New Roman"/>
          <w:sz w:val="22"/>
          <w:szCs w:val="22"/>
        </w:rPr>
        <w:t xml:space="preserve">return</w:t>
      </w:r>
      <w:r>
        <w:rPr>
          <w:rFonts w:ascii="Times New Roman" w:cs="Times New Roman" w:eastAsia="Times New Roman" w:hAnsi="Times New Roman"/>
          <w:sz w:val="22"/>
          <w:szCs w:val="22"/>
        </w:rPr>
        <w:t xml:space="preserve"> INVALID, but this </w:t>
      </w:r>
      <w:r>
        <w:rPr>
          <w:rFonts w:ascii="Times New Roman" w:cs="Times New Roman" w:eastAsia="Times New Roman" w:hAnsi="Times New Roman"/>
          <w:sz w:val="22"/>
          <w:szCs w:val="22"/>
        </w:rPr>
        <w:t xml:space="preserve">check is not yet implemented.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implemented temporal and revocation checks already ensure</w:t>
      </w:r>
      <w:r>
        <w:rPr>
          <w:rFonts w:ascii="Times New Roman" w:cs="Times New Roman" w:eastAsia="Times New Roman" w:hAnsi="Times New Roman"/>
          <w:sz w:val="22"/>
          <w:szCs w:val="22"/>
        </w:rPr>
        <w:t xml:space="preserve">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w:t>
      </w:r>
      <w:r>
        <w:rPr>
          <w:rFonts w:ascii="Times New Roman" w:cs="Times New Roman" w:eastAsia="Times New Roman" w:hAnsi="Times New Roman"/>
          <w:sz w:val="22"/>
          <w:szCs w:val="22"/>
        </w:rPr>
        <w:t xml:space="preserve"> The main activities of the next stage</w:t>
      </w:r>
      <w:r>
        <w:rPr>
          <w:rFonts w:ascii="Times New Roman" w:cs="Times New Roman" w:eastAsia="Times New Roman" w:hAnsi="Times New Roman"/>
          <w:sz w:val="22"/>
          <w:szCs w:val="22"/>
        </w:rPr>
        <w:t xml:space="preserve"> and their expected outcomes are summarised in Section 13. </w:t>
      </w:r>
      <w:r>
        <w:rPr>
          <w:rFonts w:ascii="Times New Roman" w:cs="Times New Roman" w:eastAsia="Times New Roman" w:hAnsi="Times New Roman"/>
          <w:sz w:val="22"/>
          <w:szCs w:val="22"/>
        </w:rPr>
        <w:t xml:space="preserve">The next section presents RO6, the validation of the framework on the HALAH prototype.</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Partially completed (for RQ1 to RQ4)</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The complete formal analysis and comprehensive empirical validation </w:t>
      </w:r>
      <w:r>
        <w:rPr>
          <w:rFonts w:ascii="Times New Roman" w:cs="Times New Roman" w:eastAsia="Times New Roman" w:hAnsi="Times New Roman"/>
          <w:sz w:val="22"/>
          <w:szCs w:val="22"/>
        </w:rPr>
        <w:t xml:space="preserve">will be conducted in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11.1 sets out the validation approach, Section 11.2 describes the dataset, Section 11.3 presents the HALAH prototype and the live scenarios, Section 11.4 reports the measured results, Section 11.5 reports the unit-level adversarial tests, and Section 11.6 lists the remaining work.</w:t>
      </w:r>
    </w:p>
    <w:p>
      <w:pPr>
        <w:pStyle w:val="Heading2"/>
        <w:keepNext/>
        <w:spacing w:after="120" w:before="240"/>
      </w:pPr>
      <w:r>
        <w:rPr>
          <w:rFonts w:ascii="Times New Roman" w:cs="Times New Roman" w:eastAsia="Times New Roman" w:hAnsi="Times New Roman"/>
          <w:b/>
          <w:bCs/>
          <w:sz w:val="26"/>
          <w:szCs w:val="26"/>
        </w:rPr>
        <w:t xml:space="preserve">11.1  </w:t>
      </w:r>
      <w:r>
        <w:rPr>
          <w:rFonts w:ascii="Times New Roman" w:cs="Times New Roman" w:eastAsia="Times New Roman" w:hAnsi="Times New Roman"/>
          <w:b/>
          <w:bCs/>
          <w:sz w:val="26"/>
          <w:szCs w:val="26"/>
        </w:rPr>
        <w:t xml:space="preserve">Validation Approach</w:t>
      </w:r>
    </w:p>
    <w:p>
      <w:pPr>
        <w:spacing w:after="110" w:line="264"/>
        <w:jc w:val="both"/>
      </w:pPr>
      <w:r>
        <w:rPr>
          <w:rFonts w:ascii="Times New Roman" w:cs="Times New Roman" w:eastAsia="Times New Roman" w:hAnsi="Times New Roman"/>
          <w:sz w:val="22"/>
          <w:szCs w:val="22"/>
        </w:rPr>
        <w:t xml:space="preserve">Figure 11.1 presents the RO6 workflow for formal security assurance and empirical validation. </w:t>
      </w:r>
      <w:r>
        <w:rPr>
          <w:rFonts w:ascii="Times New Roman" w:cs="Times New Roman" w:eastAsia="Times New Roman" w:hAnsi="Times New Roman"/>
          <w:sz w:val="22"/>
          <w:szCs w:val="22"/>
        </w:rPr>
        <w:t xml:space="preserve"> 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4752975" cy="5334000"/>
            <wp:effectExtent t="0" r="0" b="0" l="0"/>
            <wp:docPr id="1" name="F16.png" descr="RO6 workflow for formal security assurance and empirical validation" title="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 </w:t>
      </w:r>
      <w:r>
        <w:rPr>
          <w:rFonts w:ascii="Times New Roman" w:cs="Times New Roman" w:eastAsia="Times New Roman" w:hAnsi="Times New Roman"/>
          <w:sz w:val="18"/>
          <w:szCs w:val="18"/>
        </w:rPr>
        <w:t xml:space="preserve">RO6 workflow for formal security assurance and empirical validation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w:t>
      </w:r>
      <w:r>
        <w:rPr>
          <w:rFonts w:ascii="Times New Roman" w:cs="Times New Roman" w:eastAsia="Times New Roman" w:hAnsi="Times New Roman"/>
          <w:sz w:val="22"/>
          <w:szCs w:val="22"/>
          <w:highlight w:val="magenta"/>
        </w:rPr>
        <w:t xml:space="preserve">Functional correctness and security correctness are therefore tested separately.</w:t>
      </w:r>
      <w:r>
        <w:rPr>
          <w:rFonts w:ascii="Times New Roman" w:cs="Times New Roman" w:eastAsia="Times New Roman" w:hAnsi="Times New Roman"/>
          <w:sz w:val="22"/>
          <w:szCs w:val="22"/>
        </w:rPr>
        <w:t xml:space="preserve">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(11.1)</w:t>
      </w:r>
    </w:p>
    <w:p>
      <w:pPr>
        <w:spacing w:after="110" w:line="264"/>
        <w:jc w:val="both"/>
      </w:pPr>
      <w:r>
        <w:rPr>
          <w:rFonts w:ascii="Times New Roman" w:cs="Times New Roman" w:eastAsia="Times New Roman" w:hAnsi="Times New Roman"/>
          <w:sz w:val="22"/>
          <w:szCs w:val="22"/>
        </w:rPr>
        <w:t xml:space="preserve">Equivalently, Equation (11.2), the contrapositive of Equation (11.1), states that if any mandatory condition is violated, the request must be denied. Equation (11.1) is therefore examined through the 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w:t>
      </w:r>
      <w:r>
        <w:rPr>
          <w:rFonts w:ascii="Times New Roman" w:cs="Times New Roman" w:eastAsia="Times New Roman" w:hAnsi="Times New Roman"/>
          <w:sz w:val="22"/>
          <w:szCs w:val="22"/>
        </w:rPr>
        <w:t xml:space="preserve">of the five predicates of Equation (10.3)</w:t>
      </w:r>
      <w:r>
        <w:rPr>
          <w:rFonts w:ascii="Times New Roman" w:cs="Times New Roman" w:eastAsia="Times New Roman" w:hAnsi="Times New Roman"/>
          <w:sz w:val="22"/>
          <w:szCs w:val="22"/>
        </w:rPr>
        <w:t xml:space="preserve"> has a dedicated failure test, because successful operation under valid conditions alone cannot demonstrate that unauthorised access is reliably prevented.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Decision(C, R, t) = DENY.</w:t>
      </w:r>
      <w:r>
        <w:rPr>
          <w:rFonts w:ascii="Times New Roman" w:cs="Times New Roman" w:eastAsia="Times New Roman" w:hAnsi="Times New Roman"/>
          <w:sz w:val="22"/>
          <w:szCs w:val="22"/>
        </w:rPr>
        <w:t xml:space="preserve">	(11.2)</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 Its 23 functional and regression tests examine whether access is denied when identity verification fails, when the required authorisation threshold is not satisfied, </w:t>
      </w:r>
      <w:r>
        <w:rPr>
          <w:rFonts w:ascii="Times New Roman" w:cs="Times New Roman" w:eastAsia="Times New Roman" w:hAnsi="Times New Roman"/>
          <w:sz w:val="22"/>
          <w:szCs w:val="22"/>
        </w:rPr>
        <w:t xml:space="preserve">when the requested data scope falls outside the consent scope, or when the consent purpose is not a supported healthcare use</w:t>
      </w:r>
      <w:r>
        <w:rPr>
          <w:rFonts w:ascii="Times New Roman" w:cs="Times New Roman" w:eastAsia="Times New Roman" w:hAnsi="Times New Roman"/>
          <w:sz w:val="22"/>
          <w:szCs w:val="22"/>
        </w:rPr>
        <w:t xml:space="preserve">. They also cover invalid EIP-712 guardian signatures and tampered or expired zero-knowledge proofs, whereas the 13 adversarial tests cover a baseline and twelve attack scenarios.</w:t>
      </w:r>
    </w:p>
    <w:p>
      <w:pPr>
        <w:pStyle w:val="Heading2"/>
        <w:keepNext/>
        <w:spacing w:after="120" w:before="240"/>
      </w:pPr>
      <w:r>
        <w:rPr>
          <w:rFonts w:ascii="Times New Roman" w:cs="Times New Roman" w:eastAsia="Times New Roman" w:hAnsi="Times New Roman"/>
          <w:b/>
          <w:bCs/>
          <w:sz w:val="26"/>
          <w:szCs w:val="26"/>
        </w:rPr>
        <w:t xml:space="preserve">11.2  </w:t>
      </w:r>
      <w:r>
        <w:rPr>
          <w:rFonts w:ascii="Times New Roman" w:cs="Times New Roman" w:eastAsia="Times New Roman" w:hAnsi="Times New Roman"/>
          <w:b/>
          <w:bCs/>
          <w:sz w:val="26"/>
          <w:szCs w:val="26"/>
        </w:rPr>
        <w:t xml:space="preserve">Dataset Used for Validation</w:t>
      </w:r>
    </w:p>
    <w:p>
      <w:pPr>
        <w:spacing w:after="110" w:line="264"/>
        <w:jc w:val="both"/>
      </w:pPr>
      <w:r>
        <w:rPr>
          <w:rFonts w:ascii="Times New Roman" w:cs="Times New Roman" w:eastAsia="Times New Roman" w:hAnsi="Times New Roman"/>
          <w:sz w:val="22"/>
          <w:szCs w:val="22"/>
        </w:rPr>
        <w:t xml:space="preserve">The prototype uses synthetic patient records from the Synthea 1K sample </w:t>
      </w:r>
      <w:r>
        <w:rPr>
          <w:rFonts w:ascii="Times New Roman" w:cs="Times New Roman" w:eastAsia="Times New Roman" w:hAnsi="Times New Roman"/>
          <w:sz w:val="22"/>
          <w:szCs w:val="22"/>
          <w:highlight w:val="green"/>
        </w:rPr>
        <w:t xml:space="preserve">(Walonoski et al. 2018)</w:t>
      </w:r>
      <w:r>
        <w:rPr>
          <w:rFonts w:ascii="Times New Roman" w:cs="Times New Roman" w:eastAsia="Times New Roman" w:hAnsi="Times New Roman"/>
          <w:sz w:val="22"/>
          <w:szCs w:val="22"/>
        </w:rPr>
        <w:t xml:space="preserve">, taken from synthea.mitre.org in its CSV export rather than its FHIR R4 export </w:t>
      </w:r>
      <w:r>
        <w:rPr>
          <w:rFonts w:ascii="Times New Roman" w:cs="Times New Roman" w:eastAsia="Times New Roman" w:hAnsi="Times New Roman"/>
          <w:sz w:val="22"/>
          <w:szCs w:val="22"/>
          <w:highlight w:val="green"/>
        </w:rPr>
        <w:t xml:space="preserve">(HL7 International 2019)</w:t>
      </w:r>
      <w:r>
        <w:rPr>
          <w:rFonts w:ascii="Times New Roman" w:cs="Times New Roman" w:eastAsia="Times New Roman" w:hAnsi="Times New Roman"/>
          <w:sz w:val="22"/>
          <w:szCs w:val="22"/>
        </w:rPr>
        <w:t xml:space="preserve">.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only step is the selection of the subset loaded into the local database of the prototype.</w:t>
      </w:r>
    </w:p>
    <w:p>
      <w:pPr>
        <w:pStyle w:val="Heading2"/>
        <w:keepNext/>
        <w:spacing w:after="120" w:before="240"/>
      </w:pPr>
      <w:r>
        <w:rPr>
          <w:rFonts w:ascii="Times New Roman" w:cs="Times New Roman" w:eastAsia="Times New Roman" w:hAnsi="Times New Roman"/>
          <w:b/>
          <w:bCs/>
          <w:sz w:val="26"/>
          <w:szCs w:val="26"/>
        </w:rPr>
        <w:t xml:space="preserve">11.3  </w:t>
      </w:r>
      <w:r>
        <w:rPr>
          <w:rFonts w:ascii="Times New Roman" w:cs="Times New Roman" w:eastAsia="Times New Roman" w:hAnsi="Times New Roman"/>
          <w:b/>
          <w:bCs/>
          <w:sz w:val="26"/>
          <w:szCs w:val="26"/>
        </w:rPr>
        <w:t xml:space="preserve">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 HALAH (History Access Link for Authorised Healthcare) is a </w:t>
      </w:r>
      <w:r>
        <w:rPr>
          <w:rFonts w:ascii="Times New Roman" w:cs="Times New Roman" w:eastAsia="Times New Roman" w:hAnsi="Times New Roman"/>
          <w:sz w:val="22"/>
          <w:szCs w:val="22"/>
        </w:rPr>
        <w:t xml:space="preserve">consent management platform. The current system includes separate patient, guardian, doctor, and auditor interfaces</w:t>
      </w:r>
      <w:r>
        <w:rPr>
          <w:rFonts w:ascii="Times New Roman" w:cs="Times New Roman" w:eastAsia="Times New Roman" w:hAnsi="Times New Roman"/>
          <w:sz w:val="22"/>
          <w:szCs w:val="22"/>
        </w:rPr>
        <w:t xml:space="preserve">, and the role shown in an interface is declared rather than authenticated, as noted in Section 5</w:t>
      </w:r>
      <w:r>
        <w:rPr>
          <w:rFonts w:ascii="Times New Roman" w:cs="Times New Roman" w:eastAsia="Times New Roman" w:hAnsi="Times New Roman"/>
          <w:sz w:val="22"/>
          <w:szCs w:val="22"/>
        </w:rPr>
        <w:t xml:space="preserve">. It also records consent creation, guardian approval, token minting, state checks, and data-access events. Following successful threshold satisfaction, the system generates activation or token evidence associated with the authorisation decision through ConsentSBTv3</w:t>
      </w:r>
      <w:r>
        <w:rPr>
          <w:rFonts w:ascii="Times New Roman" w:cs="Times New Roman" w:eastAsia="Times New Roman" w:hAnsi="Times New Roman"/>
          <w:sz w:val="22"/>
          <w:szCs w:val="22"/>
        </w:rPr>
        <w:t xml:space="preserve">, a contract written in Solidity </w:t>
      </w:r>
      <w:r>
        <w:rPr>
          <w:rFonts w:ascii="Times New Roman" w:cs="Times New Roman" w:eastAsia="Times New Roman" w:hAnsi="Times New Roman"/>
          <w:sz w:val="22"/>
          <w:szCs w:val="22"/>
          <w:highlight w:val="green"/>
        </w:rPr>
        <w:t xml:space="preserve">(Ethereum Foundation 2026a)</w:t>
      </w:r>
      <w:r>
        <w:rPr>
          <w:rFonts w:ascii="Times New Roman" w:cs="Times New Roman" w:eastAsia="Times New Roman" w:hAnsi="Times New Roman"/>
          <w:sz w:val="22"/>
          <w:szCs w:val="22"/>
        </w:rPr>
        <w:t xml:space="preserve"> for the Ethereum virtual machine </w:t>
      </w:r>
      <w:r>
        <w:rPr>
          <w:rFonts w:ascii="Times New Roman" w:cs="Times New Roman" w:eastAsia="Times New Roman" w:hAnsi="Times New Roman"/>
          <w:sz w:val="22"/>
          <w:szCs w:val="22"/>
          <w:highlight w:val="green"/>
        </w:rPr>
        <w:t xml:space="preserve">(Wood 2014)</w:t>
      </w:r>
      <w:r>
        <w:rPr>
          <w:rFonts w:ascii="Times New Roman" w:cs="Times New Roman" w:eastAsia="Times New Roman" w:hAnsi="Times New Roman"/>
          <w:sz w:val="22"/>
          <w:szCs w:val="22"/>
        </w:rPr>
        <w:t xml:space="preserve">, compiled in Remix</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green"/>
        </w:rPr>
        <w:t xml:space="preserve">(Ethereum Foundation 2026c)</w:t>
      </w:r>
      <w:r>
        <w:rPr>
          <w:rFonts w:ascii="Times New Roman" w:cs="Times New Roman" w:eastAsia="Times New Roman" w:hAnsi="Times New Roman"/>
          <w:sz w:val="22"/>
          <w:szCs w:val="22"/>
        </w:rPr>
        <w:t xml:space="preserve"> and deployed </w:t>
      </w:r>
      <w:r>
        <w:rPr>
          <w:rFonts w:ascii="Times New Roman" w:cs="Times New Roman" w:eastAsia="Times New Roman" w:hAnsi="Times New Roman"/>
          <w:sz w:val="22"/>
          <w:szCs w:val="22"/>
        </w:rPr>
        <w:t xml:space="preserve">on the Sepolia testnet </w:t>
      </w:r>
      <w:r>
        <w:rPr>
          <w:rFonts w:ascii="Times New Roman" w:cs="Times New Roman" w:eastAsia="Times New Roman" w:hAnsi="Times New Roman"/>
          <w:sz w:val="22"/>
          <w:szCs w:val="22"/>
          <w:highlight w:val="green"/>
        </w:rPr>
        <w:t xml:space="preserve">(Ethereum Foundation 2026b)</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via MetaMask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green"/>
        </w:rPr>
        <w:t xml:space="preserve">(Consensys 2026)</w:t>
      </w:r>
      <w:r>
        <w:rPr>
          <w:rFonts w:ascii="Times New Roman" w:cs="Times New Roman" w:eastAsia="Times New Roman" w:hAnsi="Times New Roman"/>
          <w:sz w:val="22"/>
          <w:szCs w:val="22"/>
        </w:rPr>
        <w:t xml:space="preserve">. Each token stores the pseudonymous patient and requester addresses, a hash of the purpose, the validity window, a two-letter jurisdiction code, and a revocation flag. </w:t>
      </w:r>
      <w:r>
        <w:rPr>
          <w:rFonts w:ascii="Times New Roman" w:cs="Times New Roman" w:eastAsia="Times New Roman" w:hAnsi="Times New Roman"/>
          <w:sz w:val="22"/>
          <w:szCs w:val="22"/>
        </w:rPr>
        <w:t xml:space="preserve">The SBT, a soulbound ERC-721 token </w:t>
      </w:r>
      <w:r>
        <w:rPr>
          <w:rFonts w:ascii="Times New Roman" w:cs="Times New Roman" w:eastAsia="Times New Roman" w:hAnsi="Times New Roman"/>
          <w:sz w:val="22"/>
          <w:szCs w:val="22"/>
          <w:highlight w:val="green"/>
        </w:rPr>
        <w:t xml:space="preserve">(Entriken et al. 2018)</w:t>
      </w:r>
      <w:r>
        <w:rPr>
          <w:rFonts w:ascii="Times New Roman" w:cs="Times New Roman" w:eastAsia="Times New Roman" w:hAnsi="Times New Roman"/>
          <w:sz w:val="22"/>
          <w:szCs w:val="22"/>
        </w:rPr>
        <w:t xml:space="preserve"> that follows ERC-5484 </w:t>
      </w:r>
      <w:r>
        <w:rPr>
          <w:rFonts w:ascii="Times New Roman" w:cs="Times New Roman" w:eastAsia="Times New Roman" w:hAnsi="Times New Roman"/>
          <w:sz w:val="22"/>
          <w:szCs w:val="22"/>
          <w:highlight w:val="green"/>
        </w:rPr>
        <w:t xml:space="preserve">(Cai 2022)</w:t>
      </w:r>
      <w:r>
        <w:rPr>
          <w:rFonts w:ascii="Times New Roman" w:cs="Times New Roman" w:eastAsia="Times New Roman" w:hAnsi="Times New Roman"/>
          <w:sz w:val="22"/>
          <w:szCs w:val="22"/>
        </w:rPr>
        <w:t xml:space="preserve"> and whose transfer between accounts is blocked,</w:t>
      </w:r>
      <w:r>
        <w:rPr>
          <w:rFonts w:ascii="Times New Roman" w:cs="Times New Roman" w:eastAsia="Times New Roman" w:hAnsi="Times New Roman"/>
          <w:sz w:val="22"/>
          <w:szCs w:val="22"/>
        </w:rPr>
        <w:t xml:space="preserve">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w:t>
      </w:r>
      <w:r>
        <w:rPr>
          <w:rFonts w:ascii="Times New Roman" w:cs="Times New Roman" w:eastAsia="Times New Roman" w:hAnsi="Times New Roman"/>
          <w:sz w:val="22"/>
          <w:szCs w:val="22"/>
        </w:rPr>
        <w:t xml:space="preserve"> The system represents patients and healthcare participants using decentralised identities and provides mechanisms for consent creation, participant verification, multi-party approval, and access-control evaluation.</w:t>
      </w:r>
      <w:r>
        <w:rPr>
          <w:rFonts w:ascii="Times New Roman" w:cs="Times New Roman" w:eastAsia="Times New Roman" w:hAnsi="Times New Roman"/>
          <w:sz w:val="22"/>
          <w:szCs w:val="22"/>
        </w:rPr>
        <w:t xml:space="preserve"> The synthetic records that the prototype loads are described in Section 11.2.</w:t>
      </w:r>
    </w:p>
    <w:p>
      <w:pPr>
        <w:spacing w:after="110" w:line="264"/>
        <w:jc w:val="both"/>
      </w:pPr>
      <w:r>
        <w:rPr>
          <w:rFonts w:ascii="Times New Roman" w:cs="Times New Roman" w:eastAsia="Times New Roman" w:hAnsi="Times New Roman"/>
          <w:sz w:val="22"/>
          <w:szCs w:val="22"/>
        </w:rPr>
        <w:t xml:space="preserve">The evaluated consent, f050c29a, was carried through the complete lifecycle as token #1, being granted access, refused access, and finally revoked. </w:t>
      </w:r>
      <w:r>
        <w:rPr>
          <w:rFonts w:ascii="Times New Roman" w:cs="Times New Roman" w:eastAsia="Times New Roman" w:hAnsi="Times New Roman"/>
          <w:sz w:val="22"/>
          <w:szCs w:val="22"/>
        </w:rPr>
        <w:t xml:space="preserve">Figure 11.4 shows the evaluated consent f050c29a.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creation, approval, and record-display screens (Figure 11.2, Figure 11.3 and Figure 11.5) were captured from a second lifecycle, 04da25f5, which used the same code, contract, and configuration and was anchored as token #2.</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w:t>
      </w:r>
      <w:r>
        <w:rPr>
          <w:rFonts w:ascii="Times New Roman" w:cs="Times New Roman" w:eastAsia="Times New Roman" w:hAnsi="Times New Roman"/>
          <w:sz w:val="22"/>
          <w:szCs w:val="22"/>
          <w:highlight w:val="magenta"/>
        </w:rPr>
        <w:t xml:space="preserve">The consent object therefore holds the information needed for identity verification, multi-party authorisation, policy evaluation, and auditability. It is a structured authorisation artefact, not only a record of patient preference</w:t>
      </w:r>
      <w:r>
        <w:rPr>
          <w:rFonts w:ascii="Times New Roman" w:cs="Times New Roman" w:eastAsia="Times New Roman" w:hAnsi="Times New Roman"/>
          <w:sz w:val="22"/>
          <w:szCs w:val="22"/>
        </w:rPr>
        <w:t xml:space="preserve">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11.2: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w:t>
      </w:r>
      <w:r>
        <w:rPr>
          <w:rFonts w:ascii="Times New Roman" w:cs="Times New Roman" w:eastAsia="Times New Roman" w:hAnsi="Times New Roman"/>
          <w:sz w:val="22"/>
          <w:szCs w:val="22"/>
        </w:rPr>
        <w:t xml:space="preserve">The public anchoring of the evaluated consent f050c29a in block 11,771,243 (block 11,771,581 for consent 04da25f5 in Figure 11.3)</w:t>
      </w:r>
      <w:r>
        <w:rPr>
          <w:rFonts w:ascii="Times New Roman" w:cs="Times New Roman" w:eastAsia="Times New Roman" w:hAnsi="Times New Roman"/>
          <w:sz w:val="22"/>
          <w:szCs w:val="22"/>
        </w:rPr>
        <w:t xml:space="preserve"> provides an immutable or otherwise tamper-evident record of the transition from a pending consent state to an active authorisation state. The trust decision is established by the verification of participants and the satisfaction of the authorisation threshold.</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11.3: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w:t>
      </w:r>
    </w:p>
    <w:p>
      <w:pPr>
        <w:keepNext/>
        <w:spacing w:after="60" w:before="160"/>
        <w:jc w:val="center"/>
      </w:pPr>
      <w:r>
        <w:drawing>
          <wp:inline distT="0" distB="0" distL="0" distR="0">
            <wp:extent cx="4476750" cy="3524250"/>
            <wp:effectExtent t="0" r="0" b="0" l="0"/>
            <wp:docPr id="1" name="F27.png" descr="Doctor subsystem for the evaluated consent f050c29a with requester jurisdiction AU: all five checks pass" title="Doctor subsystem for the evaluated consent f050c29a with requester jurisdiction AU: all five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11.4: </w:t>
      </w:r>
      <w:r>
        <w:rPr>
          <w:rFonts w:ascii="Times New Roman" w:cs="Times New Roman" w:eastAsia="Times New Roman" w:hAnsi="Times New Roman"/>
          <w:sz w:val="18"/>
          <w:szCs w:val="18"/>
        </w:rPr>
        <w:t xml:space="preserve">Doctor subsystem for the evaluated consent f050c29a with requester jurisdiction AU: all five checks pass</w:t>
      </w:r>
      <w:r>
        <w:rPr>
          <w:rFonts w:ascii="Times New Roman" w:cs="Times New Roman" w:eastAsia="Times New Roman" w:hAnsi="Times New Roman"/>
          <w:sz w:val="18"/>
          <w:szCs w:val="18"/>
        </w:rPr>
        <w:t xml:space="preserve">.</w:t>
      </w:r>
    </w:p>
    <w:p>
      <w:pPr>
        <w:keepNext/>
        <w:spacing w:after="60" w:before="160"/>
        <w:jc w:val="center"/>
      </w:pPr>
      <w:r>
        <w:drawing>
          <wp:inline distT="0" distB="0" distL="0" distR="0">
            <wp:extent cx="4695825" cy="5334000"/>
            <wp:effectExtent t="0" r="0" b="0" l="0"/>
            <wp:docPr id="1"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958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11.5: </w:t>
      </w:r>
      <w:r>
        <w:rPr>
          <w:rFonts w:ascii="Times New Roman" w:cs="Times New Roman" w:eastAsia="Times New Roman" w:hAnsi="Times New Roman"/>
          <w:sz w:val="18"/>
          <w:szCs w:val="18"/>
        </w:rPr>
        <w:t xml:space="preserve">Doctor subsystem after verification for consent 04da25f5 (two captures joined): access granted and records displayed per EMR module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4: jurisdiction violation (validates RQ4).</w:t>
      </w:r>
      <w:r>
        <w:rPr>
          <w:rFonts w:ascii="Times New Roman" w:cs="Times New Roman" w:eastAsia="Times New Roman" w:hAnsi="Times New Roman"/>
          <w:sz w:val="22"/>
          <w:szCs w:val="22"/>
        </w:rP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passed. Here,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FAIL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VL as the failed check" title="Refused request naming VL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11.6: </w:t>
      </w:r>
      <w:r>
        <w:rPr>
          <w:rFonts w:ascii="Times New Roman" w:cs="Times New Roman" w:eastAsia="Times New Roman" w:hAnsi="Times New Roman"/>
          <w:sz w:val="18"/>
          <w:szCs w:val="18"/>
        </w:rPr>
        <w:t xml:space="preserve">Refused request naming V</w:t>
      </w:r>
      <w:r>
        <w:rPr>
          <w:rFonts w:ascii="Times New Roman" w:cs="Times New Roman" w:eastAsia="Times New Roman" w:hAnsi="Times New Roman"/>
          <w:sz w:val="18"/>
          <w:szCs w:val="18"/>
          <w:vertAlign w:val="subscript"/>
        </w:rPr>
        <w:t xml:space="preserve">L</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w:t>
      </w:r>
      <w:r>
        <w:rPr>
          <w:rFonts w:ascii="Times New Roman" w:cs="Times New Roman" w:eastAsia="Times New Roman" w:hAnsi="Times New Roman"/>
          <w:sz w:val="22"/>
          <w:szCs w:val="22"/>
        </w:rPr>
        <w:t xml:space="preserve">is refused by the doctor subsystem at the consent-state check, because the consent is no longer ACTIVE</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predicate itself rejects a revoked consent, which test A8 exercises.</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5715000" cy="5153025"/>
            <wp:effectExtent t="0" r="0" b="0" l="0"/>
            <wp:docPr id="1" name="F37.png" descr="Revocation transaction on Sepolia Etherscan, block 11,771,307" title="Revocation transaction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153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11.7: </w:t>
      </w:r>
      <w:r>
        <w:rPr>
          <w:rFonts w:ascii="Times New Roman" w:cs="Times New Roman" w:eastAsia="Times New Roman" w:hAnsi="Times New Roman"/>
          <w:sz w:val="18"/>
          <w:szCs w:val="18"/>
        </w:rPr>
        <w:t xml:space="preserve">Revocation transaction on Sepolia Etherscan, block 11,771,307</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magenta"/>
        </w:rPr>
        <w:t xml:space="preserve">An auditor can examine whether access occurred, whether the requester possessed a valid identity</w:t>
      </w:r>
      <w:r>
        <w:rPr>
          <w:rFonts w:ascii="Times New Roman" w:cs="Times New Roman" w:eastAsia="Times New Roman" w:hAnsi="Times New Roman"/>
          <w:sz w:val="22"/>
          <w:szCs w:val="22"/>
        </w:rPr>
        <w:t xml:space="preserve">,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w:t>
      </w:r>
      <w:r>
        <w:rPr>
          <w:rFonts w:ascii="Times New Roman" w:cs="Times New Roman" w:eastAsia="Times New Roman" w:hAnsi="Times New Roman"/>
          <w:sz w:val="22"/>
          <w:szCs w:val="22"/>
        </w:rPr>
        <w:t xml:space="preserve">compares the on-chain record and revocation state of tokens #1 and #2 on the current contract with the local state, with the result shown in Figure 11.9. Token #8 of the earlier deployment is skipped by the tool.</w:t>
      </w:r>
    </w:p>
    <w:p>
      <w:pPr>
        <w:keepNext/>
        <w:spacing w:after="60" w:before="160"/>
        <w:jc w:val="center"/>
      </w:pPr>
      <w:r>
        <w:drawing>
          <wp:inline distT="0" distB="0" distL="0" distR="0">
            <wp:extent cx="5715000" cy="3067050"/>
            <wp:effectExtent t="0" r="0" b="0" l="0"/>
            <wp:docPr id="1"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670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11.8: </w:t>
      </w:r>
      <w:r>
        <w:rPr>
          <w:rFonts w:ascii="Times New Roman" w:cs="Times New Roman" w:eastAsia="Times New Roman" w:hAnsi="Times New Roman"/>
          <w:sz w:val="18"/>
          <w:szCs w:val="18"/>
        </w:rPr>
        <w:t xml:space="preserve">Auditor subsystem </w:t>
      </w:r>
      <w:r>
        <w:rPr>
          <w:rFonts w:ascii="Times New Roman" w:cs="Times New Roman" w:eastAsia="Times New Roman" w:hAnsi="Times New Roman"/>
          <w:sz w:val="18"/>
          <w:szCs w:val="18"/>
        </w:rPr>
        <w:t xml:space="preserve">(two captures joined)</w:t>
      </w:r>
      <w:r>
        <w:rPr>
          <w:rFonts w:ascii="Times New Roman" w:cs="Times New Roman" w:eastAsia="Times New Roman" w:hAnsi="Times New Roman"/>
          <w:sz w:val="18"/>
          <w:szCs w:val="18"/>
        </w:rPr>
        <w:t xml:space="preserve">: aggregate indicators and the audit ledger rows of the evaluated consent.</w:t>
      </w:r>
    </w:p>
    <w:p>
      <w:pPr>
        <w:keepNext/>
        <w:spacing w:after="60" w:before="160"/>
        <w:jc w:val="center"/>
      </w:pPr>
      <w:r>
        <w:drawing>
          <wp:inline distT="0" distB="0" distL="0" distR="0">
            <wp:extent cx="5715000" cy="3295650"/>
            <wp:effectExtent t="0" r="0" b="0" l="0"/>
            <wp:docPr id="1"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11.9: </w:t>
      </w:r>
      <w:r>
        <w:rPr>
          <w:rFonts w:ascii="Times New Roman" w:cs="Times New Roman" w:eastAsia="Times New Roman" w:hAnsi="Times New Roman"/>
          <w:sz w:val="18"/>
          <w:szCs w:val="18"/>
        </w:rPr>
        <w:t xml:space="preserve">Independent verification against Sepolia, abridged (hashes and addresses shortened, the notes on the earlier deployment added, and the lines for unanchored consents and the skipped token #8 omitted): RESULT: ALL CHECKS PASSED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w:t>
      </w:r>
      <w:r>
        <w:rPr>
          <w:rFonts w:ascii="Times New Roman" w:cs="Times New Roman" w:eastAsia="Times New Roman" w:hAnsi="Times New Roman"/>
          <w:sz w:val="22"/>
          <w:szCs w:val="22"/>
          <w:highlight w:val="magenta"/>
        </w:rPr>
        <w:t xml:space="preserve">The subsystems have different responsibilities, and none of them decides on its own whether access should be granted.</w:t>
      </w:r>
    </w:p>
    <w:p>
      <w:pPr>
        <w:keepNext/>
        <w:spacing w:after="80" w:before="200"/>
        <w:jc w:val="center"/>
      </w:pPr>
      <w:r>
        <w:rPr>
          <w:rFonts w:ascii="Times New Roman" w:cs="Times New Roman" w:eastAsia="Times New Roman" w:hAnsi="Times New Roman"/>
          <w:b/>
          <w:bCs/>
          <w:sz w:val="18"/>
          <w:szCs w:val="18"/>
        </w:rPr>
        <w:t xml:space="preserve">Table 11.1: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the guardian DID format and verifies the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Implements the 2-of-2 approval condition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Verifies the request, including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Jurisdictional Constraint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Authorisation Evidence / Revocation (E)</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11.4  </w:t>
      </w:r>
      <w:r>
        <w:rPr>
          <w:rFonts w:ascii="Times New Roman" w:cs="Times New Roman" w:eastAsia="Times New Roman" w:hAnsi="Times New Roman"/>
          <w:b/>
          <w:bCs/>
          <w:sz w:val="26"/>
          <w:szCs w:val="26"/>
        </w:rPr>
        <w:t xml:space="preserve">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11.2: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11.10: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proof mode itself is written only on granted rows, which is why Table 11.3 shows it as not logged for that row</w:t>
      </w:r>
      <w:r>
        <w:rPr>
          <w:rFonts w:ascii="Times New Roman" w:cs="Times New Roman" w:eastAsia="Times New Roman" w:hAnsi="Times New Roman"/>
          <w:sz w:val="22"/>
          <w:szCs w:val="22"/>
        </w:rPr>
        <w:t xml:space="preserve">. In each of the six logged evaluations, the recorded audit evidence is consistent with the actual authorisation decision. </w:t>
      </w:r>
      <w:r>
        <w:rPr>
          <w:rFonts w:ascii="Times New Roman" w:cs="Times New Roman" w:eastAsia="Times New Roman" w:hAnsi="Times New Roman"/>
          <w:sz w:val="22"/>
          <w:szCs w:val="22"/>
          <w:highlight w:val="magenta"/>
        </w:rPr>
        <w:t xml:space="preserve">Validation therefore checks the evidence behind each decision as well as the final ALLOW or DENY.</w:t>
      </w:r>
      <w:r>
        <w:rPr>
          <w:rFonts w:ascii="Times New Roman" w:cs="Times New Roman" w:eastAsia="Times New Roman" w:hAnsi="Times New Roman"/>
          <w:sz w:val="22"/>
          <w:szCs w:val="22"/>
        </w:rPr>
        <w:t xml:space="preserve">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has no ledger row, because the doctor subsystem stops the request before it can be submitted.</w:t>
      </w:r>
    </w:p>
    <w:p>
      <w:pPr>
        <w:keepNext/>
        <w:spacing w:after="80" w:before="200"/>
        <w:jc w:val="center"/>
      </w:pPr>
      <w:r>
        <w:rPr>
          <w:rFonts w:ascii="Times New Roman" w:cs="Times New Roman" w:eastAsia="Times New Roman" w:hAnsi="Times New Roman"/>
          <w:b/>
          <w:bCs/>
          <w:sz w:val="18"/>
          <w:szCs w:val="18"/>
        </w:rPr>
        <w:t xml:space="preserve">Table 11.3: </w:t>
      </w:r>
      <w:r>
        <w:rPr>
          <w:rFonts w:ascii="Times New Roman" w:cs="Times New Roman" w:eastAsia="Times New Roman" w:hAnsi="Times New Roman"/>
          <w:sz w:val="18"/>
          <w:szCs w:val="18"/>
        </w:rPr>
        <w:t xml:space="preserve">Access decisions recorded in the audit ledger, with the decision matrix of each logged evaluation and the access result that followed. Rows are the index numbers of the exported ledger, counted from 0, and n/l means not logged</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L</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sz w:val="22"/>
          <w:szCs w:val="22"/>
        </w:rPr>
        <w:t xml:space="preserve">Table 11.4 summarises the processing time of the decision components, with the decision rule timed over 1,000 evaluations of the five predicates on a loaded consent object without signature recovery.</w:t>
      </w:r>
    </w:p>
    <w:p>
      <w:pPr>
        <w:keepNext/>
        <w:spacing w:after="80" w:before="200"/>
        <w:jc w:val="center"/>
      </w:pPr>
      <w:r>
        <w:rPr>
          <w:rFonts w:ascii="Times New Roman" w:cs="Times New Roman" w:eastAsia="Times New Roman" w:hAnsi="Times New Roman"/>
          <w:b/>
          <w:bCs/>
          <w:sz w:val="18"/>
          <w:szCs w:val="18"/>
        </w:rPr>
        <w:t xml:space="preserve">Table 11.4: </w:t>
      </w:r>
      <w:r>
        <w:rPr>
          <w:rFonts w:ascii="Times New Roman" w:cs="Times New Roman" w:eastAsia="Times New Roman" w:hAnsi="Times New Roman"/>
          <w:sz w:val="18"/>
          <w:szCs w:val="18"/>
        </w:rPr>
        <w:t xml:space="preserve">Processing time of the decision components and of the on-chain reads of the verification tool, measured in the development container</w:t>
      </w:r>
      <w:r>
        <w:rPr>
          <w:rFonts w:ascii="Times New Roman" w:cs="Times New Roman" w:eastAsia="Times New Roman" w:hAnsi="Times New Roman"/>
          <w:sz w:val="18"/>
          <w:szCs w:val="18"/>
        </w:rPr>
        <w:t xml:space="preserve"> used for the demonstration, with the anchoring confirmation taken from Table 11.2</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Decision rule, five predicates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2.37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2.60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2.32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31.59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11.11, the time taken to evaluate the decision rule is negligible,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is the slowest step, but it runs in the background, so it delays neither the guardians nor the doctor.</w:t>
      </w:r>
    </w:p>
    <w:p>
      <w:pPr>
        <w:keepNext/>
        <w:spacing w:after="60" w:before="160"/>
        <w:jc w:val="center"/>
      </w:pPr>
      <w:r>
        <w:drawing>
          <wp:inline distT="0" distB="0" distL="0" distR="0">
            <wp:extent cx="5715000" cy="2876550"/>
            <wp:effectExtent t="0" r="0" b="0" l="0"/>
            <wp:docPr id="1" name="F42.png" descr="Processing time of the decision components on a logarithmic axis (median and minimum to maximum). The checkValid read of Table 11.4 is not plotted, as its values are close to those of the checkValidAt read" title="Processing time of the decision components on a logarithmic axis (median and minimum to maximum). The checkValid read of Table 11.4 is not plotted, as its values are close to those of the checkValidA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765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11.11: </w:t>
      </w:r>
      <w:r>
        <w:rPr>
          <w:rFonts w:ascii="Times New Roman" w:cs="Times New Roman" w:eastAsia="Times New Roman" w:hAnsi="Times New Roman"/>
          <w:sz w:val="18"/>
          <w:szCs w:val="18"/>
        </w:rPr>
        <w:t xml:space="preserve">Processing time of the decision components on a logarithmic axis (median and minimum to maximum). The checkValid read of Table 11.4 is not plotted, as its values are close to those of the checkValidAt read</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11.5  </w:t>
      </w:r>
      <w:r>
        <w:rPr>
          <w:rFonts w:ascii="Times New Roman" w:cs="Times New Roman" w:eastAsia="Times New Roman" w:hAnsi="Times New Roman"/>
          <w:b/>
          <w:bCs/>
          <w:sz w:val="26"/>
          <w:szCs w:val="26"/>
        </w:rPr>
        <w:t xml:space="preserve">Unit-Level Adversarial Tests</w:t>
      </w:r>
    </w:p>
    <w:p>
      <w:pPr>
        <w:spacing w:after="110" w:line="264"/>
        <w:jc w:val="both"/>
      </w:pPr>
      <w:r>
        <w:rPr>
          <w:rFonts w:ascii="Times New Roman" w:cs="Times New Roman" w:eastAsia="Times New Roman" w:hAnsi="Times New Roman"/>
          <w:sz w:val="22"/>
          <w:szCs w:val="22"/>
          <w:highlight w:val="magenta"/>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The adversarial tests assume honest infrastructure and exercise the decision functions,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twelve scenarios A1 to A12 include replayed approvals, duplicate approvals, unauthorised participants attempting to satisfy a threshold, attempts to access data outside the authorised scope, and attempts to use a revoked or expired consent object. Each scenario is associated with an expected authorisation outcome and </w:t>
      </w:r>
      <w:r>
        <w:rPr>
          <w:rFonts w:ascii="Times New Roman" w:cs="Times New Roman" w:eastAsia="Times New Roman" w:hAnsi="Times New Roman"/>
          <w:sz w:val="22"/>
          <w:szCs w:val="22"/>
        </w:rPr>
        <w:t xml:space="preserve">the component of C that it targets, as listed in Table 11.5</w:t>
      </w:r>
      <w:r>
        <w:rPr>
          <w:rFonts w:ascii="Times New Roman" w:cs="Times New Roman" w:eastAsia="Times New Roman" w:hAnsi="Times New Roman"/>
          <w:sz w:val="22"/>
          <w:szCs w:val="22"/>
        </w:rPr>
        <w:t xml:space="preserv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11.5 and Figure 11.12 record whether each scenario has passed or failed. Before the hardening, three attacks, A1, A3, and A5, were accepted when the service functions were called directly. </w:t>
      </w:r>
      <w:r>
        <w:rPr>
          <w:rFonts w:ascii="Times New Roman" w:cs="Times New Roman" w:eastAsia="Times New Roman" w:hAnsi="Times New Roman"/>
          <w:sz w:val="22"/>
          <w:szCs w:val="22"/>
          <w:highlight w:val="magenta"/>
        </w:rPr>
        <w:t xml:space="preserve">A design can be correct while its implementation is not, and functional tests alone do not show this.</w:t>
      </w:r>
      <w:r>
        <w:rPr>
          <w:rFonts w:ascii="Times New Roman" w:cs="Times New Roman" w:eastAsia="Times New Roman" w:hAnsi="Times New Roman"/>
          <w:sz w:val="22"/>
          <w:szCs w:val="22"/>
        </w:rPr>
        <w:t xml:space="preserve"> Any failed scenario is analysed to determine the source and significance of the failure. </w:t>
      </w:r>
      <w:r>
        <w:rPr>
          <w:rFonts w:ascii="Times New Roman" w:cs="Times New Roman" w:eastAsia="Times New Roman" w:hAnsi="Times New Roman"/>
          <w:sz w:val="22"/>
          <w:szCs w:val="22"/>
          <w:highlight w:val="magenta"/>
        </w:rPr>
        <w:t xml:space="preserve">The analysis records the unsuccessful cases and classifies each one as a violation of an intended security property or as a limitation to be addressed in the next stage.</w:t>
      </w:r>
      <w:r>
        <w:rPr>
          <w:rFonts w:ascii="Times New Roman" w:cs="Times New Roman" w:eastAsia="Times New Roman" w:hAnsi="Times New Roman"/>
          <w:sz w:val="22"/>
          <w:szCs w:val="22"/>
        </w:rPr>
        <w:t xml:space="preserve"> None of the three was reachable through the interface as used in the 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eleven of the twelve scenarios are refused and the full suite of 36 tests passes, while in the twelfth, A11, a rewritten audit event changes its digest, which no component of the prototype compares.</w:t>
      </w:r>
    </w:p>
    <w:p>
      <w:pPr>
        <w:keepNext/>
        <w:spacing w:after="80" w:before="200"/>
        <w:jc w:val="center"/>
      </w:pPr>
      <w:r>
        <w:rPr>
          <w:rFonts w:ascii="Times New Roman" w:cs="Times New Roman" w:eastAsia="Times New Roman" w:hAnsi="Times New Roman"/>
          <w:b/>
          <w:bCs/>
          <w:sz w:val="18"/>
          <w:szCs w:val="18"/>
        </w:rPr>
        <w:t xml:space="preserve">Table 11.5: </w:t>
      </w:r>
      <w:r>
        <w:rPr>
          <w:rFonts w:ascii="Times New Roman" w:cs="Times New Roman" w:eastAsia="Times New Roman" w:hAnsi="Times New Roman"/>
          <w:sz w:val="18"/>
          <w:szCs w:val="18"/>
        </w:rPr>
        <w:t xml:space="preserve">Unit-level adversarial tests A1 to A12, their targeted component and their outcome before the hardening and after the hardening of 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11.6</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 (via VA)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bl>
    <w:p>
      <w:pPr>
        <w:spacing w:after="160"/>
      </w:pPr>
    </w:p>
    <w:p>
      <w:pPr>
        <w:keepNext/>
        <w:spacing w:after="60" w:before="160"/>
        <w:jc w:val="center"/>
      </w:pPr>
      <w:r>
        <w:drawing>
          <wp:inline distT="0" distB="0" distL="0" distR="0">
            <wp:extent cx="5715000" cy="4181475"/>
            <wp:effectExtent t="0" r="0" b="0" l="0"/>
            <wp:docPr id="1" name="F43.png" descr="Adversarial evaluation matrix for scenarios A1 to A12 before and after the hardening of 1 October 2026" title="Adversarial evaluation matrix for scenarios A1 to A12 before and after the hardening of 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1814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11.12: </w:t>
      </w:r>
      <w:r>
        <w:rPr>
          <w:rFonts w:ascii="Times New Roman" w:cs="Times New Roman" w:eastAsia="Times New Roman" w:hAnsi="Times New Roman"/>
          <w:sz w:val="18"/>
          <w:szCs w:val="18"/>
        </w:rPr>
        <w:t xml:space="preserve">Adversarial evaluation matrix for scenarios A1 to A12 before and after the hardening of 1 October 2026.</w:t>
      </w:r>
    </w:p>
    <w:p>
      <w:pPr>
        <w:spacing w:after="110" w:line="264"/>
        <w:jc w:val="both"/>
      </w:pPr>
      <w:r>
        <w:rPr>
          <w:rFonts w:ascii="Times New Roman" w:cs="Times New Roman" w:eastAsia="Times New Roman" w:hAnsi="Times New Roman"/>
          <w:sz w:val="22"/>
          <w:szCs w:val="22"/>
          <w:highlight w:val="magenta"/>
        </w:rPr>
        <w:t xml:space="preserve">The analysis separates implementation defects from incomplete security controls and from limitations of the test environment.</w:t>
      </w:r>
      <w:r>
        <w:rPr>
          <w:rFonts w:ascii="Times New Roman" w:cs="Times New Roman" w:eastAsia="Times New Roman" w:hAnsi="Times New Roman"/>
          <w:sz w:val="22"/>
          <w:szCs w:val="22"/>
        </w:rPr>
        <w:t xml:space="preserve"> The evaluation has six limitations. First, A12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11.6  </w:t>
      </w:r>
      <w:r>
        <w:rPr>
          <w:rFonts w:ascii="Times New Roman" w:cs="Times New Roman" w:eastAsia="Times New Roman" w:hAnsi="Times New Roman"/>
          <w:b/>
          <w:bCs/>
          <w:sz w:val="26"/>
          <w:szCs w:val="26"/>
        </w:rPr>
        <w:t xml:space="preserve">Remaining Work for the Next Stage</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t>
      </w:r>
      <w:r>
        <w:rPr>
          <w:rFonts w:ascii="Times New Roman" w:cs="Times New Roman" w:eastAsia="Times New Roman" w:hAnsi="Times New Roman"/>
          <w:sz w:val="22"/>
          <w:szCs w:val="22"/>
        </w:rPr>
        <w:t xml:space="preserve">will be conducted in the next stage and consist</w:t>
      </w:r>
      <w:r>
        <w:rPr>
          <w:rFonts w:ascii="Times New Roman" w:cs="Times New Roman" w:eastAsia="Times New Roman" w:hAnsi="Times New Roman"/>
          <w:sz w:val="22"/>
          <w:szCs w:val="22"/>
        </w:rPr>
        <w:t xml:space="preserve">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The soundness property Decision(C, R, t) = ALLOW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Full performance and scalability study.</w:t>
      </w:r>
      <w:r>
        <w:rPr>
          <w:rFonts w:ascii="Times New Roman" w:cs="Times New Roman" w:eastAsia="Times New Roman" w:hAnsi="Times New Roman"/>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stage will extend</w:t>
      </w:r>
      <w:r>
        <w:rPr>
          <w:rFonts w:ascii="Times New Roman" w:cs="Times New Roman" w:eastAsia="Times New Roman" w:hAnsi="Times New Roman"/>
          <w:sz w:val="22"/>
          <w:szCs w:val="22"/>
        </w:rPr>
        <w:t xml:space="preserve"> the current prototype-based evaluation to include both successful and adversarial access requests. The twelve attack scenarios will be extended to larger sets of positive, negative, and adversarial scenarios, and enforcement accuracy will be reported over this extended set. </w:t>
      </w:r>
      <w:r>
        <w:rPr>
          <w:rFonts w:ascii="Times New Roman" w:cs="Times New Roman" w:eastAsia="Times New Roman" w:hAnsi="Times New Roman"/>
          <w:sz w:val="22"/>
          <w:szCs w:val="22"/>
          <w:highlight w:val="magenta"/>
        </w:rPr>
        <w:t xml:space="preserve">The formal security model will be compared with the observed behaviour of the implemented system.</w:t>
      </w:r>
    </w:p>
    <w:p>
      <w:pPr>
        <w:spacing w:after="110" w:line="264"/>
        <w:jc w:val="both"/>
      </w:pPr>
      <w:r>
        <w:rPr>
          <w:rFonts w:ascii="Times New Roman" w:cs="Times New Roman" w:eastAsia="Times New Roman" w:hAnsi="Times New Roman"/>
          <w:sz w:val="22"/>
          <w:szCs w:val="22"/>
        </w:rPr>
        <w:t xml:space="preserve">The next stage will address</w:t>
      </w:r>
      <w:r>
        <w:rPr>
          <w:rFonts w:ascii="Times New Roman" w:cs="Times New Roman" w:eastAsia="Times New Roman" w:hAnsi="Times New Roman"/>
          <w:sz w:val="22"/>
          <w:szCs w:val="22"/>
        </w:rPr>
        <w:t xml:space="preserve"> the prototype limitations that the evaluation has exposed, which include the N-of-N approval rule, the server-derived guardian keys, the unauthenticated requester role, the absence of cryptographic DID resolution and VC validation, </w:t>
      </w:r>
      <w:r>
        <w:rPr>
          <w:rFonts w:ascii="Times New Roman" w:cs="Times New Roman" w:eastAsia="Times New Roman" w:hAnsi="Times New Roman"/>
          <w:sz w:val="22"/>
          <w:szCs w:val="22"/>
        </w:rPr>
        <w:t xml:space="preserve">the purpose check that does not yet compare a separately declared request purpose, </w:t>
      </w:r>
      <w:r>
        <w:rPr>
          <w:rFonts w:ascii="Times New Roman" w:cs="Times New Roman" w:eastAsia="Times New Roman" w:hAnsi="Times New Roman"/>
          <w:sz w:val="22"/>
          <w:szCs w:val="22"/>
        </w:rPr>
        <w:t xml:space="preserve">the missing lifecycle transition check, and the unkeyed and unchained audit digest. </w:t>
      </w:r>
      <w:r>
        <w:rPr>
          <w:rFonts w:ascii="Times New Roman" w:cs="Times New Roman" w:eastAsia="Times New Roman" w:hAnsi="Times New Roman"/>
          <w:sz w:val="22"/>
          <w:szCs w:val="22"/>
          <w:highlight w:val="magenta"/>
        </w:rPr>
        <w:t xml:space="preserve">This work establishes explicit security properties</w:t>
      </w:r>
      <w:r>
        <w:rPr>
          <w:rFonts w:ascii="Times New Roman" w:cs="Times New Roman" w:eastAsia="Times New Roman" w:hAnsi="Times New Roman"/>
          <w:sz w:val="22"/>
          <w:szCs w:val="22"/>
        </w:rPr>
        <w:t xml:space="preserve">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12.1 according to their current development status and their structural contribution to the thesis chapters and research questions.</w:t>
      </w:r>
    </w:p>
    <w:p>
      <w:pPr>
        <w:keepNext/>
        <w:spacing w:after="80" w:before="200"/>
        <w:jc w:val="center"/>
      </w:pPr>
      <w:r>
        <w:rPr>
          <w:rFonts w:ascii="Times New Roman" w:cs="Times New Roman" w:eastAsia="Times New Roman" w:hAnsi="Times New Roman"/>
          <w:b/>
          <w:bCs/>
          <w:sz w:val="18"/>
          <w:szCs w:val="18"/>
        </w:rPr>
        <w:t xml:space="preserve">Table 12.1: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Submitted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 The current stage work establishes the conceptual and technical foundation, while the next stage work will strengthen the framework through formal analysis and comprehensive empirical validation. The second publication extends Section 2 into a stand-alone review, and the third publication completes the work that Sections 10 and 11 </w:t>
      </w:r>
      <w:r>
        <w:rPr>
          <w:rFonts w:ascii="Times New Roman" w:cs="Times New Roman" w:eastAsia="Times New Roman" w:hAnsi="Times New Roman"/>
          <w:sz w:val="22"/>
          <w:szCs w:val="22"/>
        </w:rPr>
        <w:t xml:space="preserve">identify as remaining for the next stage.</w:t>
      </w:r>
      <w:r>
        <w:rPr>
          <w:rFonts w:ascii="Times New Roman" w:cs="Times New Roman" w:eastAsia="Times New Roman" w:hAnsi="Times New Roman"/>
          <w:sz w:val="22"/>
          <w:szCs w:val="22"/>
        </w:rPr>
        <w:t xml:space="preserve"> RO5 and RO6 constitute </w:t>
      </w:r>
      <w:r>
        <w:rPr>
          <w:rFonts w:ascii="Times New Roman" w:cs="Times New Roman" w:eastAsia="Times New Roman" w:hAnsi="Times New Roman"/>
          <w:sz w:val="22"/>
          <w:szCs w:val="22"/>
        </w:rPr>
        <w:t xml:space="preserve">the principal research agenda for the next stage.</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13.1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13.1: </w:t>
      </w:r>
      <w:r>
        <w:rPr>
          <w:rFonts w:ascii="Times New Roman" w:cs="Times New Roman" w:eastAsia="Times New Roman" w:hAnsi="Times New Roman"/>
          <w:sz w:val="18"/>
          <w:szCs w:val="18"/>
        </w:rPr>
        <w:t xml:space="preserve">Research plan: thesis chapters, publications and assessments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Jul–Oct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Paper conference submission,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Final 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and RO6, </w:t>
      </w:r>
      <w:r>
        <w:rPr>
          <w:rFonts w:ascii="Times New Roman" w:cs="Times New Roman" w:eastAsia="Times New Roman" w:hAnsi="Times New Roman"/>
          <w:sz w:val="22"/>
          <w:szCs w:val="22"/>
          <w:highlight w:val="magenta"/>
        </w:rPr>
        <w:t xml:space="preserve">will extend the framework of the current stage to dynamic consent governance, formal security assurance, and a fuller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lifecycle transition check, the formal lifecycle model, and c</w:t>
      </w:r>
      <w:r>
        <w:rPr>
          <w:rFonts w:ascii="Times New Roman" w:cs="Times New Roman" w:eastAsia="Times New Roman" w:hAnsi="Times New Roman"/>
          <w:sz w:val="22"/>
          <w:szCs w:val="22"/>
        </w:rPr>
        <w:t xml:space="preserve">onsent modification, delegation, and guardian-set changes extend the lifecycle trust of Section 10,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13.1: </w:t>
      </w:r>
      <w:r>
        <w:rPr>
          <w:rFonts w:ascii="Times New Roman" w:cs="Times New Roman" w:eastAsia="Times New Roman" w:hAnsi="Times New Roman"/>
          <w:sz w:val="18"/>
          <w:szCs w:val="18"/>
        </w:rPr>
        <w:t xml:space="preserve">Research timeline: completed milestones, work in progress and the planned stages up to thesis submission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13.2.</w:t>
      </w:r>
    </w:p>
    <w:p>
      <w:pPr>
        <w:keepNext/>
        <w:spacing w:after="80" w:before="200"/>
        <w:jc w:val="center"/>
      </w:pPr>
      <w:r>
        <w:rPr>
          <w:rFonts w:ascii="Times New Roman" w:cs="Times New Roman" w:eastAsia="Times New Roman" w:hAnsi="Times New Roman"/>
          <w:b/>
          <w:bCs/>
          <w:sz w:val="18"/>
          <w:szCs w:val="18"/>
        </w:rPr>
        <w:t xml:space="preserve">Table 13.2: </w:t>
      </w:r>
      <w:r>
        <w:rPr>
          <w:rFonts w:ascii="Times New Roman" w:cs="Times New Roman" w:eastAsia="Times New Roman" w:hAnsi="Times New Roman"/>
          <w:sz w:val="18"/>
          <w:szCs w:val="18"/>
        </w:rPr>
        <w:t xml:space="preserve">Next stage research activities and their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Extend the implemented lifecycle mechanism to support consent modification, delegation</w:t>
            </w:r>
            <w:r>
              <w:rPr>
                <w:rFonts w:ascii="Times New Roman" w:cs="Times New Roman" w:eastAsia="Times New Roman" w:hAnsi="Times New Roman"/>
                <w:b w:val="false"/>
                <w:bCs w:val="false"/>
                <w:sz w:val="17"/>
                <w:szCs w:val="17"/>
              </w:rPr>
              <w:t xml:space="preserve">, a declared request purpose</w:t>
            </w:r>
            <w:r>
              <w:rPr>
                <w:rFonts w:ascii="Times New Roman" w:cs="Times New Roman" w:eastAsia="Times New Roman" w:hAnsi="Times New Roman"/>
                <w:b w:val="false"/>
                <w:bCs w:val="false"/>
                <w:sz w:val="17"/>
                <w:szCs w:val="17"/>
              </w:rPr>
              <w:t xml:space="preserve"> and guardian-set changes,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spacing w:after="80" w:line="240"/>
        <w:ind w:left="560" w:hanging="560"/>
        <w:jc w:val="left"/>
      </w:pPr>
      <w:r>
        <w:rPr>
          <w:rFonts w:ascii="Times New Roman" w:cs="Times New Roman" w:eastAsia="Times New Roman" w:hAnsi="Times New Roman"/>
          <w:sz w:val="18"/>
          <w:szCs w:val="18"/>
        </w:rPr>
        <w:t xml:space="preserve">Abbasi, A., Humeidi, M.N. &amp; Wang, Q. 2026, 'Nexa: Enabling secure, scalable, and decentralized management of electronic health records using threshold cryptography and public blockchains',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50791–50810, &lt;https://doi.org/10.1109/ACCESS.2026.3677499&gt;.</w:t>
      </w:r>
    </w:p>
    <w:p>
      <w:pPr>
        <w:spacing w:after="80" w:line="240"/>
        <w:ind w:left="560" w:hanging="560"/>
        <w:jc w:val="left"/>
      </w:pPr>
      <w:r>
        <w:rPr>
          <w:rFonts w:ascii="Times New Roman" w:cs="Times New Roman" w:eastAsia="Times New Roman" w:hAnsi="Times New Roman"/>
          <w:sz w:val="18"/>
          <w:szCs w:val="18"/>
        </w:rPr>
        <w:t xml:space="preserve">Akter, S. &amp; Sanam, T.F. 2025, 'A blockchain framework for secure healthcare data management using role-based access control and smart contracts', </w:t>
      </w:r>
      <w:r>
        <w:rPr>
          <w:rFonts w:ascii="Times New Roman" w:cs="Times New Roman" w:eastAsia="Times New Roman" w:hAnsi="Times New Roman"/>
          <w:i/>
          <w:iCs/>
          <w:sz w:val="18"/>
          <w:szCs w:val="18"/>
        </w:rPr>
        <w:t xml:space="preserve">2025 International Conference on Electrical, Computer and Communication Engineering (ECCE)</w:t>
      </w:r>
      <w:r>
        <w:rPr>
          <w:rFonts w:ascii="Times New Roman" w:cs="Times New Roman" w:eastAsia="Times New Roman" w:hAnsi="Times New Roman"/>
          <w:sz w:val="18"/>
          <w:szCs w:val="18"/>
        </w:rPr>
        <w:t xml:space="preserve">, pp. 1–6, &lt;https://doi.org/10.1109/ECCE64574.2025.11013162&gt;.</w:t>
      </w:r>
    </w:p>
    <w:p>
      <w:pPr>
        <w:spacing w:after="80" w:line="240"/>
        <w:ind w:left="560" w:hanging="560"/>
        <w:jc w:val="left"/>
      </w:pPr>
      <w:r>
        <w:rPr>
          <w:rFonts w:ascii="Times New Roman" w:cs="Times New Roman" w:eastAsia="Times New Roman" w:hAnsi="Times New Roman"/>
          <w:sz w:val="18"/>
          <w:szCs w:val="18"/>
        </w:rPr>
        <w:t xml:space="preserve">Al Amin, M., Altarawneh, A. &amp; Ray, I. 2023, 'Informed consent as patient driven policy for clinical diagnosis and treatment: A smart contract based approach', </w:t>
      </w:r>
      <w:r>
        <w:rPr>
          <w:rFonts w:ascii="Times New Roman" w:cs="Times New Roman" w:eastAsia="Times New Roman" w:hAnsi="Times New Roman"/>
          <w:i/>
          <w:iCs/>
          <w:sz w:val="18"/>
          <w:szCs w:val="18"/>
        </w:rPr>
        <w:t xml:space="preserve">Proceedings of the 20th International Conference on Security and Cryptography (SECRYPT 2023)</w:t>
      </w:r>
      <w:r>
        <w:rPr>
          <w:rFonts w:ascii="Times New Roman" w:cs="Times New Roman" w:eastAsia="Times New Roman" w:hAnsi="Times New Roman"/>
          <w:sz w:val="18"/>
          <w:szCs w:val="18"/>
        </w:rPr>
        <w:t xml:space="preserve">, pp. 159–170, SciTePress, &lt;https://doi.org/10.5220/0012090600003555&gt;.</w:t>
      </w:r>
    </w:p>
    <w:p>
      <w:pPr>
        <w:spacing w:after="80" w:line="240"/>
        <w:ind w:left="560" w:hanging="560"/>
        <w:jc w:val="left"/>
      </w:pPr>
      <w:r>
        <w:rPr>
          <w:rFonts w:ascii="Times New Roman" w:cs="Times New Roman" w:eastAsia="Times New Roman" w:hAnsi="Times New Roman"/>
          <w:sz w:val="18"/>
          <w:szCs w:val="18"/>
        </w:rPr>
        <w:t xml:space="preserve">Al Mamun, A., Azam, S. &amp; Gritti, C. 2022, 'Blockchain-based electronic health records management: A comprehensive review and future research direction',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5768–5789, &lt;https://doi.org/10.1109/ACCESS.2022.3141079&gt;.</w:t>
      </w:r>
    </w:p>
    <w:p>
      <w:pPr>
        <w:spacing w:after="80" w:line="240"/>
        <w:ind w:left="560" w:hanging="560"/>
        <w:jc w:val="left"/>
      </w:pPr>
      <w:r>
        <w:rPr>
          <w:rFonts w:ascii="Times New Roman" w:cs="Times New Roman" w:eastAsia="Times New Roman" w:hAnsi="Times New Roman"/>
          <w:sz w:val="18"/>
          <w:szCs w:val="18"/>
        </w:rPr>
        <w:t xml:space="preserve">Albalwy, F., Brass, A. &amp; Davies, A. 2021, 'A blockchain-based dynamic consent architecture to support clinical genomic data sharing (ConsentChain): Proof-of-concept study', </w:t>
      </w:r>
      <w:r>
        <w:rPr>
          <w:rFonts w:ascii="Times New Roman" w:cs="Times New Roman" w:eastAsia="Times New Roman" w:hAnsi="Times New Roman"/>
          <w:i/>
          <w:iCs/>
          <w:sz w:val="18"/>
          <w:szCs w:val="18"/>
        </w:rPr>
        <w:t xml:space="preserve">JMIR Medical Informatics</w:t>
      </w:r>
      <w:r>
        <w:rPr>
          <w:rFonts w:ascii="Times New Roman" w:cs="Times New Roman" w:eastAsia="Times New Roman" w:hAnsi="Times New Roman"/>
          <w:sz w:val="18"/>
          <w:szCs w:val="18"/>
        </w:rPr>
        <w:t xml:space="preserve">, vol. 9, no. 11, p. e27816, &lt;https://doi.org/10.2196/27816&gt;.</w:t>
      </w:r>
    </w:p>
    <w:p>
      <w:pPr>
        <w:spacing w:after="80" w:line="240"/>
        <w:ind w:left="560" w:hanging="560"/>
        <w:jc w:val="left"/>
      </w:pPr>
      <w:r>
        <w:rPr>
          <w:rFonts w:ascii="Times New Roman" w:cs="Times New Roman" w:eastAsia="Times New Roman" w:hAnsi="Times New Roman"/>
          <w:sz w:val="18"/>
          <w:szCs w:val="18"/>
        </w:rPr>
        <w:t xml:space="preserve">Andrew, J., Isravel, D.P., Sagayam, K.M., Bhushan, B., Sei, Y. &amp; Eunice, J. 2023, 'Blockchain for healthcare systems: Architecture, security challenges, trends and future directions', </w:t>
      </w:r>
      <w:r>
        <w:rPr>
          <w:rFonts w:ascii="Times New Roman" w:cs="Times New Roman" w:eastAsia="Times New Roman" w:hAnsi="Times New Roman"/>
          <w:i/>
          <w:iCs/>
          <w:sz w:val="18"/>
          <w:szCs w:val="18"/>
        </w:rPr>
        <w:t xml:space="preserve">Journal of Network and Computer Applications</w:t>
      </w:r>
      <w:r>
        <w:rPr>
          <w:rFonts w:ascii="Times New Roman" w:cs="Times New Roman" w:eastAsia="Times New Roman" w:hAnsi="Times New Roman"/>
          <w:sz w:val="18"/>
          <w:szCs w:val="18"/>
        </w:rPr>
        <w:t xml:space="preserve">, vol. 215, p. 103633, &lt;https://doi.org/10.1016/j.jnca.2023.103633&gt;.</w:t>
      </w:r>
    </w:p>
    <w:p>
      <w:pPr>
        <w:spacing w:after="80" w:line="240"/>
        <w:ind w:left="560" w:hanging="560"/>
        <w:jc w:val="left"/>
      </w:pPr>
      <w:r>
        <w:rPr>
          <w:rFonts w:ascii="Times New Roman" w:cs="Times New Roman" w:eastAsia="Times New Roman" w:hAnsi="Times New Roman"/>
          <w:sz w:val="18"/>
          <w:szCs w:val="18"/>
        </w:rPr>
        <w:t xml:space="preserve">Arbabi, M.S., Lal, C., Veeraragavan, N.R., Marijan, D., Nygård, J.F. &amp; Vitenberg, R. 2023, 'A survey on blockchain for healthcare: Challenges, benefits, and future directions',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25, no. 1, pp. 386–424, &lt;https://doi.org/10.1109/COMST.2022.3224644&gt;.</w:t>
      </w:r>
    </w:p>
    <w:p>
      <w:pPr>
        <w:spacing w:after="80" w:line="240"/>
        <w:ind w:left="560" w:hanging="560"/>
        <w:jc w:val="left"/>
      </w:pPr>
      <w:r>
        <w:rPr>
          <w:rFonts w:ascii="Times New Roman" w:cs="Times New Roman" w:eastAsia="Times New Roman" w:hAnsi="Times New Roman"/>
          <w:sz w:val="18"/>
          <w:szCs w:val="18"/>
        </w:rPr>
        <w:t xml:space="preserve">Bloemen, R., Logvinov, L. &amp; Evans, J. 2017, </w:t>
      </w:r>
      <w:r>
        <w:rPr>
          <w:rFonts w:ascii="Times New Roman" w:cs="Times New Roman" w:eastAsia="Times New Roman" w:hAnsi="Times New Roman"/>
          <w:i/>
          <w:iCs/>
          <w:sz w:val="18"/>
          <w:szCs w:val="18"/>
        </w:rPr>
        <w:t xml:space="preserve">EIP-712: Typed structured data hashing and signing</w:t>
      </w:r>
      <w:r>
        <w:rPr>
          <w:rFonts w:ascii="Times New Roman" w:cs="Times New Roman" w:eastAsia="Times New Roman" w:hAnsi="Times New Roman"/>
          <w:sz w:val="18"/>
          <w:szCs w:val="18"/>
        </w:rPr>
        <w:t xml:space="preserve">, Ethereum Improvement Proposals, no. 712, viewed 6 October 2026, &lt;https://eips.ethereum.org/EIPS/eip-712&gt;.</w:t>
      </w:r>
    </w:p>
    <w:p>
      <w:pPr>
        <w:spacing w:after="80" w:line="240"/>
        <w:ind w:left="560" w:hanging="560"/>
        <w:jc w:val="left"/>
      </w:pPr>
      <w:r>
        <w:rPr>
          <w:rFonts w:ascii="Times New Roman" w:cs="Times New Roman" w:eastAsia="Times New Roman" w:hAnsi="Times New Roman"/>
          <w:sz w:val="18"/>
          <w:szCs w:val="18"/>
        </w:rPr>
        <w:t xml:space="preserve">Cai, B. 2022, </w:t>
      </w:r>
      <w:r>
        <w:rPr>
          <w:rFonts w:ascii="Times New Roman" w:cs="Times New Roman" w:eastAsia="Times New Roman" w:hAnsi="Times New Roman"/>
          <w:i/>
          <w:iCs/>
          <w:sz w:val="18"/>
          <w:szCs w:val="18"/>
        </w:rPr>
        <w:t xml:space="preserve">ERC-5484: Consensual soulbound tokens</w:t>
      </w:r>
      <w:r>
        <w:rPr>
          <w:rFonts w:ascii="Times New Roman" w:cs="Times New Roman" w:eastAsia="Times New Roman" w:hAnsi="Times New Roman"/>
          <w:sz w:val="18"/>
          <w:szCs w:val="18"/>
        </w:rPr>
        <w:t xml:space="preserve">, Ethereum Improvement Proposals, no. 5484, viewed 6 October 2026, &lt;https://eips.ethereum.org/EIPS/eip-5484&gt;.</w:t>
      </w:r>
    </w:p>
    <w:p>
      <w:pPr>
        <w:spacing w:after="80" w:line="240"/>
        <w:ind w:left="560" w:hanging="560"/>
        <w:jc w:val="left"/>
      </w:pPr>
      <w:r>
        <w:rPr>
          <w:rFonts w:ascii="Times New Roman" w:cs="Times New Roman" w:eastAsia="Times New Roman" w:hAnsi="Times New Roman"/>
          <w:sz w:val="18"/>
          <w:szCs w:val="18"/>
        </w:rPr>
        <w:t xml:space="preserve">Consensys 2026, </w:t>
      </w:r>
      <w:r>
        <w:rPr>
          <w:rFonts w:ascii="Times New Roman" w:cs="Times New Roman" w:eastAsia="Times New Roman" w:hAnsi="Times New Roman"/>
          <w:i/>
          <w:iCs/>
          <w:sz w:val="18"/>
          <w:szCs w:val="18"/>
        </w:rPr>
        <w:t xml:space="preserve">MetaMask developer documentation</w:t>
      </w:r>
      <w:r>
        <w:rPr>
          <w:rFonts w:ascii="Times New Roman" w:cs="Times New Roman" w:eastAsia="Times New Roman" w:hAnsi="Times New Roman"/>
          <w:sz w:val="18"/>
          <w:szCs w:val="18"/>
        </w:rPr>
        <w:t xml:space="preserve">, viewed 7 October 2026, &lt;https://docs.metamask.io/&gt;.</w:t>
      </w:r>
    </w:p>
    <w:p>
      <w:pPr>
        <w:spacing w:after="80" w:line="240"/>
        <w:ind w:left="560" w:hanging="560"/>
        <w:jc w:val="left"/>
      </w:pPr>
      <w:r>
        <w:rPr>
          <w:rFonts w:ascii="Times New Roman" w:cs="Times New Roman" w:eastAsia="Times New Roman" w:hAnsi="Times New Roman"/>
          <w:sz w:val="18"/>
          <w:szCs w:val="18"/>
        </w:rPr>
        <w:t xml:space="preserve">Deng, H., Liang, J., Zhang, C., Liu, X., Zhu, L. &amp; Guo, S. 2024, 'FutureDID: A fully decentralized identity system with multi-party verification', </w:t>
      </w:r>
      <w:r>
        <w:rPr>
          <w:rFonts w:ascii="Times New Roman" w:cs="Times New Roman" w:eastAsia="Times New Roman" w:hAnsi="Times New Roman"/>
          <w:i/>
          <w:iCs/>
          <w:sz w:val="18"/>
          <w:szCs w:val="18"/>
        </w:rPr>
        <w:t xml:space="preserve">IEEE Transactions on Computers</w:t>
      </w:r>
      <w:r>
        <w:rPr>
          <w:rFonts w:ascii="Times New Roman" w:cs="Times New Roman" w:eastAsia="Times New Roman" w:hAnsi="Times New Roman"/>
          <w:sz w:val="18"/>
          <w:szCs w:val="18"/>
        </w:rPr>
        <w:t xml:space="preserve">, vol. 73, no. 8, pp. 2051–2065, &lt;https://doi.org/10.1109/TC.2024.3398509&gt;.</w:t>
      </w:r>
    </w:p>
    <w:p>
      <w:pPr>
        <w:spacing w:after="80" w:line="240"/>
        <w:ind w:left="560" w:hanging="560"/>
        <w:jc w:val="left"/>
      </w:pPr>
      <w:r>
        <w:rPr>
          <w:rFonts w:ascii="Times New Roman" w:cs="Times New Roman" w:eastAsia="Times New Roman" w:hAnsi="Times New Roman"/>
          <w:sz w:val="18"/>
          <w:szCs w:val="18"/>
        </w:rPr>
        <w:t xml:space="preserve">Ekholm, K., Augustinsson, A., Sundström, J., Johansen, C., Storgärds, M., Ljöstad, L. et al. 2025, 'Implementing electronic informed consent in rare disease genomics', </w:t>
      </w:r>
      <w:r>
        <w:rPr>
          <w:rFonts w:ascii="Times New Roman" w:cs="Times New Roman" w:eastAsia="Times New Roman" w:hAnsi="Times New Roman"/>
          <w:i/>
          <w:iCs/>
          <w:sz w:val="18"/>
          <w:szCs w:val="18"/>
        </w:rPr>
        <w:t xml:space="preserve">Scientific Reports</w:t>
      </w:r>
      <w:r>
        <w:rPr>
          <w:rFonts w:ascii="Times New Roman" w:cs="Times New Roman" w:eastAsia="Times New Roman" w:hAnsi="Times New Roman"/>
          <w:sz w:val="18"/>
          <w:szCs w:val="18"/>
        </w:rPr>
        <w:t xml:space="preserve">, vol. 15, no. 1, p. 44419, &lt;https://doi.org/10.1038/s41598-025-32740-1&gt;.</w:t>
      </w:r>
    </w:p>
    <w:p>
      <w:pPr>
        <w:spacing w:after="80" w:line="240"/>
        <w:ind w:left="560" w:hanging="560"/>
        <w:jc w:val="left"/>
      </w:pPr>
      <w:r>
        <w:rPr>
          <w:rFonts w:ascii="Times New Roman" w:cs="Times New Roman" w:eastAsia="Times New Roman" w:hAnsi="Times New Roman"/>
          <w:sz w:val="18"/>
          <w:szCs w:val="18"/>
        </w:rPr>
        <w:t xml:space="preserve">Eneh, A.U., Ahakonye, L.A.C., Lee, J.M. &amp; Kim, D.-S. 2026, 'Demo: EdgeConsent: On-chain attribute-based access control for data consent management', </w:t>
      </w:r>
      <w:r>
        <w:rPr>
          <w:rFonts w:ascii="Times New Roman" w:cs="Times New Roman" w:eastAsia="Times New Roman" w:hAnsi="Times New Roman"/>
          <w:i/>
          <w:iCs/>
          <w:sz w:val="18"/>
          <w:szCs w:val="18"/>
        </w:rPr>
        <w:t xml:space="preserve">2026 IEEE International Conference on Blockchain and Cryptocurrency (ICBC)</w:t>
      </w:r>
      <w:r>
        <w:rPr>
          <w:rFonts w:ascii="Times New Roman" w:cs="Times New Roman" w:eastAsia="Times New Roman" w:hAnsi="Times New Roman"/>
          <w:sz w:val="18"/>
          <w:szCs w:val="18"/>
        </w:rPr>
        <w:t xml:space="preserve">, pp. 1–2, &lt;https://doi.org/10.1109/ICBC67748.2026.11575534&gt;.</w:t>
      </w:r>
    </w:p>
    <w:p>
      <w:pPr>
        <w:spacing w:after="80" w:line="240"/>
        <w:ind w:left="560" w:hanging="560"/>
        <w:jc w:val="left"/>
      </w:pPr>
      <w:r>
        <w:rPr>
          <w:rFonts w:ascii="Times New Roman" w:cs="Times New Roman" w:eastAsia="Times New Roman" w:hAnsi="Times New Roman"/>
          <w:sz w:val="18"/>
          <w:szCs w:val="18"/>
        </w:rPr>
        <w:t xml:space="preserve">Entriken, W., Shirley, D., Evans, J. &amp; Sachs, N. 2018, </w:t>
      </w:r>
      <w:r>
        <w:rPr>
          <w:rFonts w:ascii="Times New Roman" w:cs="Times New Roman" w:eastAsia="Times New Roman" w:hAnsi="Times New Roman"/>
          <w:i/>
          <w:iCs/>
          <w:sz w:val="18"/>
          <w:szCs w:val="18"/>
        </w:rPr>
        <w:t xml:space="preserve">ERC-721: Non-fungible token standard</w:t>
      </w:r>
      <w:r>
        <w:rPr>
          <w:rFonts w:ascii="Times New Roman" w:cs="Times New Roman" w:eastAsia="Times New Roman" w:hAnsi="Times New Roman"/>
          <w:sz w:val="18"/>
          <w:szCs w:val="18"/>
        </w:rPr>
        <w:t xml:space="preserve">, Ethereum Improvement Proposals, no. 721, viewed 6 October 2026, &lt;https://eips.ethereum.org/EIPS/eip-721&gt;.</w:t>
      </w:r>
    </w:p>
    <w:p>
      <w:pPr>
        <w:spacing w:after="80" w:line="240"/>
        <w:ind w:left="560" w:hanging="560"/>
        <w:jc w:val="left"/>
      </w:pPr>
      <w:r>
        <w:rPr>
          <w:rFonts w:ascii="Times New Roman" w:cs="Times New Roman" w:eastAsia="Times New Roman" w:hAnsi="Times New Roman"/>
          <w:sz w:val="18"/>
          <w:szCs w:val="18"/>
        </w:rPr>
        <w:t xml:space="preserve">Ethereum Foundation 2026a, </w:t>
      </w:r>
      <w:r>
        <w:rPr>
          <w:rFonts w:ascii="Times New Roman" w:cs="Times New Roman" w:eastAsia="Times New Roman" w:hAnsi="Times New Roman"/>
          <w:i/>
          <w:iCs/>
          <w:sz w:val="18"/>
          <w:szCs w:val="18"/>
        </w:rPr>
        <w:t xml:space="preserve">Solidity documentation</w:t>
      </w:r>
      <w:r>
        <w:rPr>
          <w:rFonts w:ascii="Times New Roman" w:cs="Times New Roman" w:eastAsia="Times New Roman" w:hAnsi="Times New Roman"/>
          <w:sz w:val="18"/>
          <w:szCs w:val="18"/>
        </w:rPr>
        <w:t xml:space="preserve">, viewed 7 October 2026, &lt;https://docs.soliditylang.org/&gt;.</w:t>
      </w:r>
    </w:p>
    <w:p>
      <w:pPr>
        <w:spacing w:after="80" w:line="240"/>
        <w:ind w:left="560" w:hanging="560"/>
        <w:jc w:val="left"/>
      </w:pPr>
      <w:r>
        <w:rPr>
          <w:rFonts w:ascii="Times New Roman" w:cs="Times New Roman" w:eastAsia="Times New Roman" w:hAnsi="Times New Roman"/>
          <w:sz w:val="18"/>
          <w:szCs w:val="18"/>
        </w:rPr>
        <w:t xml:space="preserve">Ethereum Foundation 2026b, </w:t>
      </w:r>
      <w:r>
        <w:rPr>
          <w:rFonts w:ascii="Times New Roman" w:cs="Times New Roman" w:eastAsia="Times New Roman" w:hAnsi="Times New Roman"/>
          <w:i/>
          <w:iCs/>
          <w:sz w:val="18"/>
          <w:szCs w:val="18"/>
        </w:rPr>
        <w:t xml:space="preserve">Networks</w:t>
      </w:r>
      <w:r>
        <w:rPr>
          <w:rFonts w:ascii="Times New Roman" w:cs="Times New Roman" w:eastAsia="Times New Roman" w:hAnsi="Times New Roman"/>
          <w:sz w:val="18"/>
          <w:szCs w:val="18"/>
        </w:rPr>
        <w:t xml:space="preserve">, ethereum.org developer documentation, viewed 7 October 2026, &lt;https://ethereum.org/en/developers/docs/networks/&gt;.</w:t>
      </w:r>
    </w:p>
    <w:p>
      <w:pPr>
        <w:spacing w:after="80" w:line="240"/>
        <w:ind w:left="560" w:hanging="560"/>
        <w:jc w:val="left"/>
      </w:pPr>
      <w:r>
        <w:rPr>
          <w:rFonts w:ascii="Times New Roman" w:cs="Times New Roman" w:eastAsia="Times New Roman" w:hAnsi="Times New Roman"/>
          <w:sz w:val="18"/>
          <w:szCs w:val="18"/>
        </w:rPr>
        <w:t xml:space="preserve">Ethereum Foundation 2026c, </w:t>
      </w:r>
      <w:r>
        <w:rPr>
          <w:rFonts w:ascii="Times New Roman" w:cs="Times New Roman" w:eastAsia="Times New Roman" w:hAnsi="Times New Roman"/>
          <w:i/>
          <w:iCs/>
          <w:sz w:val="18"/>
          <w:szCs w:val="18"/>
        </w:rPr>
        <w:t xml:space="preserve">Remix IDE documentation</w:t>
      </w:r>
      <w:r>
        <w:rPr>
          <w:rFonts w:ascii="Times New Roman" w:cs="Times New Roman" w:eastAsia="Times New Roman" w:hAnsi="Times New Roman"/>
          <w:sz w:val="18"/>
          <w:szCs w:val="18"/>
        </w:rPr>
        <w:t xml:space="preserve">, viewed 7 October 2026, &lt;https://remix-ide.readthedocs.io/&gt;.</w:t>
      </w:r>
    </w:p>
    <w:p>
      <w:pPr>
        <w:spacing w:after="80" w:line="240"/>
        <w:ind w:left="560" w:hanging="560"/>
        <w:jc w:val="left"/>
      </w:pPr>
      <w:r>
        <w:rPr>
          <w:rFonts w:ascii="Times New Roman" w:cs="Times New Roman" w:eastAsia="Times New Roman" w:hAnsi="Times New Roman"/>
          <w:sz w:val="18"/>
          <w:szCs w:val="18"/>
        </w:rPr>
        <w:t xml:space="preserve">Ferreira, J.C., Correia, R., Rosário, L. &amp; Vila, A. 2025, 'Blockchain integration for trust and consent management in MCP-enabled FHIR systems', </w:t>
      </w:r>
      <w:r>
        <w:rPr>
          <w:rFonts w:ascii="Times New Roman" w:cs="Times New Roman" w:eastAsia="Times New Roman" w:hAnsi="Times New Roman"/>
          <w:i/>
          <w:iCs/>
          <w:sz w:val="18"/>
          <w:szCs w:val="18"/>
        </w:rPr>
        <w:t xml:space="preserve">2025 IEEE International Conference on Distributed Ledger Technologies (ICDLT)</w:t>
      </w:r>
      <w:r>
        <w:rPr>
          <w:rFonts w:ascii="Times New Roman" w:cs="Times New Roman" w:eastAsia="Times New Roman" w:hAnsi="Times New Roman"/>
          <w:sz w:val="18"/>
          <w:szCs w:val="18"/>
        </w:rPr>
        <w:t xml:space="preserve">, pp. 1–10, &lt;https://doi.org/10.1109/ICDLT66400.2025.11466653&gt;.</w:t>
      </w:r>
    </w:p>
    <w:p>
      <w:pPr>
        <w:spacing w:after="80" w:line="240"/>
        <w:ind w:left="560" w:hanging="560"/>
        <w:jc w:val="left"/>
      </w:pPr>
      <w:r>
        <w:rPr>
          <w:rFonts w:ascii="Times New Roman" w:cs="Times New Roman" w:eastAsia="Times New Roman" w:hAnsi="Times New Roman"/>
          <w:sz w:val="18"/>
          <w:szCs w:val="18"/>
        </w:rPr>
        <w:t xml:space="preserve">Flamini, A., Sciarretta, G., Scuro, M., Sharif, A., Tomasi, A. &amp; Ranise, S. 2024, 'On cryptographic mechanisms for the selective disclosure of verifiable credentials', </w:t>
      </w:r>
      <w:r>
        <w:rPr>
          <w:rFonts w:ascii="Times New Roman" w:cs="Times New Roman" w:eastAsia="Times New Roman" w:hAnsi="Times New Roman"/>
          <w:i/>
          <w:iCs/>
          <w:sz w:val="18"/>
          <w:szCs w:val="18"/>
        </w:rPr>
        <w:t xml:space="preserve">Journal of Information Security and Applications</w:t>
      </w:r>
      <w:r>
        <w:rPr>
          <w:rFonts w:ascii="Times New Roman" w:cs="Times New Roman" w:eastAsia="Times New Roman" w:hAnsi="Times New Roman"/>
          <w:sz w:val="18"/>
          <w:szCs w:val="18"/>
        </w:rPr>
        <w:t xml:space="preserve">, vol. 83, p. 103789, &lt;https://doi.org/10.1016/j.jisa.2024.103789&gt;.</w:t>
      </w:r>
    </w:p>
    <w:p>
      <w:pPr>
        <w:spacing w:after="80" w:line="240"/>
        <w:ind w:left="560" w:hanging="560"/>
        <w:jc w:val="left"/>
      </w:pPr>
      <w:r>
        <w:rPr>
          <w:rFonts w:ascii="Times New Roman" w:cs="Times New Roman" w:eastAsia="Times New Roman" w:hAnsi="Times New Roman"/>
          <w:sz w:val="18"/>
          <w:szCs w:val="18"/>
        </w:rPr>
        <w:t xml:space="preserve">Ghafoor, A., Symeonidis, I., Rydberg, A., Lindahl, C. &amp; Abbasi, A.Q. 2025, 'Towards empowering stakeholders through decentralized trust and secure livestock data sharing', </w:t>
      </w:r>
      <w:r>
        <w:rPr>
          <w:rFonts w:ascii="Times New Roman" w:cs="Times New Roman" w:eastAsia="Times New Roman" w:hAnsi="Times New Roman"/>
          <w:i/>
          <w:iCs/>
          <w:sz w:val="18"/>
          <w:szCs w:val="18"/>
        </w:rPr>
        <w:t xml:space="preserve">Cryptography</w:t>
      </w:r>
      <w:r>
        <w:rPr>
          <w:rFonts w:ascii="Times New Roman" w:cs="Times New Roman" w:eastAsia="Times New Roman" w:hAnsi="Times New Roman"/>
          <w:sz w:val="18"/>
          <w:szCs w:val="18"/>
        </w:rPr>
        <w:t xml:space="preserve">, vol. 9, no. 3, p. 52, &lt;https://doi.org/10.3390/cryptography9030052&gt;.</w:t>
      </w:r>
    </w:p>
    <w:p>
      <w:pPr>
        <w:spacing w:after="80" w:line="240"/>
        <w:ind w:left="560" w:hanging="560"/>
        <w:jc w:val="left"/>
      </w:pPr>
      <w:r>
        <w:rPr>
          <w:rFonts w:ascii="Times New Roman" w:cs="Times New Roman" w:eastAsia="Times New Roman" w:hAnsi="Times New Roman"/>
          <w:sz w:val="18"/>
          <w:szCs w:val="18"/>
        </w:rPr>
        <w:t xml:space="preserve">Ghosh, P.K., Chakraborty, A., Hasan, M., Rashid, K. &amp; Siddique, A.H. 2023, 'Blockchain application in healthcare systems: A review', </w:t>
      </w:r>
      <w:r>
        <w:rPr>
          <w:rFonts w:ascii="Times New Roman" w:cs="Times New Roman" w:eastAsia="Times New Roman" w:hAnsi="Times New Roman"/>
          <w:i/>
          <w:iCs/>
          <w:sz w:val="18"/>
          <w:szCs w:val="18"/>
        </w:rPr>
        <w:t xml:space="preserve">Systems</w:t>
      </w:r>
      <w:r>
        <w:rPr>
          <w:rFonts w:ascii="Times New Roman" w:cs="Times New Roman" w:eastAsia="Times New Roman" w:hAnsi="Times New Roman"/>
          <w:sz w:val="18"/>
          <w:szCs w:val="18"/>
        </w:rPr>
        <w:t xml:space="preserve">, vol. 11, no. 1, p. 38, &lt;https://doi.org/10.3390/systems11010038&gt;.</w:t>
      </w:r>
    </w:p>
    <w:p>
      <w:pPr>
        <w:spacing w:after="80" w:line="240"/>
        <w:ind w:left="560" w:hanging="560"/>
        <w:jc w:val="left"/>
      </w:pPr>
      <w:r>
        <w:rPr>
          <w:rFonts w:ascii="Times New Roman" w:cs="Times New Roman" w:eastAsia="Times New Roman" w:hAnsi="Times New Roman"/>
          <w:sz w:val="18"/>
          <w:szCs w:val="18"/>
        </w:rPr>
        <w:t xml:space="preserve">Grassi, L., Khovratovich, D., Rechberger, C., Roy, A. &amp; Schofnegger, M. 2021, 'Poseidon: A new hash function for zero-knowledge proof systems', </w:t>
      </w:r>
      <w:r>
        <w:rPr>
          <w:rFonts w:ascii="Times New Roman" w:cs="Times New Roman" w:eastAsia="Times New Roman" w:hAnsi="Times New Roman"/>
          <w:i/>
          <w:iCs/>
          <w:sz w:val="18"/>
          <w:szCs w:val="18"/>
        </w:rPr>
        <w:t xml:space="preserve">Proceedings of the 30th USENIX Security Symposium</w:t>
      </w:r>
      <w:r>
        <w:rPr>
          <w:rFonts w:ascii="Times New Roman" w:cs="Times New Roman" w:eastAsia="Times New Roman" w:hAnsi="Times New Roman"/>
          <w:sz w:val="18"/>
          <w:szCs w:val="18"/>
        </w:rPr>
        <w:t xml:space="preserve">, pp. 519–535.</w:t>
      </w:r>
    </w:p>
    <w:p>
      <w:pPr>
        <w:spacing w:after="80" w:line="240"/>
        <w:ind w:left="560" w:hanging="560"/>
        <w:jc w:val="left"/>
      </w:pPr>
      <w:r>
        <w:rPr>
          <w:rFonts w:ascii="Times New Roman" w:cs="Times New Roman" w:eastAsia="Times New Roman" w:hAnsi="Times New Roman"/>
          <w:sz w:val="18"/>
          <w:szCs w:val="18"/>
        </w:rPr>
        <w:t xml:space="preserve">Groth, J. 2016, 'On the size of pairing-based non-interactive arguments', </w:t>
      </w:r>
      <w:r>
        <w:rPr>
          <w:rFonts w:ascii="Times New Roman" w:cs="Times New Roman" w:eastAsia="Times New Roman" w:hAnsi="Times New Roman"/>
          <w:i/>
          <w:iCs/>
          <w:sz w:val="18"/>
          <w:szCs w:val="18"/>
        </w:rPr>
        <w:t xml:space="preserve">Advances in Cryptology – EUROCRYPT 2016, LNCS</w:t>
      </w:r>
      <w:r>
        <w:rPr>
          <w:rFonts w:ascii="Times New Roman" w:cs="Times New Roman" w:eastAsia="Times New Roman" w:hAnsi="Times New Roman"/>
          <w:sz w:val="18"/>
          <w:szCs w:val="18"/>
        </w:rPr>
        <w:t xml:space="preserve">, vol. 9666, pp. 305–326, Springer, &lt;https://doi.org/10.1007/978-3-662-49896-5_11&gt;.</w:t>
      </w:r>
    </w:p>
    <w:p>
      <w:pPr>
        <w:spacing w:after="80" w:line="240"/>
        <w:ind w:left="560" w:hanging="560"/>
        <w:jc w:val="left"/>
      </w:pPr>
      <w:r>
        <w:rPr>
          <w:rFonts w:ascii="Times New Roman" w:cs="Times New Roman" w:eastAsia="Times New Roman" w:hAnsi="Times New Roman"/>
          <w:sz w:val="18"/>
          <w:szCs w:val="18"/>
        </w:rPr>
        <w:t xml:space="preserve">Hagström, J., Hägglund, M., Holmroos, M., Lähteenmäki, P. &amp; Hörhammer, I. 2024, 'Minors’ and guardian access to and use of a national patient portal: A retrospective comparative case study of Sweden and Finland', </w:t>
      </w:r>
      <w:r>
        <w:rPr>
          <w:rFonts w:ascii="Times New Roman" w:cs="Times New Roman" w:eastAsia="Times New Roman" w:hAnsi="Times New Roman"/>
          <w:i/>
          <w:iCs/>
          <w:sz w:val="18"/>
          <w:szCs w:val="18"/>
        </w:rPr>
        <w:t xml:space="preserve">International Journal of Medical Informatics</w:t>
      </w:r>
      <w:r>
        <w:rPr>
          <w:rFonts w:ascii="Times New Roman" w:cs="Times New Roman" w:eastAsia="Times New Roman" w:hAnsi="Times New Roman"/>
          <w:sz w:val="18"/>
          <w:szCs w:val="18"/>
        </w:rPr>
        <w:t xml:space="preserve">, vol. 187, p. 105465, &lt;https://doi.org/10.1016/j.ijmedinf.2024.105465&gt;.</w:t>
      </w:r>
    </w:p>
    <w:p>
      <w:pPr>
        <w:spacing w:after="80" w:line="240"/>
        <w:ind w:left="560" w:hanging="560"/>
        <w:jc w:val="left"/>
      </w:pPr>
      <w:r>
        <w:rPr>
          <w:rFonts w:ascii="Times New Roman" w:cs="Times New Roman" w:eastAsia="Times New Roman" w:hAnsi="Times New Roman"/>
          <w:sz w:val="18"/>
          <w:szCs w:val="18"/>
        </w:rPr>
        <w:t xml:space="preserve">Hellstern, R., Park, D.C., Lemieux, V. &amp; Salimjan, G. 2022, 'Leveraging blockchain-based archival solutions for sensitive documentation: A Xinjiang case study', </w:t>
      </w:r>
      <w:r>
        <w:rPr>
          <w:rFonts w:ascii="Times New Roman" w:cs="Times New Roman" w:eastAsia="Times New Roman" w:hAnsi="Times New Roman"/>
          <w:i/>
          <w:iCs/>
          <w:sz w:val="18"/>
          <w:szCs w:val="18"/>
        </w:rPr>
        <w:t xml:space="preserve">Digital Society</w:t>
      </w:r>
      <w:r>
        <w:rPr>
          <w:rFonts w:ascii="Times New Roman" w:cs="Times New Roman" w:eastAsia="Times New Roman" w:hAnsi="Times New Roman"/>
          <w:sz w:val="18"/>
          <w:szCs w:val="18"/>
        </w:rPr>
        <w:t xml:space="preserve">, vol. 1, no. 1, p. 4, &lt;https://doi.org/10.1007/s44206-022-00007-1&gt;.</w:t>
      </w:r>
    </w:p>
    <w:p>
      <w:pPr>
        <w:spacing w:after="80" w:line="240"/>
        <w:ind w:left="560" w:hanging="560"/>
        <w:jc w:val="left"/>
      </w:pPr>
      <w:r>
        <w:rPr>
          <w:rFonts w:ascii="Times New Roman" w:cs="Times New Roman" w:eastAsia="Times New Roman" w:hAnsi="Times New Roman"/>
          <w:sz w:val="18"/>
          <w:szCs w:val="18"/>
        </w:rPr>
        <w:t xml:space="preserve">Hema, S., Reddy, G.B.S. &amp; Shalini, R. 2026, 'Patient centric cryptographic protection of cloud electronic health records', </w:t>
      </w:r>
      <w:r>
        <w:rPr>
          <w:rFonts w:ascii="Times New Roman" w:cs="Times New Roman" w:eastAsia="Times New Roman" w:hAnsi="Times New Roman"/>
          <w:i/>
          <w:iCs/>
          <w:sz w:val="18"/>
          <w:szCs w:val="18"/>
        </w:rPr>
        <w:t xml:space="preserve">2026 6th International Conference on Expert Clouds and Applications (ICOECA)</w:t>
      </w:r>
      <w:r>
        <w:rPr>
          <w:rFonts w:ascii="Times New Roman" w:cs="Times New Roman" w:eastAsia="Times New Roman" w:hAnsi="Times New Roman"/>
          <w:sz w:val="18"/>
          <w:szCs w:val="18"/>
        </w:rPr>
        <w:t xml:space="preserve">, pp. 293–300, &lt;https://doi.org/10.1109/ICOECA68095.2026.11485301&gt;.</w:t>
      </w:r>
    </w:p>
    <w:p>
      <w:pPr>
        <w:spacing w:after="80" w:line="240"/>
        <w:ind w:left="560" w:hanging="560"/>
        <w:jc w:val="left"/>
      </w:pPr>
      <w:r>
        <w:rPr>
          <w:rFonts w:ascii="Times New Roman" w:cs="Times New Roman" w:eastAsia="Times New Roman" w:hAnsi="Times New Roman"/>
          <w:sz w:val="18"/>
          <w:szCs w:val="18"/>
        </w:rPr>
        <w:t xml:space="preserve">HL7 International 2019, </w:t>
      </w:r>
      <w:r>
        <w:rPr>
          <w:rFonts w:ascii="Times New Roman" w:cs="Times New Roman" w:eastAsia="Times New Roman" w:hAnsi="Times New Roman"/>
          <w:i/>
          <w:iCs/>
          <w:sz w:val="18"/>
          <w:szCs w:val="18"/>
        </w:rPr>
        <w:t xml:space="preserve">HL7 FHIR Release 4 (R4)</w:t>
      </w:r>
      <w:r>
        <w:rPr>
          <w:rFonts w:ascii="Times New Roman" w:cs="Times New Roman" w:eastAsia="Times New Roman" w:hAnsi="Times New Roman"/>
          <w:sz w:val="18"/>
          <w:szCs w:val="18"/>
        </w:rPr>
        <w:t xml:space="preserve">, viewed 7 October 2026, &lt;https://hl7.org/fhir/R4/&gt;.</w:t>
      </w:r>
    </w:p>
    <w:p>
      <w:pPr>
        <w:spacing w:after="80" w:line="240"/>
        <w:ind w:left="560" w:hanging="560"/>
        <w:jc w:val="left"/>
      </w:pPr>
      <w:r>
        <w:rPr>
          <w:rFonts w:ascii="Times New Roman" w:cs="Times New Roman" w:eastAsia="Times New Roman" w:hAnsi="Times New Roman"/>
          <w:sz w:val="18"/>
          <w:szCs w:val="18"/>
        </w:rPr>
        <w:t xml:space="preserve">Ibrahim, A.M., Abdel-Aziz, H.R., Mohamed, H.A.H., Zaghamir, D.E.F., Wahba, N.M.I., Hassan, G.A. et al. 2024, 'Balancing confidentiality and care coordination: Challenges in patient privacy', </w:t>
      </w:r>
      <w:r>
        <w:rPr>
          <w:rFonts w:ascii="Times New Roman" w:cs="Times New Roman" w:eastAsia="Times New Roman" w:hAnsi="Times New Roman"/>
          <w:i/>
          <w:iCs/>
          <w:sz w:val="18"/>
          <w:szCs w:val="18"/>
        </w:rPr>
        <w:t xml:space="preserve">BMC Nursing</w:t>
      </w:r>
      <w:r>
        <w:rPr>
          <w:rFonts w:ascii="Times New Roman" w:cs="Times New Roman" w:eastAsia="Times New Roman" w:hAnsi="Times New Roman"/>
          <w:sz w:val="18"/>
          <w:szCs w:val="18"/>
        </w:rPr>
        <w:t xml:space="preserve">, vol. 23, no. 1, p. 564, &lt;https://doi.org/10.1186/s12912-024-02231-1&gt;.</w:t>
      </w:r>
    </w:p>
    <w:p>
      <w:pPr>
        <w:spacing w:after="80" w:line="240"/>
        <w:ind w:left="560" w:hanging="560"/>
        <w:jc w:val="left"/>
      </w:pPr>
      <w:r>
        <w:rPr>
          <w:rFonts w:ascii="Times New Roman" w:cs="Times New Roman" w:eastAsia="Times New Roman" w:hAnsi="Times New Roman"/>
          <w:sz w:val="18"/>
          <w:szCs w:val="18"/>
        </w:rPr>
        <w:t xml:space="preserve">iden3 2026a, </w:t>
      </w:r>
      <w:r>
        <w:rPr>
          <w:rFonts w:ascii="Times New Roman" w:cs="Times New Roman" w:eastAsia="Times New Roman" w:hAnsi="Times New Roman"/>
          <w:i/>
          <w:iCs/>
          <w:sz w:val="18"/>
          <w:szCs w:val="18"/>
        </w:rPr>
        <w:t xml:space="preserve">snarkjs: zkSNARK implementation in JavaScript and WASM</w:t>
      </w:r>
      <w:r>
        <w:rPr>
          <w:rFonts w:ascii="Times New Roman" w:cs="Times New Roman" w:eastAsia="Times New Roman" w:hAnsi="Times New Roman"/>
          <w:sz w:val="18"/>
          <w:szCs w:val="18"/>
        </w:rPr>
        <w:t xml:space="preserve">, viewed 7 October 2026, &lt;https://github.com/iden3/snarkjs&gt;.</w:t>
      </w:r>
    </w:p>
    <w:p>
      <w:pPr>
        <w:spacing w:after="80" w:line="240"/>
        <w:ind w:left="560" w:hanging="560"/>
        <w:jc w:val="left"/>
      </w:pPr>
      <w:r>
        <w:rPr>
          <w:rFonts w:ascii="Times New Roman" w:cs="Times New Roman" w:eastAsia="Times New Roman" w:hAnsi="Times New Roman"/>
          <w:sz w:val="18"/>
          <w:szCs w:val="18"/>
        </w:rPr>
        <w:t xml:space="preserve">iden3 2026b, </w:t>
      </w:r>
      <w:r>
        <w:rPr>
          <w:rFonts w:ascii="Times New Roman" w:cs="Times New Roman" w:eastAsia="Times New Roman" w:hAnsi="Times New Roman"/>
          <w:i/>
          <w:iCs/>
          <w:sz w:val="18"/>
          <w:szCs w:val="18"/>
        </w:rPr>
        <w:t xml:space="preserve">circom: circuit compiler for zero-knowledge proofs</w:t>
      </w:r>
      <w:r>
        <w:rPr>
          <w:rFonts w:ascii="Times New Roman" w:cs="Times New Roman" w:eastAsia="Times New Roman" w:hAnsi="Times New Roman"/>
          <w:sz w:val="18"/>
          <w:szCs w:val="18"/>
        </w:rPr>
        <w:t xml:space="preserve">, viewed 7 October 2026, &lt;https://docs.circom.io/&gt;.</w:t>
      </w:r>
    </w:p>
    <w:p>
      <w:pPr>
        <w:spacing w:after="80" w:line="240"/>
        <w:ind w:left="560" w:hanging="560"/>
        <w:jc w:val="left"/>
      </w:pPr>
      <w:r>
        <w:rPr>
          <w:rFonts w:ascii="Times New Roman" w:cs="Times New Roman" w:eastAsia="Times New Roman" w:hAnsi="Times New Roman"/>
          <w:sz w:val="18"/>
          <w:szCs w:val="18"/>
        </w:rPr>
        <w:t xml:space="preserve">Jaiman, V. &amp; Urovi, V. 2020, 'A consent model for blockchain-based health data sharing platforms',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143734–143745, &lt;https://doi.org/10.1109/ACCESS.2020.3014565&gt;.</w:t>
      </w:r>
    </w:p>
    <w:p>
      <w:pPr>
        <w:spacing w:after="80" w:line="240"/>
        <w:ind w:left="560" w:hanging="560"/>
        <w:jc w:val="left"/>
      </w:pPr>
      <w:r>
        <w:rPr>
          <w:rFonts w:ascii="Times New Roman" w:cs="Times New Roman" w:eastAsia="Times New Roman" w:hAnsi="Times New Roman"/>
          <w:sz w:val="18"/>
          <w:szCs w:val="18"/>
        </w:rPr>
        <w:t xml:space="preserve">Jesus, V. &amp; Pandit, H.J. 2022, 'Consent receipts for a usable and auditable web of personal data',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28545–28563, &lt;https://doi.org/10.1109/ACCESS.2022.3157850&gt;.</w:t>
      </w:r>
    </w:p>
    <w:p>
      <w:pPr>
        <w:spacing w:after="80" w:line="240"/>
        <w:ind w:left="560" w:hanging="560"/>
        <w:jc w:val="left"/>
      </w:pPr>
      <w:r>
        <w:rPr>
          <w:rFonts w:ascii="Times New Roman" w:cs="Times New Roman" w:eastAsia="Times New Roman" w:hAnsi="Times New Roman"/>
          <w:sz w:val="18"/>
          <w:szCs w:val="18"/>
        </w:rPr>
        <w:t xml:space="preserve">Jiang, R., Chen, X., Yu, Y., Zhang, Y. &amp; Ding, W. 2023, 'Risk and UCON-based access control model for healthcare big data', </w:t>
      </w:r>
      <w:r>
        <w:rPr>
          <w:rFonts w:ascii="Times New Roman" w:cs="Times New Roman" w:eastAsia="Times New Roman" w:hAnsi="Times New Roman"/>
          <w:i/>
          <w:iCs/>
          <w:sz w:val="18"/>
          <w:szCs w:val="18"/>
        </w:rPr>
        <w:t xml:space="preserve">Journal of Big Data</w:t>
      </w:r>
      <w:r>
        <w:rPr>
          <w:rFonts w:ascii="Times New Roman" w:cs="Times New Roman" w:eastAsia="Times New Roman" w:hAnsi="Times New Roman"/>
          <w:sz w:val="18"/>
          <w:szCs w:val="18"/>
        </w:rPr>
        <w:t xml:space="preserve">, vol. 10, no. 1, p. 104, &lt;https://doi.org/10.1186/s40537-023-00783-8&gt;.</w:t>
      </w:r>
    </w:p>
    <w:p>
      <w:pPr>
        <w:spacing w:after="80" w:line="240"/>
        <w:ind w:left="560" w:hanging="560"/>
        <w:jc w:val="left"/>
      </w:pPr>
      <w:r>
        <w:rPr>
          <w:rFonts w:ascii="Times New Roman" w:cs="Times New Roman" w:eastAsia="Times New Roman" w:hAnsi="Times New Roman"/>
          <w:sz w:val="18"/>
          <w:szCs w:val="18"/>
        </w:rPr>
        <w:t xml:space="preserve">Kaplow, K., Downey, M., Stewart, D., Massie, A.B., Motter, J.D., Taylor, L. et al. 2024, 'Data professionals’ attitudes on data privacy, sharing, and consent in healthcare and research', </w:t>
      </w:r>
      <w:r>
        <w:rPr>
          <w:rFonts w:ascii="Times New Roman" w:cs="Times New Roman" w:eastAsia="Times New Roman" w:hAnsi="Times New Roman"/>
          <w:i/>
          <w:iCs/>
          <w:sz w:val="18"/>
          <w:szCs w:val="18"/>
        </w:rPr>
        <w:t xml:space="preserve">Digital Health</w:t>
      </w:r>
      <w:r>
        <w:rPr>
          <w:rFonts w:ascii="Times New Roman" w:cs="Times New Roman" w:eastAsia="Times New Roman" w:hAnsi="Times New Roman"/>
          <w:sz w:val="18"/>
          <w:szCs w:val="18"/>
        </w:rPr>
        <w:t xml:space="preserve">, vol. 10, p. 20552076241290964, &lt;https://doi.org/10.1177/20552076241290964&gt;.</w:t>
      </w:r>
    </w:p>
    <w:p>
      <w:pPr>
        <w:spacing w:after="80" w:line="240"/>
        <w:ind w:left="560" w:hanging="560"/>
        <w:jc w:val="left"/>
      </w:pPr>
      <w:r>
        <w:rPr>
          <w:rFonts w:ascii="Times New Roman" w:cs="Times New Roman" w:eastAsia="Times New Roman" w:hAnsi="Times New Roman"/>
          <w:sz w:val="18"/>
          <w:szCs w:val="18"/>
        </w:rPr>
        <w:t xml:space="preserve">Khalid, M.I., Ahmed, M., Helfert, M. &amp; Kim, J. 2023, 'Privacy-first paradigm for dynamic consent management systems: Empowering data subjects through decentralized data controllers and privacy-preserving techniques',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12, no. 24, p. 4973, &lt;https://doi.org/10.3390/electronics12244973&gt;.</w:t>
      </w:r>
    </w:p>
    <w:p>
      <w:pPr>
        <w:spacing w:after="80" w:line="240"/>
        <w:ind w:left="560" w:hanging="560"/>
        <w:jc w:val="left"/>
      </w:pPr>
      <w:r>
        <w:rPr>
          <w:rFonts w:ascii="Times New Roman" w:cs="Times New Roman" w:eastAsia="Times New Roman" w:hAnsi="Times New Roman"/>
          <w:sz w:val="18"/>
          <w:szCs w:val="18"/>
        </w:rPr>
        <w:t xml:space="preserve">Kharlamov, A., Hohmann, R. &amp; Parry, G. 2023, 'Data sharing decisions: Perceptions and intentions in healthcare', </w:t>
      </w:r>
      <w:r>
        <w:rPr>
          <w:rFonts w:ascii="Times New Roman" w:cs="Times New Roman" w:eastAsia="Times New Roman" w:hAnsi="Times New Roman"/>
          <w:i/>
          <w:iCs/>
          <w:sz w:val="18"/>
          <w:szCs w:val="18"/>
        </w:rPr>
        <w:t xml:space="preserve">Strategic Change</w:t>
      </w:r>
      <w:r>
        <w:rPr>
          <w:rFonts w:ascii="Times New Roman" w:cs="Times New Roman" w:eastAsia="Times New Roman" w:hAnsi="Times New Roman"/>
          <w:sz w:val="18"/>
          <w:szCs w:val="18"/>
        </w:rPr>
        <w:t xml:space="preserve">, vol. 32, no. 6, pp. 223–237, &lt;https://doi.org/10.1002/jsc.2558&gt;.</w:t>
      </w:r>
    </w:p>
    <w:p>
      <w:pPr>
        <w:spacing w:after="80" w:line="240"/>
        <w:ind w:left="560" w:hanging="560"/>
        <w:jc w:val="left"/>
      </w:pPr>
      <w:r>
        <w:rPr>
          <w:rFonts w:ascii="Times New Roman" w:cs="Times New Roman" w:eastAsia="Times New Roman" w:hAnsi="Times New Roman"/>
          <w:sz w:val="18"/>
          <w:szCs w:val="18"/>
        </w:rPr>
        <w:t xml:space="preserve">Khayer, B., Mirzaei, S., Alavizadeh, H. &amp; Salehi Shahraki, A. 2025, 'Blockchain for secure IoT: A review of identity management, access control, and trust mechanisms', </w:t>
      </w:r>
      <w:r>
        <w:rPr>
          <w:rFonts w:ascii="Times New Roman" w:cs="Times New Roman" w:eastAsia="Times New Roman" w:hAnsi="Times New Roman"/>
          <w:i/>
          <w:iCs/>
          <w:sz w:val="18"/>
          <w:szCs w:val="18"/>
        </w:rPr>
        <w:t xml:space="preserve">IoT</w:t>
      </w:r>
      <w:r>
        <w:rPr>
          <w:rFonts w:ascii="Times New Roman" w:cs="Times New Roman" w:eastAsia="Times New Roman" w:hAnsi="Times New Roman"/>
          <w:sz w:val="18"/>
          <w:szCs w:val="18"/>
        </w:rPr>
        <w:t xml:space="preserve">, vol. 6, no. 4, p. 65, &lt;https://doi.org/10.3390/iot6040065&gt;.</w:t>
      </w:r>
    </w:p>
    <w:p>
      <w:pPr>
        <w:spacing w:after="80" w:line="240"/>
        <w:ind w:left="560" w:hanging="560"/>
        <w:jc w:val="left"/>
      </w:pPr>
      <w:r>
        <w:rPr>
          <w:rFonts w:ascii="Times New Roman" w:cs="Times New Roman" w:eastAsia="Times New Roman" w:hAnsi="Times New Roman"/>
          <w:sz w:val="18"/>
          <w:szCs w:val="18"/>
        </w:rPr>
        <w:t xml:space="preserve">Li, L., Liu, C.Z. &amp; Shrestha, S. 2026, 'Analytical entropy approach for measuring blockchain immutability and tamper-resilient trust', </w:t>
      </w:r>
      <w:r>
        <w:rPr>
          <w:rFonts w:ascii="Times New Roman" w:cs="Times New Roman" w:eastAsia="Times New Roman" w:hAnsi="Times New Roman"/>
          <w:i/>
          <w:iCs/>
          <w:sz w:val="18"/>
          <w:szCs w:val="18"/>
        </w:rPr>
        <w:t xml:space="preserve">Entropy</w:t>
      </w:r>
      <w:r>
        <w:rPr>
          <w:rFonts w:ascii="Times New Roman" w:cs="Times New Roman" w:eastAsia="Times New Roman" w:hAnsi="Times New Roman"/>
          <w:sz w:val="18"/>
          <w:szCs w:val="18"/>
        </w:rPr>
        <w:t xml:space="preserve">, vol. 28, no. 6, p. 690, &lt;https://doi.org/10.3390/e28060690&gt;.</w:t>
      </w:r>
    </w:p>
    <w:p>
      <w:pPr>
        <w:spacing w:after="80" w:line="240"/>
        <w:ind w:left="560" w:hanging="560"/>
        <w:jc w:val="left"/>
      </w:pPr>
      <w:r>
        <w:rPr>
          <w:rFonts w:ascii="Times New Roman" w:cs="Times New Roman" w:eastAsia="Times New Roman" w:hAnsi="Times New Roman"/>
          <w:sz w:val="18"/>
          <w:szCs w:val="18"/>
        </w:rPr>
        <w:t xml:space="preserve">Li, H., Li, D., Lv, G., Crespi, N., Minerva, R., Shao, W. et al. 2026a, 'Privacy-preserving fine-grained EMR access control for IoMT: A hybrid RBAC-smart contract scheme with attribute-based authorization',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2, pp. 2970–2987, &lt;https://doi.org/10.1109/JIOT.2025.3633504&gt;.</w:t>
      </w:r>
    </w:p>
    <w:p>
      <w:pPr>
        <w:spacing w:after="80" w:line="240"/>
        <w:ind w:left="560" w:hanging="560"/>
        <w:jc w:val="left"/>
      </w:pPr>
      <w:r>
        <w:rPr>
          <w:rFonts w:ascii="Times New Roman" w:cs="Times New Roman" w:eastAsia="Times New Roman" w:hAnsi="Times New Roman"/>
          <w:sz w:val="18"/>
          <w:szCs w:val="18"/>
        </w:rPr>
        <w:t xml:space="preserve">Li, L., Liu, C.Z., Huang, K., Deng, R., Alrowaily, M.A., Alghamdi, M. et al. 2026b, 'Trust-aware environmental state consensus for smart agriculture with TEE-enabled sensing and Byzantine-resilient blockchain coordination',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vol. 26, no. 14, p. 4577, &lt;https://doi.org/10.3390/s26144577&gt;.</w:t>
      </w:r>
    </w:p>
    <w:p>
      <w:pPr>
        <w:spacing w:after="80" w:line="240"/>
        <w:ind w:left="560" w:hanging="560"/>
        <w:jc w:val="left"/>
      </w:pPr>
      <w:r>
        <w:rPr>
          <w:rFonts w:ascii="Times New Roman" w:cs="Times New Roman" w:eastAsia="Times New Roman" w:hAnsi="Times New Roman"/>
          <w:sz w:val="18"/>
          <w:szCs w:val="18"/>
        </w:rPr>
        <w:t xml:space="preserve">Lomotey, R.K., Kumi, S. &amp; Deters, R. 2022, 'Data trusts as a service: Providing a platform for multi-party data sharing', </w:t>
      </w:r>
      <w:r>
        <w:rPr>
          <w:rFonts w:ascii="Times New Roman" w:cs="Times New Roman" w:eastAsia="Times New Roman" w:hAnsi="Times New Roman"/>
          <w:i/>
          <w:iCs/>
          <w:sz w:val="18"/>
          <w:szCs w:val="18"/>
        </w:rPr>
        <w:t xml:space="preserve">International Journal of Information Management Data Insights</w:t>
      </w:r>
      <w:r>
        <w:rPr>
          <w:rFonts w:ascii="Times New Roman" w:cs="Times New Roman" w:eastAsia="Times New Roman" w:hAnsi="Times New Roman"/>
          <w:sz w:val="18"/>
          <w:szCs w:val="18"/>
        </w:rPr>
        <w:t xml:space="preserve">, vol. 2, no. 1, p. 100075, &lt;https://doi.org/10.1016/j.jjimei.2022.100075&gt;.</w:t>
      </w:r>
    </w:p>
    <w:p>
      <w:pPr>
        <w:spacing w:after="80" w:line="240"/>
        <w:ind w:left="560" w:hanging="560"/>
        <w:jc w:val="left"/>
      </w:pPr>
      <w:r>
        <w:rPr>
          <w:rFonts w:ascii="Times New Roman" w:cs="Times New Roman" w:eastAsia="Times New Roman" w:hAnsi="Times New Roman"/>
          <w:sz w:val="18"/>
          <w:szCs w:val="18"/>
        </w:rPr>
        <w:t xml:space="preserve">Madine, M.M., Salah, K., Jayaraman, R., Yaqoob, I., Al-Hammadi, Y., Ellahham, S. et al. 2020, 'Fully decentralized multi-party consent management for secure sharing of patient health records',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225777–225791, &lt;https://doi.org/10.1109/ACCESS.2020.3045048&gt;.</w:t>
      </w:r>
    </w:p>
    <w:p>
      <w:pPr>
        <w:spacing w:after="80" w:line="240"/>
        <w:ind w:left="560" w:hanging="560"/>
        <w:jc w:val="left"/>
      </w:pPr>
      <w:r>
        <w:rPr>
          <w:rFonts w:ascii="Times New Roman" w:cs="Times New Roman" w:eastAsia="Times New Roman" w:hAnsi="Times New Roman"/>
          <w:sz w:val="18"/>
          <w:szCs w:val="18"/>
        </w:rPr>
        <w:t xml:space="preserve">Maruthi, V. &amp; Singh, K. 2025, 'Enhancing security and privacy of IoMT data for unconscious patient with blockchain', </w:t>
      </w:r>
      <w:r>
        <w:rPr>
          <w:rFonts w:ascii="Times New Roman" w:cs="Times New Roman" w:eastAsia="Times New Roman" w:hAnsi="Times New Roman"/>
          <w:i/>
          <w:iCs/>
          <w:sz w:val="18"/>
          <w:szCs w:val="18"/>
        </w:rPr>
        <w:t xml:space="preserve">IEEE Transactions on Network and Service Management</w:t>
      </w:r>
      <w:r>
        <w:rPr>
          <w:rFonts w:ascii="Times New Roman" w:cs="Times New Roman" w:eastAsia="Times New Roman" w:hAnsi="Times New Roman"/>
          <w:sz w:val="18"/>
          <w:szCs w:val="18"/>
        </w:rPr>
        <w:t xml:space="preserve">, vol. 22, no. 6, pp. 5223–5238, &lt;https://doi.org/10.1109/TNSM.2025.3602117&gt;.</w:t>
      </w:r>
    </w:p>
    <w:p>
      <w:pPr>
        <w:spacing w:after="80" w:line="240"/>
        <w:ind w:left="560" w:hanging="560"/>
        <w:jc w:val="left"/>
      </w:pPr>
      <w:r>
        <w:rPr>
          <w:rFonts w:ascii="Times New Roman" w:cs="Times New Roman" w:eastAsia="Times New Roman" w:hAnsi="Times New Roman"/>
          <w:sz w:val="18"/>
          <w:szCs w:val="18"/>
        </w:rPr>
        <w:t xml:space="preserve">Mazzocca, C., Acar, A., Uluagac, A.S., Montanari, R., Bellavista, P. &amp; Conti, M. 2025, 'A survey on decentralized identifiers and verifiable credentials',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27, no. 6, pp. 3641–3671, &lt;https://doi.org/10.1109/COMST.2025.3543197&gt;.</w:t>
      </w:r>
    </w:p>
    <w:p>
      <w:pPr>
        <w:spacing w:after="80" w:line="240"/>
        <w:ind w:left="560" w:hanging="560"/>
        <w:jc w:val="left"/>
      </w:pPr>
      <w:r>
        <w:rPr>
          <w:rFonts w:ascii="Times New Roman" w:cs="Times New Roman" w:eastAsia="Times New Roman" w:hAnsi="Times New Roman"/>
          <w:sz w:val="18"/>
          <w:szCs w:val="18"/>
        </w:rPr>
        <w:t xml:space="preserve">McClelland, R. &amp; Harper, C.M. 2023, 'Information privacy in healthcare — the vital role of informed consent', </w:t>
      </w:r>
      <w:r>
        <w:rPr>
          <w:rFonts w:ascii="Times New Roman" w:cs="Times New Roman" w:eastAsia="Times New Roman" w:hAnsi="Times New Roman"/>
          <w:i/>
          <w:iCs/>
          <w:sz w:val="18"/>
          <w:szCs w:val="18"/>
        </w:rPr>
        <w:t xml:space="preserve">European Journal of Health Law</w:t>
      </w:r>
      <w:r>
        <w:rPr>
          <w:rFonts w:ascii="Times New Roman" w:cs="Times New Roman" w:eastAsia="Times New Roman" w:hAnsi="Times New Roman"/>
          <w:sz w:val="18"/>
          <w:szCs w:val="18"/>
        </w:rPr>
        <w:t xml:space="preserve">, vol. 30, no. 4, pp. 469–480, &lt;https://doi.org/10.1163/15718093-bja10097&gt;.</w:t>
      </w:r>
    </w:p>
    <w:p>
      <w:pPr>
        <w:spacing w:after="80" w:line="240"/>
        <w:ind w:left="560" w:hanging="560"/>
        <w:jc w:val="left"/>
      </w:pPr>
      <w:r>
        <w:rPr>
          <w:rFonts w:ascii="Times New Roman" w:cs="Times New Roman" w:eastAsia="Times New Roman" w:hAnsi="Times New Roman"/>
          <w:sz w:val="18"/>
          <w:szCs w:val="18"/>
        </w:rPr>
        <w:t xml:space="preserve">Mei, L., Huang, K., Li, X., Wang, H. &amp; Zhang, X. 2026, 'Efficient dual-revocation CP-ABE for secure and fine-grained data sharing in IoMT',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14, pp. 30933–30940, &lt;https://doi.org/10.1109/JIOT.2026.3685269&gt;.</w:t>
      </w:r>
    </w:p>
    <w:p>
      <w:pPr>
        <w:spacing w:after="80" w:line="240"/>
        <w:ind w:left="560" w:hanging="560"/>
        <w:jc w:val="left"/>
      </w:pPr>
      <w:r>
        <w:rPr>
          <w:rFonts w:ascii="Times New Roman" w:cs="Times New Roman" w:eastAsia="Times New Roman" w:hAnsi="Times New Roman"/>
          <w:sz w:val="18"/>
          <w:szCs w:val="18"/>
        </w:rPr>
        <w:t xml:space="preserve">Ménétrey, J., Göttel, C., Khurshid, A., Pasin, M., Felber, P., Schiavoni, V. et al. 2022, 'Attestation mechanisms for trusted execution environments demystified', </w:t>
      </w:r>
      <w:r>
        <w:rPr>
          <w:rFonts w:ascii="Times New Roman" w:cs="Times New Roman" w:eastAsia="Times New Roman" w:hAnsi="Times New Roman"/>
          <w:i/>
          <w:iCs/>
          <w:sz w:val="18"/>
          <w:szCs w:val="18"/>
        </w:rPr>
        <w:t xml:space="preserve">IFIP International Conference on Distributed Applications and Interoperable Systems (DAIS 2022), LNCS</w:t>
      </w:r>
      <w:r>
        <w:rPr>
          <w:rFonts w:ascii="Times New Roman" w:cs="Times New Roman" w:eastAsia="Times New Roman" w:hAnsi="Times New Roman"/>
          <w:sz w:val="18"/>
          <w:szCs w:val="18"/>
        </w:rPr>
        <w:t xml:space="preserve">, vol. 13272, pp. 95–113, Springer, &lt;https://doi.org/10.1007/978-3-031-16092-9_7&gt;.</w:t>
      </w:r>
    </w:p>
    <w:p>
      <w:pPr>
        <w:spacing w:after="80" w:line="240"/>
        <w:ind w:left="560" w:hanging="560"/>
        <w:jc w:val="left"/>
      </w:pPr>
      <w:r>
        <w:rPr>
          <w:rFonts w:ascii="Times New Roman" w:cs="Times New Roman" w:eastAsia="Times New Roman" w:hAnsi="Times New Roman"/>
          <w:sz w:val="18"/>
          <w:szCs w:val="18"/>
        </w:rPr>
        <w:t xml:space="preserve">Narkhede, M.R., Wankhede, N.I. &amp; Kamble, A.M. 2025, 'Enhancing patient autonomy in data ownership: Privacy models and consent frameworks for healthcare', </w:t>
      </w:r>
      <w:r>
        <w:rPr>
          <w:rFonts w:ascii="Times New Roman" w:cs="Times New Roman" w:eastAsia="Times New Roman" w:hAnsi="Times New Roman"/>
          <w:i/>
          <w:iCs/>
          <w:sz w:val="18"/>
          <w:szCs w:val="18"/>
        </w:rPr>
        <w:t xml:space="preserve">Journal of Digital Health</w:t>
      </w:r>
      <w:r>
        <w:rPr>
          <w:rFonts w:ascii="Times New Roman" w:cs="Times New Roman" w:eastAsia="Times New Roman" w:hAnsi="Times New Roman"/>
          <w:sz w:val="18"/>
          <w:szCs w:val="18"/>
        </w:rPr>
        <w:t xml:space="preserve">, vol. 4, no. 1, pp. 1–23, &lt;https://doi.org/10.55976/jdh.4202513361-23&gt;.</w:t>
      </w:r>
    </w:p>
    <w:p>
      <w:pPr>
        <w:spacing w:after="80" w:line="240"/>
        <w:ind w:left="560" w:hanging="560"/>
        <w:jc w:val="left"/>
      </w:pPr>
      <w:r>
        <w:rPr>
          <w:rFonts w:ascii="Times New Roman" w:cs="Times New Roman" w:eastAsia="Times New Roman" w:hAnsi="Times New Roman"/>
          <w:sz w:val="18"/>
          <w:szCs w:val="18"/>
        </w:rPr>
        <w:t xml:space="preserve">Nassar Kyriakidou, C.D., Papathanasiou, A.M. &amp; Polyzos, G.C. 2023, 'Decentralized identity with applications to security and privacy for the internet of things', </w:t>
      </w:r>
      <w:r>
        <w:rPr>
          <w:rFonts w:ascii="Times New Roman" w:cs="Times New Roman" w:eastAsia="Times New Roman" w:hAnsi="Times New Roman"/>
          <w:i/>
          <w:iCs/>
          <w:sz w:val="18"/>
          <w:szCs w:val="18"/>
        </w:rPr>
        <w:t xml:space="preserve">Computer Networks and Communications</w:t>
      </w:r>
      <w:r>
        <w:rPr>
          <w:rFonts w:ascii="Times New Roman" w:cs="Times New Roman" w:eastAsia="Times New Roman" w:hAnsi="Times New Roman"/>
          <w:sz w:val="18"/>
          <w:szCs w:val="18"/>
        </w:rPr>
        <w:t xml:space="preserve">, vol. 1, no. 2, pp. 244–271, &lt;https://doi.org/10.37256/cnc.1220233048&gt;.</w:t>
      </w:r>
    </w:p>
    <w:p>
      <w:pPr>
        <w:spacing w:after="80" w:line="240"/>
        <w:ind w:left="560" w:hanging="560"/>
        <w:jc w:val="left"/>
      </w:pPr>
      <w:r>
        <w:rPr>
          <w:rFonts w:ascii="Times New Roman" w:cs="Times New Roman" w:eastAsia="Times New Roman" w:hAnsi="Times New Roman"/>
          <w:sz w:val="18"/>
          <w:szCs w:val="18"/>
        </w:rPr>
        <w:t xml:space="preserve">Nazir, A., Rehmani, M.H., Butler, B. &amp; O’Shea, D. 2026, 'Access control in healthcare IoT: A comprehensive survey', </w:t>
      </w:r>
      <w:r>
        <w:rPr>
          <w:rFonts w:ascii="Times New Roman" w:cs="Times New Roman" w:eastAsia="Times New Roman" w:hAnsi="Times New Roman"/>
          <w:i/>
          <w:iCs/>
          <w:sz w:val="18"/>
          <w:szCs w:val="18"/>
        </w:rPr>
        <w:t xml:space="preserve">Engineering Reports</w:t>
      </w:r>
      <w:r>
        <w:rPr>
          <w:rFonts w:ascii="Times New Roman" w:cs="Times New Roman" w:eastAsia="Times New Roman" w:hAnsi="Times New Roman"/>
          <w:sz w:val="18"/>
          <w:szCs w:val="18"/>
        </w:rPr>
        <w:t xml:space="preserve">, vol. 8, no. 4, p. e70766, &lt;https://doi.org/10.1002/eng2.70766&gt;.</w:t>
      </w:r>
    </w:p>
    <w:p>
      <w:pPr>
        <w:spacing w:after="80" w:line="240"/>
        <w:ind w:left="560" w:hanging="560"/>
        <w:jc w:val="left"/>
      </w:pPr>
      <w:r>
        <w:rPr>
          <w:rFonts w:ascii="Times New Roman" w:cs="Times New Roman" w:eastAsia="Times New Roman" w:hAnsi="Times New Roman"/>
          <w:sz w:val="18"/>
          <w:szCs w:val="18"/>
        </w:rPr>
        <w:t xml:space="preserve">Nguyen, T.L., Nguyen, L., Hoang, T., Bandara, D., Wang, Q., Lu, Q. et al. 2025, 'Blockchain-empowered trustworthy data sharing: Fundamentals, applications, and challenges', </w:t>
      </w:r>
      <w:r>
        <w:rPr>
          <w:rFonts w:ascii="Times New Roman" w:cs="Times New Roman" w:eastAsia="Times New Roman" w:hAnsi="Times New Roman"/>
          <w:i/>
          <w:iCs/>
          <w:sz w:val="18"/>
          <w:szCs w:val="18"/>
        </w:rPr>
        <w:t xml:space="preserve">ACM Computing Surveys</w:t>
      </w:r>
      <w:r>
        <w:rPr>
          <w:rFonts w:ascii="Times New Roman" w:cs="Times New Roman" w:eastAsia="Times New Roman" w:hAnsi="Times New Roman"/>
          <w:sz w:val="18"/>
          <w:szCs w:val="18"/>
        </w:rPr>
        <w:t xml:space="preserve">, vol. 57, no. 8, p. 195, &lt;https://doi.org/10.1145/3718082&gt;.</w:t>
      </w:r>
    </w:p>
    <w:p>
      <w:pPr>
        <w:spacing w:after="80" w:line="240"/>
        <w:ind w:left="560" w:hanging="560"/>
        <w:jc w:val="left"/>
      </w:pPr>
      <w:r>
        <w:rPr>
          <w:rFonts w:ascii="Times New Roman" w:cs="Times New Roman" w:eastAsia="Times New Roman" w:hAnsi="Times New Roman"/>
          <w:sz w:val="18"/>
          <w:szCs w:val="18"/>
        </w:rPr>
        <w:t xml:space="preserve">Page, M.J., McKenzie, J.E., Bossuyt, P.M., Boutron, I., Hoffmann, T.C., Mulrow, C.D. et al. 2021, 'The PRISMA 2020 statement: An updated guideline for reporting systematic reviews', </w:t>
      </w:r>
      <w:r>
        <w:rPr>
          <w:rFonts w:ascii="Times New Roman" w:cs="Times New Roman" w:eastAsia="Times New Roman" w:hAnsi="Times New Roman"/>
          <w:i/>
          <w:iCs/>
          <w:sz w:val="18"/>
          <w:szCs w:val="18"/>
        </w:rPr>
        <w:t xml:space="preserve">BMJ</w:t>
      </w:r>
      <w:r>
        <w:rPr>
          <w:rFonts w:ascii="Times New Roman" w:cs="Times New Roman" w:eastAsia="Times New Roman" w:hAnsi="Times New Roman"/>
          <w:sz w:val="18"/>
          <w:szCs w:val="18"/>
        </w:rPr>
        <w:t xml:space="preserve">, vol. 372, p. n71, &lt;https://doi.org/10.1136/bmj.n71&gt;.</w:t>
      </w:r>
    </w:p>
    <w:p>
      <w:pPr>
        <w:spacing w:after="80" w:line="240"/>
        <w:ind w:left="560" w:hanging="560"/>
        <w:jc w:val="left"/>
      </w:pPr>
      <w:r>
        <w:rPr>
          <w:rFonts w:ascii="Times New Roman" w:cs="Times New Roman" w:eastAsia="Times New Roman" w:hAnsi="Times New Roman"/>
          <w:sz w:val="18"/>
          <w:szCs w:val="18"/>
        </w:rPr>
        <w:t xml:space="preserve">Panagoulias, D.P., Damian, A.I., Stamate, C., Toderian, V., Butusina, P., De Franceschi, A. et al. 2026, 'Blockchain-enabled trust and compliance for clinical AI: Decentralized governance without decentralized data storage',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15, no. 14, p. 3046, &lt;https://doi.org/10.3390/electronics15143046&gt;.</w:t>
      </w:r>
    </w:p>
    <w:p>
      <w:pPr>
        <w:spacing w:after="80" w:line="240"/>
        <w:ind w:left="560" w:hanging="560"/>
        <w:jc w:val="left"/>
      </w:pPr>
      <w:r>
        <w:rPr>
          <w:rFonts w:ascii="Times New Roman" w:cs="Times New Roman" w:eastAsia="Times New Roman" w:hAnsi="Times New Roman"/>
          <w:sz w:val="18"/>
          <w:szCs w:val="18"/>
        </w:rPr>
        <w:t xml:space="preserve">Parameswarath, R.P., Gope, P. &amp; Sikdar, B. 2022, 'User-empowered privacy-preserving authentication protocol for electric vehicle charging based on decentralized identity and verifiable credential', </w:t>
      </w:r>
      <w:r>
        <w:rPr>
          <w:rFonts w:ascii="Times New Roman" w:cs="Times New Roman" w:eastAsia="Times New Roman" w:hAnsi="Times New Roman"/>
          <w:i/>
          <w:iCs/>
          <w:sz w:val="18"/>
          <w:szCs w:val="18"/>
        </w:rPr>
        <w:t xml:space="preserve">ACM Transactions on Management Information Systems</w:t>
      </w:r>
      <w:r>
        <w:rPr>
          <w:rFonts w:ascii="Times New Roman" w:cs="Times New Roman" w:eastAsia="Times New Roman" w:hAnsi="Times New Roman"/>
          <w:sz w:val="18"/>
          <w:szCs w:val="18"/>
        </w:rPr>
        <w:t xml:space="preserve">, vol. 13, no. 4, p. 44, &lt;https://doi.org/10.1145/3532869&gt;.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2026a, 'A blockchain-based architecture for dynamic and auditable patient consent in secondary use of health data', </w:t>
      </w:r>
      <w:r>
        <w:rPr>
          <w:rFonts w:ascii="Times New Roman" w:cs="Times New Roman" w:eastAsia="Times New Roman" w:hAnsi="Times New Roman"/>
          <w:i/>
          <w:iCs/>
          <w:sz w:val="18"/>
          <w:szCs w:val="18"/>
        </w:rPr>
        <w:t xml:space="preserve">Blockchain in Healthcare Today</w:t>
      </w:r>
      <w:r>
        <w:rPr>
          <w:rFonts w:ascii="Times New Roman" w:cs="Times New Roman" w:eastAsia="Times New Roman" w:hAnsi="Times New Roman"/>
          <w:sz w:val="18"/>
          <w:szCs w:val="18"/>
        </w:rPr>
        <w:t xml:space="preserve">, vol. 9, no. 1, p. 491, &lt;https://doi.org/10.30953/bhty.v9.491&gt;.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2026b, 'Enabling cross-institution health data sharing in Norway: EUDI wallets, on-chain consent, and openEHR↔FHIR translation',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20309–20327, &lt;https://doi.org/10.1109/ACCESS.2026.3661642&gt;.</w:t>
      </w:r>
    </w:p>
    <w:p>
      <w:pPr>
        <w:spacing w:after="80" w:line="240"/>
        <w:ind w:left="560" w:hanging="560"/>
        <w:jc w:val="left"/>
      </w:pPr>
      <w:r>
        <w:rPr>
          <w:rFonts w:ascii="Times New Roman" w:cs="Times New Roman" w:eastAsia="Times New Roman" w:hAnsi="Times New Roman"/>
          <w:sz w:val="18"/>
          <w:szCs w:val="18"/>
        </w:rPr>
        <w:t xml:space="preserve">Prashanth, M.S., Karnati, R., Velpuru, M.S. &amp; Venkateshwara Reddy, H. 2024, 'Enhancing health record security and privacy with blockchain-based access management', </w:t>
      </w:r>
      <w:r>
        <w:rPr>
          <w:rFonts w:ascii="Times New Roman" w:cs="Times New Roman" w:eastAsia="Times New Roman" w:hAnsi="Times New Roman"/>
          <w:i/>
          <w:iCs/>
          <w:sz w:val="18"/>
          <w:szCs w:val="18"/>
        </w:rPr>
        <w:t xml:space="preserve">Pervasive Knowledge and Collective Intelligence on Web and Social Media (PerSOM 2023), LNICST</w:t>
      </w:r>
      <w:r>
        <w:rPr>
          <w:rFonts w:ascii="Times New Roman" w:cs="Times New Roman" w:eastAsia="Times New Roman" w:hAnsi="Times New Roman"/>
          <w:sz w:val="18"/>
          <w:szCs w:val="18"/>
        </w:rPr>
        <w:t xml:space="preserve">, vol. 517, pp. 182–202, Springer, &lt;https://doi.org/10.1007/978-3-031-66044-3_13&gt;.</w:t>
      </w:r>
    </w:p>
    <w:p>
      <w:pPr>
        <w:spacing w:after="80" w:line="240"/>
        <w:ind w:left="560" w:hanging="560"/>
        <w:jc w:val="left"/>
      </w:pPr>
      <w:r>
        <w:rPr>
          <w:rFonts w:ascii="Times New Roman" w:cs="Times New Roman" w:eastAsia="Times New Roman" w:hAnsi="Times New Roman"/>
          <w:sz w:val="18"/>
          <w:szCs w:val="18"/>
        </w:rPr>
        <w:t xml:space="preserve">Punia, A., Gulia, P., Gill, N.S., Kaushik, D., Alduaiji, N., Shukla, P.K. et al. 2025, 'An access control system for cloud-based healthcare systems driven by blockchain', </w:t>
      </w:r>
      <w:r>
        <w:rPr>
          <w:rFonts w:ascii="Times New Roman" w:cs="Times New Roman" w:eastAsia="Times New Roman" w:hAnsi="Times New Roman"/>
          <w:i/>
          <w:iCs/>
          <w:sz w:val="18"/>
          <w:szCs w:val="18"/>
        </w:rPr>
        <w:t xml:space="preserve">Journal of Cloud Computing</w:t>
      </w:r>
      <w:r>
        <w:rPr>
          <w:rFonts w:ascii="Times New Roman" w:cs="Times New Roman" w:eastAsia="Times New Roman" w:hAnsi="Times New Roman"/>
          <w:sz w:val="18"/>
          <w:szCs w:val="18"/>
        </w:rPr>
        <w:t xml:space="preserve">, vol. 14, no. 1, p. 78, &lt;https://doi.org/10.1186/s13677-025-00831-z&gt;.</w:t>
      </w:r>
    </w:p>
    <w:p>
      <w:pPr>
        <w:spacing w:after="80" w:line="240"/>
        <w:ind w:left="560" w:hanging="560"/>
        <w:jc w:val="left"/>
      </w:pPr>
      <w:r>
        <w:rPr>
          <w:rFonts w:ascii="Times New Roman" w:cs="Times New Roman" w:eastAsia="Times New Roman" w:hAnsi="Times New Roman"/>
          <w:sz w:val="18"/>
          <w:szCs w:val="18"/>
        </w:rPr>
        <w:t xml:space="preserve">Román-Martínez, I., Calvillo-Arbizu, J., Mayor-Gallego, V.J., Madinabeitia-Luque, G., Estepa-Alonso, A.J. &amp; Estepa-Alonso, R.M. 2023, 'Blockchain-based service-oriented architecture for consent management, access control, and auditing',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11, pp. 12727–12741, &lt;https://doi.org/10.1109/ACCESS.2023.3242605&gt;.</w:t>
      </w:r>
    </w:p>
    <w:p>
      <w:pPr>
        <w:spacing w:after="80" w:line="240"/>
        <w:ind w:left="560" w:hanging="560"/>
        <w:jc w:val="left"/>
      </w:pPr>
      <w:r>
        <w:rPr>
          <w:rFonts w:ascii="Times New Roman" w:cs="Times New Roman" w:eastAsia="Times New Roman" w:hAnsi="Times New Roman"/>
          <w:sz w:val="18"/>
          <w:szCs w:val="18"/>
        </w:rPr>
        <w:t xml:space="preserve">Sawant, N.M. &amp; Gomes, J. 2026, 'A decentralized solution for smarter and safer healthcare systems with FabricMedChain', </w:t>
      </w:r>
      <w:r>
        <w:rPr>
          <w:rFonts w:ascii="Times New Roman" w:cs="Times New Roman" w:eastAsia="Times New Roman" w:hAnsi="Times New Roman"/>
          <w:i/>
          <w:iCs/>
          <w:sz w:val="18"/>
          <w:szCs w:val="18"/>
        </w:rPr>
        <w:t xml:space="preserve">Iranian Journal of Science and Technology, Transactions of Electrical Engineering</w:t>
      </w:r>
      <w:r>
        <w:rPr>
          <w:rFonts w:ascii="Times New Roman" w:cs="Times New Roman" w:eastAsia="Times New Roman" w:hAnsi="Times New Roman"/>
          <w:sz w:val="18"/>
          <w:szCs w:val="18"/>
        </w:rPr>
        <w:t xml:space="preserve">, vol. 50, pp. 2843–2869, &lt;https://doi.org/10.1007/s40998-025-00994-0&gt;.</w:t>
      </w:r>
    </w:p>
    <w:p>
      <w:pPr>
        <w:spacing w:after="80" w:line="240"/>
        <w:ind w:left="560" w:hanging="560"/>
        <w:jc w:val="left"/>
      </w:pPr>
      <w:r>
        <w:rPr>
          <w:rFonts w:ascii="Times New Roman" w:cs="Times New Roman" w:eastAsia="Times New Roman" w:hAnsi="Times New Roman"/>
          <w:sz w:val="18"/>
          <w:szCs w:val="18"/>
        </w:rPr>
        <w:t xml:space="preserve">Shanmugham, M. &amp; Senthilkumar, C. 2026, 'Blockchain enabled self-sovereign identity and consent framework for secure healthcare data access', </w:t>
      </w:r>
      <w:r>
        <w:rPr>
          <w:rFonts w:ascii="Times New Roman" w:cs="Times New Roman" w:eastAsia="Times New Roman" w:hAnsi="Times New Roman"/>
          <w:i/>
          <w:iCs/>
          <w:sz w:val="18"/>
          <w:szCs w:val="18"/>
        </w:rPr>
        <w:t xml:space="preserve">2026 3rd International Conference on Emerging Trends in Engineering and Medical Sciences (ICETEMS)</w:t>
      </w:r>
      <w:r>
        <w:rPr>
          <w:rFonts w:ascii="Times New Roman" w:cs="Times New Roman" w:eastAsia="Times New Roman" w:hAnsi="Times New Roman"/>
          <w:sz w:val="18"/>
          <w:szCs w:val="18"/>
        </w:rPr>
        <w:t xml:space="preserve">, pp. 1–6, &lt;https://doi.org/10.1109/ICETEMS66917.2026.11469586&gt;.</w:t>
      </w:r>
    </w:p>
    <w:p>
      <w:pPr>
        <w:spacing w:after="80" w:line="240"/>
        <w:ind w:left="560" w:hanging="560"/>
        <w:jc w:val="left"/>
      </w:pPr>
      <w:r>
        <w:rPr>
          <w:rFonts w:ascii="Times New Roman" w:cs="Times New Roman" w:eastAsia="Times New Roman" w:hAnsi="Times New Roman"/>
          <w:sz w:val="18"/>
          <w:szCs w:val="18"/>
        </w:rPr>
        <w:t xml:space="preserve">SooHoo, S.L., Keller, M.S., Chen, Y., Hu, D., Huang, S.-C., Kuo, T.-T. et al. 2026, 'Development of the authentication and authorization processes for the iAgree portal, a platform for patient-controlled data sharing across health systems', </w:t>
      </w:r>
      <w:r>
        <w:rPr>
          <w:rFonts w:ascii="Times New Roman" w:cs="Times New Roman" w:eastAsia="Times New Roman" w:hAnsi="Times New Roman"/>
          <w:i/>
          <w:iCs/>
          <w:sz w:val="18"/>
          <w:szCs w:val="18"/>
        </w:rPr>
        <w:t xml:space="preserve">JAMIA Open</w:t>
      </w:r>
      <w:r>
        <w:rPr>
          <w:rFonts w:ascii="Times New Roman" w:cs="Times New Roman" w:eastAsia="Times New Roman" w:hAnsi="Times New Roman"/>
          <w:sz w:val="18"/>
          <w:szCs w:val="18"/>
        </w:rPr>
        <w:t xml:space="preserve">, vol. 9, no. 3, p. ooag111, &lt;https://doi.org/10.1093/jamiaopen/ooag111&gt;.</w:t>
      </w:r>
    </w:p>
    <w:p>
      <w:pPr>
        <w:spacing w:after="80" w:line="240"/>
        <w:ind w:left="560" w:hanging="560"/>
        <w:jc w:val="left"/>
      </w:pPr>
      <w:r>
        <w:rPr>
          <w:rFonts w:ascii="Times New Roman" w:cs="Times New Roman" w:eastAsia="Times New Roman" w:hAnsi="Times New Roman"/>
          <w:sz w:val="18"/>
          <w:szCs w:val="18"/>
        </w:rPr>
        <w:t xml:space="preserve">Tan, K.-L., Chi, C.-H. &amp; Lam, K.-Y. 2024, 'Secure and privacy-preserving sharing of personal health records with multi-party pre-authorization verification', </w:t>
      </w:r>
      <w:r>
        <w:rPr>
          <w:rFonts w:ascii="Times New Roman" w:cs="Times New Roman" w:eastAsia="Times New Roman" w:hAnsi="Times New Roman"/>
          <w:i/>
          <w:iCs/>
          <w:sz w:val="18"/>
          <w:szCs w:val="18"/>
        </w:rPr>
        <w:t xml:space="preserve">Wireless Networks</w:t>
      </w:r>
      <w:r>
        <w:rPr>
          <w:rFonts w:ascii="Times New Roman" w:cs="Times New Roman" w:eastAsia="Times New Roman" w:hAnsi="Times New Roman"/>
          <w:sz w:val="18"/>
          <w:szCs w:val="18"/>
        </w:rPr>
        <w:t xml:space="preserve">, vol. 30, no. 4, pp. 4773–4795, &lt;https://doi.org/10.1007/s11276-022-03114-6&gt;.</w:t>
      </w:r>
    </w:p>
    <w:p>
      <w:pPr>
        <w:spacing w:after="80" w:line="240"/>
        <w:ind w:left="560" w:hanging="560"/>
        <w:jc w:val="left"/>
      </w:pPr>
      <w:r>
        <w:rPr>
          <w:rFonts w:ascii="Times New Roman" w:cs="Times New Roman" w:eastAsia="Times New Roman" w:hAnsi="Times New Roman"/>
          <w:sz w:val="18"/>
          <w:szCs w:val="18"/>
        </w:rPr>
        <w:t xml:space="preserve">Tawfik, A.M., Al-Ahwal, A., Tag Eldien, A.S. &amp; Zayed, H.H. 2025, 'Blockchain-based access control and privacy preservation in healthcare: A comprehensive survey', </w:t>
      </w:r>
      <w:r>
        <w:rPr>
          <w:rFonts w:ascii="Times New Roman" w:cs="Times New Roman" w:eastAsia="Times New Roman" w:hAnsi="Times New Roman"/>
          <w:i/>
          <w:iCs/>
          <w:sz w:val="18"/>
          <w:szCs w:val="18"/>
        </w:rPr>
        <w:t xml:space="preserve">Cluster Computing</w:t>
      </w:r>
      <w:r>
        <w:rPr>
          <w:rFonts w:ascii="Times New Roman" w:cs="Times New Roman" w:eastAsia="Times New Roman" w:hAnsi="Times New Roman"/>
          <w:sz w:val="18"/>
          <w:szCs w:val="18"/>
        </w:rPr>
        <w:t xml:space="preserve">, vol. 28, p. 529, &lt;https://doi.org/10.1007/s10586-025-05308-x&gt;.</w:t>
      </w:r>
    </w:p>
    <w:p>
      <w:pPr>
        <w:spacing w:after="80" w:line="240"/>
        <w:ind w:left="560" w:hanging="560"/>
        <w:jc w:val="left"/>
      </w:pPr>
      <w:r>
        <w:rPr>
          <w:rFonts w:ascii="Times New Roman" w:cs="Times New Roman" w:eastAsia="Times New Roman" w:hAnsi="Times New Roman"/>
          <w:sz w:val="18"/>
          <w:szCs w:val="18"/>
        </w:rPr>
        <w:t xml:space="preserve">Teeda, A. &amp; Subba Rao, Y.V. 2026, 'A patient-centric blockchain based electronic health records for data privacy and confidentiality', </w:t>
      </w:r>
      <w:r>
        <w:rPr>
          <w:rFonts w:ascii="Times New Roman" w:cs="Times New Roman" w:eastAsia="Times New Roman" w:hAnsi="Times New Roman"/>
          <w:i/>
          <w:iCs/>
          <w:sz w:val="18"/>
          <w:szCs w:val="18"/>
        </w:rPr>
        <w:t xml:space="preserve">International Conference on Smart Computing and Informatics, LNNS</w:t>
      </w:r>
      <w:r>
        <w:rPr>
          <w:rFonts w:ascii="Times New Roman" w:cs="Times New Roman" w:eastAsia="Times New Roman" w:hAnsi="Times New Roman"/>
          <w:sz w:val="18"/>
          <w:szCs w:val="18"/>
        </w:rPr>
        <w:t xml:space="preserve">, vol. 1684, pp. 179–192, Springer, &lt;https://doi.org/10.1007/978-3-032-08246-6_15&gt;.</w:t>
      </w:r>
    </w:p>
    <w:p>
      <w:pPr>
        <w:spacing w:after="80" w:line="240"/>
        <w:ind w:left="560" w:hanging="560"/>
        <w:jc w:val="left"/>
      </w:pPr>
      <w:r>
        <w:rPr>
          <w:rFonts w:ascii="Times New Roman" w:cs="Times New Roman" w:eastAsia="Times New Roman" w:hAnsi="Times New Roman"/>
          <w:sz w:val="18"/>
          <w:szCs w:val="18"/>
        </w:rPr>
        <w:t xml:space="preserve">Theodorakopoulos, L., Theodoropoulou, A. &amp; Halkiopoulos, C. 2024, 'Enhancing decentralized decision-making with big data and blockchain technology: A comprehensive review', </w:t>
      </w:r>
      <w:r>
        <w:rPr>
          <w:rFonts w:ascii="Times New Roman" w:cs="Times New Roman" w:eastAsia="Times New Roman" w:hAnsi="Times New Roman"/>
          <w:i/>
          <w:iCs/>
          <w:sz w:val="18"/>
          <w:szCs w:val="18"/>
        </w:rPr>
        <w:t xml:space="preserve">Applied Sciences</w:t>
      </w:r>
      <w:r>
        <w:rPr>
          <w:rFonts w:ascii="Times New Roman" w:cs="Times New Roman" w:eastAsia="Times New Roman" w:hAnsi="Times New Roman"/>
          <w:sz w:val="18"/>
          <w:szCs w:val="18"/>
        </w:rPr>
        <w:t xml:space="preserve">, vol. 14, no. 16, p. 7007, &lt;https://doi.org/10.3390/app14167007&gt;.</w:t>
      </w:r>
    </w:p>
    <w:p>
      <w:pPr>
        <w:spacing w:after="80" w:line="240"/>
        <w:ind w:left="560" w:hanging="560"/>
        <w:jc w:val="left"/>
      </w:pPr>
      <w:r>
        <w:rPr>
          <w:rFonts w:ascii="Times New Roman" w:cs="Times New Roman" w:eastAsia="Times New Roman" w:hAnsi="Times New Roman"/>
          <w:sz w:val="18"/>
          <w:szCs w:val="18"/>
        </w:rPr>
        <w:t xml:space="preserve">Tith, D., Lee, J.-S., Suzuki, H., Wijesundara, W.M.A.B., Taira, N., Obi, T. et al. 2020, 'Patient consent management by a purpose-based consent model for electronic health record based on blockchain technology', </w:t>
      </w:r>
      <w:r>
        <w:rPr>
          <w:rFonts w:ascii="Times New Roman" w:cs="Times New Roman" w:eastAsia="Times New Roman" w:hAnsi="Times New Roman"/>
          <w:i/>
          <w:iCs/>
          <w:sz w:val="18"/>
          <w:szCs w:val="18"/>
        </w:rPr>
        <w:t xml:space="preserve">Healthcare Informatics Research</w:t>
      </w:r>
      <w:r>
        <w:rPr>
          <w:rFonts w:ascii="Times New Roman" w:cs="Times New Roman" w:eastAsia="Times New Roman" w:hAnsi="Times New Roman"/>
          <w:sz w:val="18"/>
          <w:szCs w:val="18"/>
        </w:rPr>
        <w:t xml:space="preserve">, vol. 26, no. 4, pp. 265–273, &lt;https://doi.org/10.4258/hir.2020.26.4.265&gt;.</w:t>
      </w:r>
    </w:p>
    <w:p>
      <w:pPr>
        <w:spacing w:after="80" w:line="240"/>
        <w:ind w:left="560" w:hanging="560"/>
        <w:jc w:val="left"/>
      </w:pPr>
      <w:r>
        <w:rPr>
          <w:rFonts w:ascii="Times New Roman" w:cs="Times New Roman" w:eastAsia="Times New Roman" w:hAnsi="Times New Roman"/>
          <w:sz w:val="18"/>
          <w:szCs w:val="18"/>
        </w:rPr>
        <w:t xml:space="preserve">Tremper, G., Brenner, T., Ben Amor, M., Kussel, T. &amp; Lablans, M. 2026, 'Mainzelliste: Ten years of pseudonymization, record linkage, and informed consent management', </w:t>
      </w:r>
      <w:r>
        <w:rPr>
          <w:rFonts w:ascii="Times New Roman" w:cs="Times New Roman" w:eastAsia="Times New Roman" w:hAnsi="Times New Roman"/>
          <w:i/>
          <w:iCs/>
          <w:sz w:val="18"/>
          <w:szCs w:val="18"/>
        </w:rPr>
        <w:t xml:space="preserve">Patterns</w:t>
      </w:r>
      <w:r>
        <w:rPr>
          <w:rFonts w:ascii="Times New Roman" w:cs="Times New Roman" w:eastAsia="Times New Roman" w:hAnsi="Times New Roman"/>
          <w:sz w:val="18"/>
          <w:szCs w:val="18"/>
        </w:rPr>
        <w:t xml:space="preserve">, vol. 7, no. 1, p. 101432, &lt;https://doi.org/10.1016/j.patter.2025.101432&gt;.</w:t>
      </w:r>
    </w:p>
    <w:p>
      <w:pPr>
        <w:spacing w:after="80" w:line="240"/>
        <w:ind w:left="560" w:hanging="560"/>
        <w:jc w:val="left"/>
      </w:pPr>
      <w:r>
        <w:rPr>
          <w:rFonts w:ascii="Times New Roman" w:cs="Times New Roman" w:eastAsia="Times New Roman" w:hAnsi="Times New Roman"/>
          <w:sz w:val="18"/>
          <w:szCs w:val="18"/>
        </w:rPr>
        <w:t xml:space="preserve">Tseng, C.-H., Hsieh, Y.-H., Lin, H.-Y. &amp; Yuan, S.-M. 2025, 'EMR-Chain: Decentralized electronic medical record exchange system', </w:t>
      </w:r>
      <w:r>
        <w:rPr>
          <w:rFonts w:ascii="Times New Roman" w:cs="Times New Roman" w:eastAsia="Times New Roman" w:hAnsi="Times New Roman"/>
          <w:i/>
          <w:iCs/>
          <w:sz w:val="18"/>
          <w:szCs w:val="18"/>
        </w:rPr>
        <w:t xml:space="preserve">Technologies</w:t>
      </w:r>
      <w:r>
        <w:rPr>
          <w:rFonts w:ascii="Times New Roman" w:cs="Times New Roman" w:eastAsia="Times New Roman" w:hAnsi="Times New Roman"/>
          <w:sz w:val="18"/>
          <w:szCs w:val="18"/>
        </w:rPr>
        <w:t xml:space="preserve">, vol. 13, no. 10, p. 446, &lt;https://doi.org/10.3390/technologies13100446&gt;.</w:t>
      </w:r>
    </w:p>
    <w:p>
      <w:pPr>
        <w:spacing w:after="80" w:line="240"/>
        <w:ind w:left="560" w:hanging="560"/>
        <w:jc w:val="left"/>
      </w:pPr>
      <w:r>
        <w:rPr>
          <w:rFonts w:ascii="Times New Roman" w:cs="Times New Roman" w:eastAsia="Times New Roman" w:hAnsi="Times New Roman"/>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rFonts w:ascii="Times New Roman" w:cs="Times New Roman" w:eastAsia="Times New Roman" w:hAnsi="Times New Roman"/>
          <w:i/>
          <w:iCs/>
          <w:sz w:val="18"/>
          <w:szCs w:val="18"/>
        </w:rPr>
        <w:t xml:space="preserve">Nata Palemahan: Journal of Environmental Engineering Innovations</w:t>
      </w:r>
      <w:r>
        <w:rPr>
          <w:rFonts w:ascii="Times New Roman" w:cs="Times New Roman" w:eastAsia="Times New Roman" w:hAnsi="Times New Roman"/>
          <w:sz w:val="18"/>
          <w:szCs w:val="18"/>
        </w:rPr>
        <w:t xml:space="preserve">, vol. 2, no. 2, pp. 70–79, &lt;https://doi.org/10.38043/natapalemahan.v2i2.6996&gt;.</w:t>
      </w:r>
    </w:p>
    <w:p>
      <w:pPr>
        <w:spacing w:after="80" w:line="240"/>
        <w:ind w:left="560" w:hanging="560"/>
        <w:jc w:val="left"/>
      </w:pPr>
      <w:r>
        <w:rPr>
          <w:rFonts w:ascii="Times New Roman" w:cs="Times New Roman" w:eastAsia="Times New Roman" w:hAnsi="Times New Roman"/>
          <w:sz w:val="18"/>
          <w:szCs w:val="18"/>
        </w:rPr>
        <w:t xml:space="preserve">Walonoski, J., Kramer, M., Nichols, J., Quina, A., Moesel, C., Hall, D. et al. 2018, 'Synthea: An approach, method, and software mechanism for generating synthetic patients and the synthetic electronic health care record', </w:t>
      </w:r>
      <w:r>
        <w:rPr>
          <w:rFonts w:ascii="Times New Roman" w:cs="Times New Roman" w:eastAsia="Times New Roman" w:hAnsi="Times New Roman"/>
          <w:i/>
          <w:iCs/>
          <w:sz w:val="18"/>
          <w:szCs w:val="18"/>
        </w:rPr>
        <w:t xml:space="preserve">Journal of the American Medical Informatics Association</w:t>
      </w:r>
      <w:r>
        <w:rPr>
          <w:rFonts w:ascii="Times New Roman" w:cs="Times New Roman" w:eastAsia="Times New Roman" w:hAnsi="Times New Roman"/>
          <w:sz w:val="18"/>
          <w:szCs w:val="18"/>
        </w:rPr>
        <w:t xml:space="preserve">, vol. 25, no. 3, pp. 230–238, &lt;https://doi.org/10.1093/jamia/ocx079&gt;.</w:t>
      </w:r>
    </w:p>
    <w:p>
      <w:pPr>
        <w:spacing w:after="80" w:line="240"/>
        <w:ind w:left="560" w:hanging="560"/>
        <w:jc w:val="left"/>
      </w:pPr>
      <w:r>
        <w:rPr>
          <w:rFonts w:ascii="Times New Roman" w:cs="Times New Roman" w:eastAsia="Times New Roman" w:hAnsi="Times New Roman"/>
          <w:sz w:val="18"/>
          <w:szCs w:val="18"/>
        </w:rPr>
        <w:t xml:space="preserve">Webber, E.C., Brick, D., Scibilia, J.P., Dehnel, P., Council on Clinical Information Technology et al. 2019, 'Electronic communication of the health record and information with pediatric patients and their guardians', </w:t>
      </w:r>
      <w:r>
        <w:rPr>
          <w:rFonts w:ascii="Times New Roman" w:cs="Times New Roman" w:eastAsia="Times New Roman" w:hAnsi="Times New Roman"/>
          <w:i/>
          <w:iCs/>
          <w:sz w:val="18"/>
          <w:szCs w:val="18"/>
        </w:rPr>
        <w:t xml:space="preserve">Pediatrics</w:t>
      </w:r>
      <w:r>
        <w:rPr>
          <w:rFonts w:ascii="Times New Roman" w:cs="Times New Roman" w:eastAsia="Times New Roman" w:hAnsi="Times New Roman"/>
          <w:sz w:val="18"/>
          <w:szCs w:val="18"/>
        </w:rPr>
        <w:t xml:space="preserve">, vol. 144, no. 1, p. e20191359, &lt;https://doi.org/10.1542/peds.2019-1359&gt;.</w:t>
      </w:r>
    </w:p>
    <w:p>
      <w:pPr>
        <w:spacing w:after="80" w:line="240"/>
        <w:ind w:left="560" w:hanging="560"/>
        <w:jc w:val="left"/>
      </w:pPr>
      <w:r>
        <w:rPr>
          <w:rFonts w:ascii="Times New Roman" w:cs="Times New Roman" w:eastAsia="Times New Roman" w:hAnsi="Times New Roman"/>
          <w:sz w:val="18"/>
          <w:szCs w:val="18"/>
        </w:rPr>
        <w:t xml:space="preserve">Welzel, C., Ostermann, M., Smith, H.L., Minssen, T., Kirsten, T. &amp; Gilbert, S. 2025, 'Enabling secure and self determined health data sharing and consent management', </w:t>
      </w:r>
      <w:r>
        <w:rPr>
          <w:rFonts w:ascii="Times New Roman" w:cs="Times New Roman" w:eastAsia="Times New Roman" w:hAnsi="Times New Roman"/>
          <w:i/>
          <w:iCs/>
          <w:sz w:val="18"/>
          <w:szCs w:val="18"/>
        </w:rPr>
        <w:t xml:space="preserve">npj Digital Medicine</w:t>
      </w:r>
      <w:r>
        <w:rPr>
          <w:rFonts w:ascii="Times New Roman" w:cs="Times New Roman" w:eastAsia="Times New Roman" w:hAnsi="Times New Roman"/>
          <w:sz w:val="18"/>
          <w:szCs w:val="18"/>
        </w:rPr>
        <w:t xml:space="preserve">, vol. 8, no. 1, p. 560, &lt;https://doi.org/10.1038/s41746-025-01945-z&gt;.</w:t>
      </w:r>
    </w:p>
    <w:p>
      <w:pPr>
        <w:spacing w:after="80" w:line="240"/>
        <w:ind w:left="560" w:hanging="560"/>
        <w:jc w:val="left"/>
      </w:pPr>
      <w:r>
        <w:rPr>
          <w:rFonts w:ascii="Times New Roman" w:cs="Times New Roman" w:eastAsia="Times New Roman" w:hAnsi="Times New Roman"/>
          <w:sz w:val="18"/>
          <w:szCs w:val="18"/>
        </w:rPr>
        <w:t xml:space="preserve">Wood, G. 2014, </w:t>
      </w:r>
      <w:r>
        <w:rPr>
          <w:rFonts w:ascii="Times New Roman" w:cs="Times New Roman" w:eastAsia="Times New Roman" w:hAnsi="Times New Roman"/>
          <w:i/>
          <w:iCs/>
          <w:sz w:val="18"/>
          <w:szCs w:val="18"/>
        </w:rPr>
        <w:t xml:space="preserve">Ethereum: A secure decentralised generalised transaction ledger</w:t>
      </w:r>
      <w:r>
        <w:rPr>
          <w:rFonts w:ascii="Times New Roman" w:cs="Times New Roman" w:eastAsia="Times New Roman" w:hAnsi="Times New Roman"/>
          <w:sz w:val="18"/>
          <w:szCs w:val="18"/>
        </w:rPr>
        <w:t xml:space="preserve">, Ethereum Project Yellow Paper, viewed 7 October 2026, &lt;https://ethereum.github.io/yellowpaper/paper.pdf&gt;.</w:t>
      </w:r>
    </w:p>
    <w:p>
      <w:pPr>
        <w:spacing w:after="80" w:line="240"/>
        <w:ind w:left="560" w:hanging="560"/>
        <w:jc w:val="left"/>
      </w:pPr>
      <w:r>
        <w:rPr>
          <w:rFonts w:ascii="Times New Roman" w:cs="Times New Roman" w:eastAsia="Times New Roman" w:hAnsi="Times New Roman"/>
          <w:sz w:val="18"/>
          <w:szCs w:val="18"/>
        </w:rPr>
        <w:t xml:space="preserve">Wu, Y., Liu, C., Sebald, L., Nguyen, P. &amp; Yesha, Y. 2022, 'Apply trust computing and privacy preserving smart contracts to manage, share, and analyze multi-site clinical trial data', </w:t>
      </w:r>
      <w:r>
        <w:rPr>
          <w:rFonts w:ascii="Times New Roman" w:cs="Times New Roman" w:eastAsia="Times New Roman" w:hAnsi="Times New Roman"/>
          <w:i/>
          <w:iCs/>
          <w:sz w:val="18"/>
          <w:szCs w:val="18"/>
        </w:rPr>
        <w:t xml:space="preserve">Proceedings of the International Conference on Deep Learning, Big Data and Blockchain (DBB 2022), LNNS</w:t>
      </w:r>
      <w:r>
        <w:rPr>
          <w:rFonts w:ascii="Times New Roman" w:cs="Times New Roman" w:eastAsia="Times New Roman" w:hAnsi="Times New Roman"/>
          <w:sz w:val="18"/>
          <w:szCs w:val="18"/>
        </w:rPr>
        <w:t xml:space="preserve">, vol. 541, pp. 3–14, Springer, &lt;https://doi.org/10.1007/978-3-031-16035-6_1&gt;.</w:t>
      </w:r>
    </w:p>
    <w:p>
      <w:pPr>
        <w:spacing w:after="80" w:line="240"/>
        <w:ind w:left="560" w:hanging="560"/>
        <w:jc w:val="left"/>
      </w:pPr>
      <w:r>
        <w:rPr>
          <w:rFonts w:ascii="Times New Roman" w:cs="Times New Roman" w:eastAsia="Times New Roman" w:hAnsi="Times New Roman"/>
          <w:sz w:val="18"/>
          <w:szCs w:val="18"/>
        </w:rPr>
        <w:t xml:space="preserve">Wu, Z. &amp; Zhang, D. 2025, 'HealthDID: An efficient and authorizable multi-party privacy-preserving EMR sharing system based on DID', </w:t>
      </w:r>
      <w:r>
        <w:rPr>
          <w:rFonts w:ascii="Times New Roman" w:cs="Times New Roman" w:eastAsia="Times New Roman" w:hAnsi="Times New Roman"/>
          <w:i/>
          <w:iCs/>
          <w:sz w:val="18"/>
          <w:szCs w:val="18"/>
        </w:rPr>
        <w:t xml:space="preserve">Computer Standards &amp; Interfaces</w:t>
      </w:r>
      <w:r>
        <w:rPr>
          <w:rFonts w:ascii="Times New Roman" w:cs="Times New Roman" w:eastAsia="Times New Roman" w:hAnsi="Times New Roman"/>
          <w:sz w:val="18"/>
          <w:szCs w:val="18"/>
        </w:rPr>
        <w:t xml:space="preserve">, vol. 93, p. 103967, &lt;https://doi.org/10.1016/j.csi.2024.103967&gt;.</w:t>
      </w:r>
    </w:p>
    <w:p>
      <w:pPr>
        <w:spacing w:after="80" w:line="240"/>
        <w:ind w:left="560" w:hanging="560"/>
        <w:jc w:val="left"/>
      </w:pPr>
      <w:r>
        <w:rPr>
          <w:rFonts w:ascii="Times New Roman" w:cs="Times New Roman" w:eastAsia="Times New Roman" w:hAnsi="Times New Roman"/>
          <w:sz w:val="18"/>
          <w:szCs w:val="18"/>
        </w:rPr>
        <w:t xml:space="preserve">Yin, H., Zhao, Y., Zhang, L., Qiao, B., Chen, W. &amp; Wang, H. 2024, 'Attribute-based searchable encryption with decentralized key management for healthcare data sharing', </w:t>
      </w:r>
      <w:r>
        <w:rPr>
          <w:rFonts w:ascii="Times New Roman" w:cs="Times New Roman" w:eastAsia="Times New Roman" w:hAnsi="Times New Roman"/>
          <w:i/>
          <w:iCs/>
          <w:sz w:val="18"/>
          <w:szCs w:val="18"/>
        </w:rPr>
        <w:t xml:space="preserve">Journal of Systems Architecture</w:t>
      </w:r>
      <w:r>
        <w:rPr>
          <w:rFonts w:ascii="Times New Roman" w:cs="Times New Roman" w:eastAsia="Times New Roman" w:hAnsi="Times New Roman"/>
          <w:sz w:val="18"/>
          <w:szCs w:val="18"/>
        </w:rPr>
        <w:t xml:space="preserve">, vol. 148, p. 103081, &lt;https://doi.org/10.1016/j.sysarc.2024.103081&gt;.</w:t>
      </w:r>
    </w:p>
    <w:p>
      <w:pPr>
        <w:spacing w:after="80" w:line="240"/>
        <w:ind w:left="560" w:hanging="560"/>
        <w:jc w:val="left"/>
      </w:pPr>
      <w:r>
        <w:rPr>
          <w:rFonts w:ascii="Times New Roman" w:cs="Times New Roman" w:eastAsia="Times New Roman" w:hAnsi="Times New Roman"/>
          <w:sz w:val="18"/>
          <w:szCs w:val="18"/>
        </w:rPr>
        <w:t xml:space="preserve">Yin, J., Xiao, Y., Chen, Q., Lim, Y.Z., Liu, X., Pei, Q. et al. 2025, 'DP-DID: A dynamic and proactive decentralized identity system', </w:t>
      </w:r>
      <w:r>
        <w:rPr>
          <w:rFonts w:ascii="Times New Roman" w:cs="Times New Roman" w:eastAsia="Times New Roman" w:hAnsi="Times New Roman"/>
          <w:i/>
          <w:iCs/>
          <w:sz w:val="18"/>
          <w:szCs w:val="18"/>
        </w:rPr>
        <w:t xml:space="preserve">IEEE Transactions on Information Forensics and Security</w:t>
      </w:r>
      <w:r>
        <w:rPr>
          <w:rFonts w:ascii="Times New Roman" w:cs="Times New Roman" w:eastAsia="Times New Roman" w:hAnsi="Times New Roman"/>
          <w:sz w:val="18"/>
          <w:szCs w:val="18"/>
        </w:rPr>
        <w:t xml:space="preserve">, vol. 20, pp. 4999–5014, &lt;https://doi.org/10.1109/TIFS.2025.3561662&gt;.</w:t>
      </w:r>
    </w:p>
    <w:p>
      <w:pPr>
        <w:spacing w:after="80" w:line="240"/>
        <w:ind w:left="560" w:hanging="560"/>
        <w:jc w:val="left"/>
      </w:pPr>
      <w:r>
        <w:rPr>
          <w:rFonts w:ascii="Times New Roman" w:cs="Times New Roman" w:eastAsia="Times New Roman" w:hAnsi="Times New Roman"/>
          <w:sz w:val="18"/>
          <w:szCs w:val="18"/>
        </w:rPr>
        <w:t xml:space="preserve">Zhang, L., Kan, H. &amp; Huang, H. 2022, 'Patient-centered cross-enterprise document sharing and dynamic consent framework using consortium blockchain and ciphertext-policy attribute-based encryption', </w:t>
      </w:r>
      <w:r>
        <w:rPr>
          <w:rFonts w:ascii="Times New Roman" w:cs="Times New Roman" w:eastAsia="Times New Roman" w:hAnsi="Times New Roman"/>
          <w:i/>
          <w:iCs/>
          <w:sz w:val="18"/>
          <w:szCs w:val="18"/>
        </w:rPr>
        <w:t xml:space="preserve">Proceedings of the 19th ACM International Conference on Computing Frontiers (CF ’22)</w:t>
      </w:r>
      <w:r>
        <w:rPr>
          <w:rFonts w:ascii="Times New Roman" w:cs="Times New Roman" w:eastAsia="Times New Roman" w:hAnsi="Times New Roman"/>
          <w:sz w:val="18"/>
          <w:szCs w:val="18"/>
        </w:rPr>
        <w:t xml:space="preserve">, pp. 58–66, &lt;https://doi.org/10.1145/3528416.3530228&gt;.</w:t>
      </w:r>
    </w:p>
    <w:p>
      <w:pPr>
        <w:spacing w:after="80" w:line="240"/>
        <w:ind w:left="560" w:hanging="560"/>
        <w:jc w:val="left"/>
      </w:pPr>
      <w:r>
        <w:rPr>
          <w:rFonts w:ascii="Times New Roman" w:cs="Times New Roman" w:eastAsia="Times New Roman" w:hAnsi="Times New Roman"/>
          <w:sz w:val="18"/>
          <w:szCs w:val="18"/>
        </w:rPr>
        <w:t xml:space="preserve">Zhao, J. &amp; Su, Q. 2024, 'A threshold traceable delegation authorization scheme for data sharing in healthcare', </w:t>
      </w:r>
      <w:r>
        <w:rPr>
          <w:rFonts w:ascii="Times New Roman" w:cs="Times New Roman" w:eastAsia="Times New Roman" w:hAnsi="Times New Roman"/>
          <w:i/>
          <w:iCs/>
          <w:sz w:val="18"/>
          <w:szCs w:val="18"/>
        </w:rPr>
        <w:t xml:space="preserve">Computers &amp; Security</w:t>
      </w:r>
      <w:r>
        <w:rPr>
          <w:rFonts w:ascii="Times New Roman" w:cs="Times New Roman" w:eastAsia="Times New Roman" w:hAnsi="Times New Roman"/>
          <w:sz w:val="18"/>
          <w:szCs w:val="18"/>
        </w:rPr>
        <w:t xml:space="preserve">, vol. 139, p. 103686, &lt;https://doi.org/10.1016/j.cose.2023.103686&gt;.</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0958c2363dc03715bc101c5da40c10138a3e8.png"/><Relationship Id="rId9" Type="http://schemas.openxmlformats.org/officeDocument/2006/relationships/image" Target="media/cea0445f382ef2e0d481b86ed671e148307169a5.png"/><Relationship Id="rId10" Type="http://schemas.openxmlformats.org/officeDocument/2006/relationships/image" Target="media/66abf0c8a394387ed0901e198f45b4df872df475.png"/><Relationship Id="rId11" Type="http://schemas.openxmlformats.org/officeDocument/2006/relationships/image" Target="media/cfb32433d885f04b3c4e277d1dadf69a2e711d57.png"/><Relationship Id="rId12" Type="http://schemas.openxmlformats.org/officeDocument/2006/relationships/image" Target="media/39225f74fe21ad7e7b7c1673918fe98415414719.png"/><Relationship Id="rId13" Type="http://schemas.openxmlformats.org/officeDocument/2006/relationships/image" Target="media/4f75743c835265daafdcbac66f2bdd6c1034f620.png"/><Relationship Id="rId14" Type="http://schemas.openxmlformats.org/officeDocument/2006/relationships/image" Target="media/03c920405551cc59ae0ad5edcc55300e0a8ed15e.png"/><Relationship Id="rId15" Type="http://schemas.openxmlformats.org/officeDocument/2006/relationships/image" Target="media/2b20591a43c6eb19bfdab74102d4f7f1165b386f.png"/><Relationship Id="rId16" Type="http://schemas.openxmlformats.org/officeDocument/2006/relationships/image" Target="media/11081a2422bebced6d030d22f0ebf13798832173.png"/><Relationship Id="rId17" Type="http://schemas.openxmlformats.org/officeDocument/2006/relationships/image" Target="media/fc5a6be7647fd964b300798307c832eee656672b.png"/><Relationship Id="rId18" Type="http://schemas.openxmlformats.org/officeDocument/2006/relationships/image" Target="media/7ce013ee8724e8dcb1576e7f068db7f8890e5be3.png"/><Relationship Id="rId19" Type="http://schemas.openxmlformats.org/officeDocument/2006/relationships/image" Target="media/f1f163df8a47e4df987495706c8e057d78128af6.png"/><Relationship Id="rId20" Type="http://schemas.openxmlformats.org/officeDocument/2006/relationships/image" Target="media/3f71846d42f224996eb357c7ac4f2281babf68df.png"/><Relationship Id="rId21" Type="http://schemas.openxmlformats.org/officeDocument/2006/relationships/image" Target="media/2bdcc233d9d5ad41e4df5ec32cccb0f936be6fdd.png"/><Relationship Id="rId22" Type="http://schemas.openxmlformats.org/officeDocument/2006/relationships/image" Target="media/3b43f208c34e619a9b1fcd7a8da9990014f117c8.png"/><Relationship Id="rId23" Type="http://schemas.openxmlformats.org/officeDocument/2006/relationships/image" Target="media/00d6986401b6325763b2855292d411f63286ea76.png"/><Relationship Id="rId24" Type="http://schemas.openxmlformats.org/officeDocument/2006/relationships/image" Target="media/e59b5686af22a06dff9cd4bfae93b397759ea42a.png"/><Relationship Id="rId25" Type="http://schemas.openxmlformats.org/officeDocument/2006/relationships/image" Target="media/551744d4db41183fe0c9b4d913479007233462c1.png"/><Relationship Id="rId26" Type="http://schemas.openxmlformats.org/officeDocument/2006/relationships/image" Target="media/379af060121c595b8dab938b017503bf01d94543.png"/><Relationship Id="rId27" Type="http://schemas.openxmlformats.org/officeDocument/2006/relationships/image" Target="media/8b0dede8cf949138f1ca18f2a0be3b9f91a5a8b2.png"/><Relationship Id="rId28" Type="http://schemas.openxmlformats.org/officeDocument/2006/relationships/image" Target="media/f0af766d9de14575067307b6f7dccaf71ca25b88.png"/><Relationship Id="rId29" Type="http://schemas.openxmlformats.org/officeDocument/2006/relationships/image" Target="media/32a920cb8d148805391dcda55782af93c6edfd51.png"/><Relationship Id="rId30" Type="http://schemas.openxmlformats.org/officeDocument/2006/relationships/image" Target="media/06dd8d4f71199a2b46751bf3ced20974c9f60efc.png"/><Relationship Id="rId31" Type="http://schemas.openxmlformats.org/officeDocument/2006/relationships/image" Target="media/4315c9b43325fa22d4a470efde68b53ff388ded2.png"/><Relationship Id="rId32" Type="http://schemas.openxmlformats.org/officeDocument/2006/relationships/image" Target="media/9cb74c21136b6eec65353d28ee54d88601225eab.png"/><Relationship Id="rId33" Type="http://schemas.openxmlformats.org/officeDocument/2006/relationships/image" Target="media/1cde75c3ba6eefdc88f22c3d35398d022b2cb385.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2026-10-07T08:05:39.085Z</dcterms:created>
  <dcterms:modified xsi:type="dcterms:W3CDTF">2026-10-07T08:05:39.085Z</dcterms:modified>
</cp:coreProperties>
</file>

<file path=docProps/custom.xml><?xml version="1.0" encoding="utf-8"?>
<Properties xmlns="http://schemas.openxmlformats.org/officeDocument/2006/custom-properties" xmlns:vt="http://schemas.openxmlformats.org/officeDocument/2006/docPropsVTypes"/>
</file>