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Authorization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28</w:t>
      </w:r>
    </w:p>
    <w:p>
      <w:pPr>
        <w:tabs>
          <w:tab w:val="right" w:pos="9128" w:leader="dot"/>
        </w:tabs>
        <w:spacing w:after="100"/>
      </w:pPr>
      <w:r>
        <w:rPr>
          <w:rFonts w:ascii="Times New Roman" w:cs="Times New Roman" w:eastAsia="Times New Roman" w:hAnsi="Times New Roman"/>
          <w:sz w:val="22"/>
          <w:szCs w:val="22"/>
        </w:rPr>
        <w:t xml:space="preserve">7. The Proposed Solution for RO2	32</w:t>
      </w:r>
    </w:p>
    <w:p>
      <w:pPr>
        <w:tabs>
          <w:tab w:val="right" w:pos="9128" w:leader="dot"/>
        </w:tabs>
        <w:spacing w:after="100"/>
      </w:pPr>
      <w:r>
        <w:rPr>
          <w:rFonts w:ascii="Times New Roman" w:cs="Times New Roman" w:eastAsia="Times New Roman" w:hAnsi="Times New Roman"/>
          <w:sz w:val="22"/>
          <w:szCs w:val="22"/>
        </w:rPr>
        <w:t xml:space="preserve">8. The Proposed Solution for RO3	35</w:t>
      </w:r>
    </w:p>
    <w:p>
      <w:pPr>
        <w:tabs>
          <w:tab w:val="right" w:pos="9128" w:leader="dot"/>
        </w:tabs>
        <w:spacing w:after="100"/>
      </w:pPr>
      <w:r>
        <w:rPr>
          <w:rFonts w:ascii="Times New Roman" w:cs="Times New Roman" w:eastAsia="Times New Roman" w:hAnsi="Times New Roman"/>
          <w:sz w:val="22"/>
          <w:szCs w:val="22"/>
        </w:rPr>
        <w:t xml:space="preserve">9. The Proposed Solution for RO4	40</w:t>
      </w:r>
    </w:p>
    <w:p>
      <w:pPr>
        <w:tabs>
          <w:tab w:val="right" w:pos="9128" w:leader="dot"/>
        </w:tabs>
        <w:spacing w:after="100"/>
      </w:pPr>
      <w:r>
        <w:rPr>
          <w:rFonts w:ascii="Times New Roman" w:cs="Times New Roman" w:eastAsia="Times New Roman" w:hAnsi="Times New Roman"/>
          <w:sz w:val="22"/>
          <w:szCs w:val="22"/>
        </w:rPr>
        <w:t xml:space="preserve">10. The Proposed Solution for RO5	44</w:t>
      </w:r>
    </w:p>
    <w:p>
      <w:pPr>
        <w:tabs>
          <w:tab w:val="right" w:pos="9128" w:leader="dot"/>
        </w:tabs>
        <w:spacing w:after="100"/>
      </w:pPr>
      <w:r>
        <w:rPr>
          <w:rFonts w:ascii="Times New Roman" w:cs="Times New Roman" w:eastAsia="Times New Roman" w:hAnsi="Times New Roman"/>
          <w:sz w:val="22"/>
          <w:szCs w:val="22"/>
        </w:rPr>
        <w:t xml:space="preserve">11. The Proposed Solution for RO6	47</w:t>
      </w:r>
    </w:p>
    <w:p>
      <w:pPr>
        <w:tabs>
          <w:tab w:val="right" w:pos="9128" w:leader="dot"/>
        </w:tabs>
        <w:spacing w:after="100"/>
      </w:pPr>
      <w:r>
        <w:rPr>
          <w:rFonts w:ascii="Times New Roman" w:cs="Times New Roman" w:eastAsia="Times New Roman" w:hAnsi="Times New Roman"/>
          <w:sz w:val="22"/>
          <w:szCs w:val="22"/>
        </w:rPr>
        <w:t xml:space="preserve">12. Publications Summary	60</w:t>
      </w:r>
    </w:p>
    <w:p>
      <w:pPr>
        <w:tabs>
          <w:tab w:val="right" w:pos="9128" w:leader="dot"/>
        </w:tabs>
        <w:spacing w:after="100"/>
      </w:pPr>
      <w:r>
        <w:rPr>
          <w:rFonts w:ascii="Times New Roman" w:cs="Times New Roman" w:eastAsia="Times New Roman" w:hAnsi="Times New Roman"/>
          <w:sz w:val="22"/>
          <w:szCs w:val="22"/>
        </w:rPr>
        <w:t xml:space="preserve">13. Research Plan	61</w:t>
      </w:r>
    </w:p>
    <w:p>
      <w:pPr>
        <w:tabs>
          <w:tab w:val="right" w:pos="9128" w:leader="dot"/>
        </w:tabs>
        <w:spacing w:after="100"/>
      </w:pPr>
      <w:r>
        <w:rPr>
          <w:rFonts w:ascii="Times New Roman" w:cs="Times New Roman" w:eastAsia="Times New Roman" w:hAnsi="Times New Roman"/>
          <w:sz w:val="22"/>
          <w:szCs w:val="22"/>
        </w:rPr>
        <w:t xml:space="preserve">References	63</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Research Context</w:t>
      </w:r>
    </w:p>
    <w:p>
      <w:pPr>
        <w:spacing w:after="110" w:line="264"/>
        <w:jc w:val="both"/>
      </w:pPr>
      <w:r>
        <w:rPr>
          <w:rFonts w:ascii="Times New Roman" w:cs="Times New Roman" w:eastAsia="Times New Roman" w:hAnsi="Times New Roman"/>
          <w:sz w:val="22"/>
          <w:szCs w:val="22"/>
        </w:rPr>
        <w:t xml:space="preserve">The digitalisation of society has created an increasing demand for secure and trustworthy data sharing across organisational boundaries. Modern digital ecosystems involve multiple independent stakeholders, including individuals, healthcare providers, regulatory authorities, researchers, and third-party data processors [1–3].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 Healthcare represents a particularly important and challenging example of this broader problem. The increasing digitisation of healthcare information enables patients, healthcare professionals, guardians, researchers, and healthcare organisations to participate in data-sharing processes [4, 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[6–9].</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[9, 10].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[4, 11]. These scenarios demonstrate that authorisation is increasingly a distributed governance problem rather than simply a process of authenticating a user and checking a static permission [12].</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[3, 13–15], while decentralised identifiers can support the identification of participants without relying exclusively on a central identity provider. Verifiable credentials can provide cryptographically verifiable evidence concerning roles or authority [16, 17], and policy-based access-control mechanisms can restrict access to authorised resources [9, 10, 18]. However, an immutable record does not necessarily demonstrate that the participating entities were legitimate, that they possessed the required authority, or that a subsequent data-access request remains consistent with the conditions originally authorised. This requires a transition from viewing consent as a static record of permission towards understanding consent as an active and evaluable component of a broader authorisation process, extending the dynamic consent perspective [6, 19].</w:t>
      </w:r>
    </w:p>
    <w:p>
      <w:pPr>
        <w:pStyle w:val="Heading2"/>
        <w:keepNext/>
        <w:spacing w:after="120" w:before="240"/>
      </w:pPr>
      <w:r>
        <w:rPr>
          <w:rFonts w:ascii="Times New Roman" w:cs="Times New Roman" w:eastAsia="Times New Roman" w:hAnsi="Times New Roman"/>
          <w:b/>
          <w:bCs/>
          <w:sz w:val="26"/>
          <w:szCs w:val="26"/>
        </w:rPr>
        <w:t xml:space="preserve">1.2  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[19, 20].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Section 2 shows that existing approaches provide important technological components, including decentralised identity and verifiable credentials [21, 22], blockchain-based records [23, 24], multi-party approval mechanisms [23, 25–27], and policy-based access control [28–31], as well as several partial combinations [21, 25, 32].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p>
    <w:p>
      <w:pPr>
        <w:pStyle w:val="Heading2"/>
        <w:keepNext/>
        <w:spacing w:after="120" w:before="240"/>
      </w:pPr>
      <w:r>
        <w:rPr>
          <w:rFonts w:ascii="Times New Roman" w:cs="Times New Roman" w:eastAsia="Times New Roman" w:hAnsi="Times New Roman"/>
          <w:b/>
          <w:bCs/>
          <w:sz w:val="26"/>
          <w:szCs w:val="26"/>
        </w:rPr>
        <w:t xml:space="preserve">1.3  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[33, 34].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[35]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denotes work delivered at the CA2 milestone, while temporal and lifecycle trust, formal security assurance, and comprehensive empirical validation will be developed further in CA3.</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 Healthcare research has emphasised the importance of patient autonomy, privacy, informed consent, and controlled data sharing [4, 6–8, 36]. Multi-party trust research has investigated immutable data governance, distributed auditability, and decentralised consent management [3, 18, 37–39]. Research on decentralised identity and verifiable credentials has developed mechanisms for self-controlled identity representation, credential verification, selective disclosure, and privacy-preserving authentication [16, 17, 40–43]. Access-control research has further investigated role-based, attribute-based, risk-aware, and usage-control approaches for protecting sensitive healthcare information [9, 10, 44, 45]. 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w:t>
      </w:r>
    </w:p>
    <w:p>
      <w:pPr>
        <w:pStyle w:val="Heading2"/>
        <w:keepNext/>
        <w:spacing w:after="120" w:before="240"/>
      </w:pPr>
      <w:r>
        <w:rPr>
          <w:rFonts w:ascii="Times New Roman" w:cs="Times New Roman" w:eastAsia="Times New Roman" w:hAnsi="Times New Roman"/>
          <w:b/>
          <w:bCs/>
          <w:sz w:val="26"/>
          <w:szCs w:val="26"/>
        </w:rPr>
        <w:t xml:space="preserve">2.1  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Identity (DID)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[45].</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[46].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We screened, coded, and assessed every record, and all counts are those of the decision-log checkpoint of 10 September 2026 (decision D-166).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These questions were formulated to ensure that the review remained directly aligned with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[23, 24, 47, 48]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The inclusion and exclusion criteria were applied consistently throughout the screening process.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The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1 shows the quality items, how each one was scored, and the rule used for inclusion.</w:t>
      </w:r>
      <w:r>
        <w:rPr>
          <w:rFonts w:ascii="Times New Roman" w:cs="Times New Roman" w:eastAsia="Times New Roman" w:hAnsi="Times New Roman"/>
          <w:sz w:val="22"/>
          <w:szCs w:val="22"/>
        </w:rPr>
        <w:t xml:space="preserve"> Under decision D-166, a study is core if its gap-impact verdict is contradicts, weakens, or narrows, or if its T3 coding is Yes or Partial, which gives 23 core studies of the 44. With the two supporting studies of highest quality score 7.0 [48, 49], they form the 25 primary studies, S1 to S25. </w:t>
      </w:r>
      <w:r>
        <w:rPr>
          <w:rFonts w:ascii="Times New Roman" w:cs="Times New Roman" w:eastAsia="Times New Roman" w:hAnsi="Times New Roman"/>
          <w:sz w:val="22"/>
          <w:szCs w:val="22"/>
        </w:rPr>
        <w:t xml:space="preserve">Table 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4600575" cy="428625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005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p>
    <w:p>
      <w:pPr>
        <w:keepNext/>
        <w:spacing w:after="80" w:before="200"/>
        <w:jc w:val="center"/>
      </w:pPr>
      <w:r>
        <w:rPr>
          <w:rFonts w:ascii="Times New Roman" w:cs="Times New Roman" w:eastAsia="Times New Roman" w:hAnsi="Times New Roman"/>
          <w:b/>
          <w:bCs/>
          <w:sz w:val="18"/>
          <w:szCs w:val="18"/>
        </w:rPr>
        <w:t xml:space="preserve">Table 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Abbasi et al. [50]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Albalwy et al. [48]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 Amin et al. [51]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Ekholm et al. [27]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Eneh et al. [28]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Hagström et al. [52]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Jaiman and Urovi [47]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Zhao and Su [53]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 et al. [49]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Madine et al. [23]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Maruthi and Singh [54]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Mei et al. [55]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Panagoulias et al. [29]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Phuyal et al. [56]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Punia et al. [25]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Román-Martínez et al. [30]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Hema et al. [57]</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Soohoo et al. [58]</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Tan et al. [26]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Tith et al. [24]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Tremper et al. [59]</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Tseng et al. [60]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et al. [61]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Wu and Zhang [22]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Each included study was assigned to the stream on which it is coded most strongly.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Soohoo et al. [58] describe the iAgree portal across three United States health systems with a permissioned Ethereum audit contract, but consent enforcement is outside its scope. Tremper et al. [59]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[51]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operation [62, 63], or as conditions fixed at encryption time [64, 65]. The existence of a consent record does not necessarily explain whether the conditions required for a subsequent access request are still satisfied.</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T2 was graded Yes in only 10 of the 25 studies and Partial in 15. Phuyal et al. [21]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the strongest Req 2 evidence in the corpus. However, a single patient grants consent, the stored expiry is not checked, there is no threat model, and the companion architecture [56] is design-only. Tseng et al. [60]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[23] require a regulator and a guardian threshold on the incapacitated path, but a single patient key suffices on the normal path. Wu et al. [61] apply a (t, n) investigator threshold to record admission and revocation, and Abbasi et al. [50] use a Shamir (5, 3) threshold for key custody. Punia et al. [25] conjoin an M-of-N multi-signature with an attribute and role policy, but a single emergency officer can bypass the threshold. Tan et al. [26] use patient-appointed verifiers as a contingency, </w:t>
      </w:r>
      <w:r>
        <w:rPr>
          <w:rFonts w:ascii="Times New Roman" w:cs="Times New Roman" w:eastAsia="Times New Roman" w:hAnsi="Times New Roman"/>
          <w:sz w:val="22"/>
          <w:szCs w:val="22"/>
        </w:rPr>
        <w:t xml:space="preserve">[27] reports guardian co-consent at registration time, and [52]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This represents an important area addressed by the proposed framework.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Access control becomes more complex when policies must be connected directly to a decentralised consent process. Tith et al. [24] match a purpose tree in chaincode, and Jaiman and Urovi [47] match ontology terms against the patient's consent. Albalwy et al. [48] evaluate a hashed policy tree of data type, role, and purpose, and Román-Martínez et al. [30] evaluate the FHIR purpose-of-use through XACML. T4 is coded Yes in 11 studies, Partial in 10, and No in 4. However, purpose-of-use enters the decision in only six studies [24, 28–30, 47, 48],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[28]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[57] bind the expiry into key derivation, and Panagoulias et al. [29] enforce revocation at decision time across 43,500 simulated attempts in a single-node ledger. Li et al. [49] enforce time on a credential rather than on the consent. T5 is coded Yes in 8 studies and T6 in 7, a post-revocation denial is demonstrated only by [21], [29], and [28], and the three stream-5 systems that enforce time inside the decision are all single-party.</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[22]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[53] and Maruthi and Singh [54] prove threshold gates in isolation, and Mei et al. [55] prove a static encryption predicate. Formal assurance is coded Yes in only 4 of the 25 studies, and empirical validation Yes in 5, Partial in 19, and No in 1. The panel records an inverse relation between predicate breadth and assurance strength.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 </w:t>
      </w:r>
      <w:r>
        <w:rPr>
          <w:rFonts w:ascii="Times New Roman" w:cs="Times New Roman" w:eastAsia="Times New Roman" w:hAnsi="Times New Roman"/>
          <w:sz w:val="22"/>
          <w:szCs w:val="22"/>
        </w:rPr>
        <w:t xml:space="preserve">Table 3 summarises the description and the issues and limitations of each primary study.</w:t>
      </w:r>
    </w:p>
    <w:p>
      <w:pPr>
        <w:keepNext/>
        <w:spacing w:after="80" w:before="200"/>
        <w:jc w:val="center"/>
      </w:pPr>
      <w:r>
        <w:rPr>
          <w:rFonts w:ascii="Times New Roman" w:cs="Times New Roman" w:eastAsia="Times New Roman" w:hAnsi="Times New Roman"/>
          <w:b/>
          <w:bCs/>
          <w:sz w:val="18"/>
          <w:szCs w:val="18"/>
        </w:rPr>
        <w:t xml:space="preserve">Table 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Abbasi et al. [50]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Albalwy et al. [48]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Al Amin et al. [51]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Ekholm et al. [27]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Eneh et al. [28]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Hagström et al. [52]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Jaiman and Urovi [47]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Zhao and Su [53]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Li et al. [49]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Time is enforced on the credential rather than on the consent, so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Madine et al. [23]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Maruthi and Singh [54]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Mei et al. [55]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Panagoulias et al. [29]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Phuyal et al. [21]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Phuyal et al. [56]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Punia et al. [25]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Román-Martínez et al. [30]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Hema et al. [57]</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Soohoo et al. [58]</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Tan et al. [26]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Tith et al. [24]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Tremper et al. [59]</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Tseng et al. [60]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Wu et al. [61]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Wu and Zhang [22]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Comparative Analysis of Existing Approaches</w:t>
      </w:r>
    </w:p>
    <w:p>
      <w:pPr>
        <w:spacing w:after="110" w:line="264"/>
        <w:jc w:val="both"/>
      </w:pPr>
      <w:r>
        <w:rPr>
          <w:rFonts w:ascii="Times New Roman" w:cs="Times New Roman" w:eastAsia="Times New Roman" w:hAnsi="Times New Roman"/>
          <w:sz w:val="22"/>
          <w:szCs w:val="22"/>
        </w:rPr>
        <w:t xml:space="preserve">The reviewed literature demonstrates that existing approaches provide strong solutions for individual dimensions of trustworthy data sharing. These contributions address different layers of the security problem. No individual mechanism can independently establish that a healthcare data-access decision is trustworthy. The systems that enforce purpose and time are authored by a single patient and lack a formal argument. The multi-party systems carry no purpose or data-scope condition, whereas the proved schemes omit policy, temporal validity, and lifecycle. Table 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p>
    <w:p>
      <w:pPr>
        <w:keepNext/>
        <w:spacing w:after="80" w:before="200"/>
        <w:jc w:val="center"/>
      </w:pPr>
      <w:r>
        <w:rPr>
          <w:rFonts w:ascii="Times New Roman" w:cs="Times New Roman" w:eastAsia="Times New Roman" w:hAnsi="Times New Roman"/>
          <w:b/>
          <w:bCs/>
          <w:sz w:val="18"/>
          <w:szCs w:val="18"/>
        </w:rPr>
        <w:t xml:space="preserve">Table 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 [50]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 [48]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S3 [51]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S4 [27]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S5 [28]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S6 [52]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S7 [47]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S8 [53]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S9 [49]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S10 [23]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S11 [54]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S12 [55]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S13 [29]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S14 [21]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S15 [56]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S16 [25]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S17 [30]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S18 [57]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S19 [58] Soohoo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S20 [26]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S21 [24]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S22 [59]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S23 [60]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S24 [61] Wu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S25 [22]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[23] and [29], and five studies fully satisfy none. Third, Req 1 with Req 4 is the most frequent pair, in seven studies, whereas Req 2 and Req 4 never co-occur in full. Req 3 co-occurs with Req 4 only in [25], whose threshold lies outside the policy predicate and whose policy carries no purpose term. Similarly, Req 3 co-occurs with Req 6 only in [53, 54]. Fourth, the two quadruples are complementary, since [23] lacks policy and assurance, whereas [29] lacks multi-party approval and identity depth.</w:t>
      </w:r>
    </w:p>
    <w:p>
      <w:pPr>
        <w:spacing w:after="110" w:line="264"/>
        <w:jc w:val="both"/>
      </w:pPr>
      <w:r>
        <w:rPr>
          <w:rFonts w:ascii="Times New Roman" w:cs="Times New Roman" w:eastAsia="Times New Roman" w:hAnsi="Times New Roman"/>
          <w:sz w:val="22"/>
          <w:szCs w:val="22"/>
        </w:rPr>
        <w:t xml:space="preserve">The comparison indicates that the principal contribution of the proposed research is not the replacement of existing technologies. Rather, it lies in establishing an explicit conceptual relationship among them.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are reserved for CA3 (Sections 10 and 11).</w:t>
      </w:r>
    </w:p>
    <w:p>
      <w:pPr>
        <w:pStyle w:val="Heading2"/>
        <w:keepNext/>
        <w:spacing w:after="120" w:before="240"/>
      </w:pPr>
      <w:r>
        <w:rPr>
          <w:rFonts w:ascii="Times New Roman" w:cs="Times New Roman" w:eastAsia="Times New Roman" w:hAnsi="Times New Roman"/>
          <w:b/>
          <w:bCs/>
          <w:sz w:val="26"/>
          <w:szCs w:val="26"/>
        </w:rPr>
        <w:t xml:space="preserve">2.5  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while for Req 6, formal assurance is provided by 4 studies, argued informally by 9, and absent in 12. These proportions match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Read on their own, the background surveys cited in Sections 1 and 2 suggest that multi-party authorisation of patient consent does not exist, although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Existing literature provides useful foundations for collaborative governance and multi-party verification.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38450"/>
            <wp:effectExtent t="0" r="0" b="0" l="0"/>
            <wp:docPr id="1" name="F5.png" descr="Synthesis of the review: the conjunction gap and the assurance gap addressed by the proposed framework, with the number of the 25 analysed studies ⟦r⟧graded Yes for each requirement in {T9}⟦/r⟧" title="Synthesis of the review: the conjunction gap and the assurance gap addressed by the proposed framework, with the number of the 25 analysed studies ⟦r⟧graded Yes for each requirement in {T9}⟦/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384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coding panel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CA3.</w:t>
      </w:r>
    </w:p>
    <w:p>
      <w:pPr>
        <w:keepNext/>
        <w:spacing w:after="80" w:before="200"/>
        <w:jc w:val="center"/>
      </w:pPr>
      <w:r>
        <w:rPr>
          <w:rFonts w:ascii="Times New Roman" w:cs="Times New Roman" w:eastAsia="Times New Roman" w:hAnsi="Times New Roman"/>
          <w:b/>
          <w:bCs/>
          <w:sz w:val="18"/>
          <w:szCs w:val="18"/>
        </w:rPr>
        <w:t xml:space="preserve">Table 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 separates identity from authority and is expressed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N-of-N approval by the guardian set G with EIP-712 guardian signatures,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4,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reserved for CA3.</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Research Gap</w:t>
      </w:r>
    </w:p>
    <w:p>
      <w:pPr>
        <w:spacing w:after="110" w:line="264"/>
        <w:jc w:val="both"/>
      </w:pPr>
      <w:r>
        <w:rPr>
          <w:rFonts w:ascii="Times New Roman" w:cs="Times New Roman" w:eastAsia="Times New Roman" w:hAnsi="Times New Roman"/>
          <w:sz w:val="22"/>
          <w:szCs w:val="22"/>
        </w:rPr>
        <w:t xml:space="preserve">The systematic literature review indicates that substantial research has been conducted on individual mechanisms for securing healthcare data sharing. However, the literature also reveals a significant conceptual and architectural fragmentation among these mechanisms. They are commonly investigated as independent technical solutions rather than as coordinated components of a unified trust-oriented authorisation model. The few studies that coordinate several of them in one decision [21, 25, 29, 32, 66] do not make multi-party approval a standing condition of that decision, and they do not assure the conjunction formally or empirically.</w:t>
      </w:r>
    </w:p>
    <w:p>
      <w:pPr>
        <w:spacing w:after="110" w:line="264"/>
        <w:jc w:val="both"/>
      </w:pPr>
      <w:r>
        <w:rPr>
          <w:rFonts w:ascii="Times New Roman" w:cs="Times New Roman" w:eastAsia="Times New Roman" w:hAnsi="Times New Roman"/>
          <w:sz w:val="22"/>
          <w:szCs w:val="22"/>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Existing consent-oriented approaches tend to treat consent primarily as a record of a patient’s permission [62, 63, 67]. Once the permission has been created and stored, subsequent access control may depend predominantly on the existence of the consent record and the successful authentication of the requester. Even the evaluable consent objects reported since 2020 [21, 24, 28, 48, 66]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represent fundamentally different security problems. A blockchain may provide an immutable representation of a consent event [10, 18], but immutability does not establish the legitimacy of the entities involved in that event. Similarly, a valid decentralised identity can establish who a participant is [16],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multi-party approval is never conjoined with a purpose or data-scope condition [23, 25, 26]. Consequently, trust cannot be attributed to any individual mechanism in isolation. From a Trust Computing perspective, trustworthy access should be understood as an outcome of the coordinated satisfaction of multiple independently verifiable conditions. The research therefore conceptualises trust not as a static attribute possessed by a particular entity or technology, but as an emergent property of a verifiable authorisation process.</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[25, 53, 61], or appointed by the patient [26, 54]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and authority is rarely verified separately from authentication.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The six questions collectively establish a progression from consent modelling to formal security assurance and empirical validation. For brevity, SRQ1 to SRQ6 are referred to as RQ1 to RQ6 in the remaining sections.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(1)</w:t>
      </w:r>
    </w:p>
    <w:p>
      <w:pPr>
        <w:pStyle w:val="Heading2"/>
        <w:keepNext/>
        <w:spacing w:after="120" w:before="240"/>
      </w:pPr>
      <w:r>
        <w:rPr>
          <w:rFonts w:ascii="Times New Roman" w:cs="Times New Roman" w:eastAsia="Times New Roman" w:hAnsi="Times New Roman"/>
          <w:b/>
          <w:bCs/>
          <w:sz w:val="26"/>
          <w:szCs w:val="26"/>
        </w:rPr>
        <w:t xml:space="preserve">3.4  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requires the Groth16 ZK proof to verify, so a request that satisfies the five predicates is still denied when the proof fails, as in attack A9 (Section 11.4).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translate the identified research gap into concrete research and development activities. Each objective represents a research contribution that can be examined conceptually, technically, and, where appropriate, empirically.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objective is to establish not only that the prototype can execute valid consent workflows, but also that it behaves correctly when one or more trust conditions are violated.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This correspondence ensures that every research question is addressed by a clearly defined research activity and that each objective contributes to the overall development of the proposed trust-oriented authorisation framework. RO1 to RO4 are delivered in CA2,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must emerge from the coordinated evaluation of independently verifiable security conditions.</w:t>
      </w:r>
    </w:p>
    <w:p>
      <w:pPr>
        <w:pStyle w:val="Heading2"/>
        <w:keepNext/>
        <w:spacing w:after="120" w:before="240"/>
      </w:pPr>
      <w:r>
        <w:rPr>
          <w:rFonts w:ascii="Times New Roman" w:cs="Times New Roman" w:eastAsia="Times New Roman" w:hAnsi="Times New Roman"/>
          <w:b/>
          <w:bCs/>
          <w:sz w:val="26"/>
          <w:szCs w:val="26"/>
        </w:rPr>
        <w:t xml:space="preserve">5.1  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3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476625"/>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766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3: </w:t>
      </w:r>
      <w:r>
        <w:rPr>
          <w:rFonts w:ascii="Times New Roman" w:cs="Times New Roman" w:eastAsia="Times New Roman" w:hAnsi="Times New Roman"/>
          <w:sz w:val="18"/>
          <w:szCs w:val="18"/>
        </w:rPr>
        <w:t xml:space="preserve">Layered MVC architecture and component decomposition of the HALAH framework.</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4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4: </w:t>
      </w:r>
      <w:r>
        <w:rPr>
          <w:rFonts w:ascii="Times New Roman" w:cs="Times New Roman" w:eastAsia="Times New Roman" w:hAnsi="Times New Roman"/>
          <w:sz w:val="18"/>
          <w:szCs w:val="18"/>
        </w:rPr>
        <w:t xml:space="preserve">Functional decomposition of the MVC components.</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(2).</w:t>
      </w:r>
    </w:p>
    <w:p>
      <w:pPr>
        <w:keepNext/>
        <w:spacing w:after="60" w:before="160"/>
        <w:jc w:val="center"/>
      </w:pPr>
      <w:r>
        <w:drawing>
          <wp:inline distT="0" distB="0" distL="0" distR="0">
            <wp:extent cx="2952750" cy="4286250"/>
            <wp:effectExtent t="0" r="0" b="0" l="0"/>
            <wp:docPr id="1"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 </w:t>
      </w:r>
      <w:r>
        <w:rPr>
          <w:rFonts w:ascii="Times New Roman" w:cs="Times New Roman" w:eastAsia="Times New Roman" w:hAnsi="Times New Roman"/>
          <w:sz w:val="18"/>
          <w:szCs w:val="18"/>
        </w:rPr>
        <w:t xml:space="preserve">Trust predicate evaluation and authorisation decision flow.</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Trust-Oriented Consent Authorisation Workflow</w:t>
      </w:r>
    </w:p>
    <w:p>
      <w:pPr>
        <w:spacing w:after="110" w:line="264"/>
        <w:jc w:val="both"/>
      </w:pPr>
      <w:r>
        <w:rPr>
          <w:rFonts w:ascii="Times New Roman" w:cs="Times New Roman" w:eastAsia="Times New Roman" w:hAnsi="Times New Roman"/>
          <w:sz w:val="22"/>
          <w:szCs w:val="22"/>
        </w:rPr>
        <w:t xml:space="preserve">Figure 6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[16]. Importantly, the framework explicitly separates identity authentication from authorisation. A successfully verified DID or VC does not, by itself, grant permission to access patient data. The framework then collects their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successfully verified approvals and let N denote the required authorisation threshold, as in Equation (3). Here, Token(C) ≠ ∅ means that C has been assigned a token identifier, and Revoked(C) = 0 means that the consent has not been revoked.</w:t>
      </w:r>
    </w:p>
    <w:p>
      <w:pPr>
        <w:keepNext/>
        <w:spacing w:after="60" w:before="160"/>
        <w:jc w:val="center"/>
      </w:pPr>
      <w:r>
        <w:drawing>
          <wp:inline distT="0" distB="0" distL="0" distR="0">
            <wp:extent cx="2638425" cy="428625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384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 </w:t>
      </w:r>
      <w:r>
        <w:rPr>
          <w:rFonts w:ascii="Times New Roman" w:cs="Times New Roman" w:eastAsia="Times New Roman" w:hAnsi="Times New Roman"/>
          <w:sz w:val="18"/>
          <w:szCs w:val="18"/>
        </w:rPr>
        <w:t xml:space="preserve">End-to-end workflow of the trust-oriented consent authorisation framework.</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(3)</w:t>
      </w:r>
    </w:p>
    <w:p>
      <w:pPr>
        <w:spacing w:after="110" w:line="264"/>
        <w:jc w:val="both"/>
      </w:pPr>
      <w:r>
        <w:rPr>
          <w:rFonts w:ascii="Times New Roman" w:cs="Times New Roman" w:eastAsia="Times New Roman" w:hAnsi="Times New Roman"/>
          <w:sz w:val="22"/>
          <w:szCs w:val="22"/>
        </w:rPr>
        <w:t xml:space="preserve">Only independently verified participants can contribute to the authorisation evidence set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(4),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For a guardian approval, the authority in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membership of G, and each member of G is counted once.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[23], a witness or notary threshold [26], a registration-time co-consent [27, 52], an institution-side admission gate [61], a custodial M-of-N signature [25], or a key-share reconstruction [50, 54].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A</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1}.</w:t>
      </w:r>
      <w:r>
        <w:rPr>
          <w:rFonts w:ascii="Times New Roman" w:cs="Times New Roman" w:eastAsia="Times New Roman" w:hAnsi="Times New Roman"/>
          <w:sz w:val="22"/>
          <w:szCs w:val="22"/>
        </w:rPr>
        <w:t xml:space="preserve">	(4)</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The flow continues through patient-initiated revocation and the corresponding on-chain revoke transaction, after which the auditor reviews the record and the verification tool performs an independent verification. If the required threshold is not satisfied, the authorisation process terminates with a denial decision.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requested purpose must be consistent with the purpose specified in the consent.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6.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6: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evaluates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principal contribution of the proposed architecture is not the use of MVC itself, but the way in which MVC is employed to operationalise a trust-oriented authorisation model. This design transforms multi-party consent management from a conventional record-management problem into a distributed security-governance problem. The evaluable consent object as such is already present in the literature [21, 24, 28, 48].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[10, 18]. The detailed solutions for RQ1 to RQ6 are presented in Sections 6 to 11, and the formal assurance of the complete decision model remains for CA3.</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6.1  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(5)</w:t>
      </w:r>
    </w:p>
    <w:p>
      <w:pPr>
        <w:spacing w:after="110" w:line="264"/>
        <w:jc w:val="both"/>
      </w:pPr>
      <w:r>
        <w:rPr>
          <w:rFonts w:ascii="Times New Roman" w:cs="Times New Roman" w:eastAsia="Times New Roman" w:hAnsi="Times New Roman"/>
          <w:sz w:val="22"/>
          <w:szCs w:val="22"/>
        </w:rPr>
        <w:t xml:space="preserve">In Equation (5),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Consent Creation Workflow</w:t>
      </w:r>
    </w:p>
    <w:p>
      <w:pPr>
        <w:spacing w:after="110" w:line="264"/>
        <w:jc w:val="both"/>
      </w:pPr>
      <w:r>
        <w:rPr>
          <w:rFonts w:ascii="Times New Roman" w:cs="Times New Roman" w:eastAsia="Times New Roman" w:hAnsi="Times New Roman"/>
          <w:sz w:val="22"/>
          <w:szCs w:val="22"/>
        </w:rPr>
        <w:t xml:space="preserve">Figure 7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419350" cy="428625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193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 </w:t>
      </w:r>
      <w:r>
        <w:rPr>
          <w:rFonts w:ascii="Times New Roman" w:cs="Times New Roman" w:eastAsia="Times New Roman" w:hAnsi="Times New Roman"/>
          <w:sz w:val="18"/>
          <w:szCs w:val="18"/>
        </w:rPr>
        <w:t xml:space="preserve">RO1 workflow for trust-centric consent creation.</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Structure of the Consent Object</w:t>
      </w:r>
    </w:p>
    <w:p>
      <w:pPr>
        <w:spacing w:after="110" w:line="264"/>
        <w:jc w:val="both"/>
      </w:pPr>
      <w:r>
        <w:rPr>
          <w:rFonts w:ascii="Times New Roman" w:cs="Times New Roman" w:eastAsia="Times New Roman" w:hAnsi="Times New Roman"/>
          <w:sz w:val="22"/>
          <w:szCs w:val="22"/>
        </w:rPr>
        <w:t xml:space="preserve">Figure 8 shows how the validated information is combined to construct the consent object. The resulting object therefore captures not only the patient's preference but also the evidence required to support subsequent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 </w:t>
      </w:r>
      <w:r>
        <w:rPr>
          <w:rFonts w:ascii="Times New Roman" w:cs="Times New Roman" w:eastAsia="Times New Roman" w:hAnsi="Times New Roman"/>
          <w:sz w:val="18"/>
          <w:szCs w:val="18"/>
        </w:rPr>
        <w:t xml:space="preserve">Six-component consent model C = (I, A, P, T, L, E) with the content and supplier of each component.</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 Unlike the consent objects reported in the literature [21, 24, 28, 48, 66],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If a guardian or proxy is specified, the system validates the guardian set G.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requested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This sequence ensures that consent is created only after the relevant identity, authority, purpose, scope, and temporal constraints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Validate guardian set G</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sz w:val="19"/>
          <w:szCs w:val="19"/>
        </w:rPr>
        <w:t xml:space="preserve">Validate purpose P</w:t>
      </w:r>
      <w:r>
        <w:rPr>
          <w:rFonts w:ascii="Times New Roman" w:cs="Times New Roman" w:eastAsia="Times New Roman" w:hAnsi="Times New Roman"/>
          <w:sz w:val="19"/>
          <w:szCs w:val="19"/>
          <w:vertAlign w:val="subscript"/>
        </w:rPr>
        <w:t xml:space="preserve">u</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Validate data scope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The main contribution of RO1 is the transformation of consent from a static permission record into a structured authorisation object. The current result demonstrates that consent can be represented as an evaluable authorisation object rather than as a binary permission.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pStyle w:val="Heading2"/>
        <w:keepNext/>
        <w:spacing w:after="120" w:before="240"/>
      </w:pPr>
      <w:r>
        <w:rPr>
          <w:rFonts w:ascii="Times New Roman" w:cs="Times New Roman" w:eastAsia="Times New Roman" w:hAnsi="Times New Roman"/>
          <w:b/>
          <w:bCs/>
          <w:sz w:val="26"/>
          <w:szCs w:val="26"/>
        </w:rPr>
        <w:t xml:space="preserve">7.1  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(6).</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(6)</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[16]. Neither mechanism should automatically grant access to patient data. Instead, the verified identity and authority information become inputs to the subsequent authorisation process. The identity and authority verification condition can be expressed as Equation (7), where u is the requesting participant and Authority(u, C) establishes whether the verified authority matches the role required by the consent.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w:t>
      </w:r>
    </w:p>
    <w:p>
      <w:pPr>
        <w:pStyle w:val="Heading2"/>
        <w:keepNext/>
        <w:spacing w:after="120" w:before="240"/>
      </w:pPr>
      <w:r>
        <w:rPr>
          <w:rFonts w:ascii="Times New Roman" w:cs="Times New Roman" w:eastAsia="Times New Roman" w:hAnsi="Times New Roman"/>
          <w:b/>
          <w:bCs/>
          <w:sz w:val="26"/>
          <w:szCs w:val="26"/>
        </w:rPr>
        <w:t xml:space="preserve">7.2  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9,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2876550" cy="4286250"/>
            <wp:effectExtent t="0" r="0" b="0" l="0"/>
            <wp:docPr id="1" name="F12.png" descr="RO2 workflow for decentralised identity and authority verification" title="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765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 </w:t>
      </w:r>
      <w:r>
        <w:rPr>
          <w:rFonts w:ascii="Times New Roman" w:cs="Times New Roman" w:eastAsia="Times New Roman" w:hAnsi="Times New Roman"/>
          <w:sz w:val="18"/>
          <w:szCs w:val="18"/>
        </w:rPr>
        <w:t xml:space="preserve">RO2 workflow for decentralised identity and authority verification.</w:t>
      </w:r>
    </w:p>
    <w:p>
      <w:pPr>
        <w:pStyle w:val="Heading2"/>
        <w:keepNext/>
        <w:spacing w:after="120" w:before="240"/>
      </w:pPr>
      <w:r>
        <w:rPr>
          <w:rFonts w:ascii="Times New Roman" w:cs="Times New Roman" w:eastAsia="Times New Roman" w:hAnsi="Times New Roman"/>
          <w:b/>
          <w:bCs/>
          <w:sz w:val="26"/>
          <w:szCs w:val="26"/>
        </w:rPr>
        <w:t xml:space="preserve">7.3  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The purpose of this comparison is to ensure that possession of a valid identity or credential is not automatically interpreted as permission to access healthcare information.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Identity(u) ∧ CredentialValidity(u)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2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2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w:t>
      </w:r>
    </w:p>
    <w:p>
      <w:pPr>
        <w:pStyle w:val="Heading2"/>
        <w:keepNext/>
        <w:spacing w:after="120" w:before="240"/>
      </w:pPr>
      <w:r>
        <w:rPr>
          <w:rFonts w:ascii="Times New Roman" w:cs="Times New Roman" w:eastAsia="Times New Roman" w:hAnsi="Times New Roman"/>
          <w:b/>
          <w:bCs/>
          <w:sz w:val="26"/>
          <w:szCs w:val="26"/>
        </w:rPr>
        <w:t xml:space="preserve">8.1  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authorisation participants and N represent the required approval threshold. The authorisation condition can then be represented as Equation (8),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have demonstrated the potential to strengthen the process through which identity claims are established or validated [40, 41].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10,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000375" cy="428625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003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 </w:t>
      </w:r>
      <w:r>
        <w:rPr>
          <w:rFonts w:ascii="Times New Roman" w:cs="Times New Roman" w:eastAsia="Times New Roman" w:hAnsi="Times New Roman"/>
          <w:sz w:val="18"/>
          <w:szCs w:val="18"/>
        </w:rPr>
        <w:t xml:space="preserve">RO3 workflow for threshold-based multi-party authorisation.</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belongs to the required participant set G (u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included in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(9).</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(9)</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(10).</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(10)</w:t>
      </w:r>
    </w:p>
    <w:p>
      <w:pPr>
        <w:spacing w:after="110" w:line="264"/>
        <w:jc w:val="both"/>
      </w:pPr>
      <w:r>
        <w:rPr>
          <w:rFonts w:ascii="Times New Roman" w:cs="Times New Roman" w:eastAsia="Times New Roman" w:hAnsi="Times New Roman"/>
          <w:sz w:val="22"/>
          <w:szCs w:val="22"/>
        </w:rPr>
        <w:t xml:space="preserve">Algorithm 3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3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 threshold N =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2,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is not in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 shown in the interface in the prototype</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participant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approval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(11).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 DENY.</w:t>
      </w:r>
      <w:r>
        <w:rPr>
          <w:rFonts w:ascii="Times New Roman" w:cs="Times New Roman" w:eastAsia="Times New Roman" w:hAnsi="Times New Roman"/>
          <w:sz w:val="22"/>
          <w:szCs w:val="22"/>
        </w:rPr>
        <w:t xml:space="preserve">	(11)</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For example, where two approvals are required and the consent has not been revoked, Equation (12), whereas Equation (13).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(12)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(13)</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w:t>
      </w:r>
    </w:p>
    <w:p>
      <w:pPr>
        <w:pStyle w:val="Heading2"/>
        <w:keepNext/>
        <w:spacing w:after="120" w:before="240"/>
      </w:pPr>
      <w:r>
        <w:rPr>
          <w:rFonts w:ascii="Times New Roman" w:cs="Times New Roman" w:eastAsia="Times New Roman" w:hAnsi="Times New Roman"/>
          <w:b/>
          <w:bCs/>
          <w:sz w:val="26"/>
          <w:szCs w:val="26"/>
        </w:rPr>
        <w:t xml:space="preserve">9.1  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(14)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(14)</w:t>
      </w:r>
    </w:p>
    <w:p>
      <w:pPr>
        <w:spacing w:after="110" w:line="264"/>
        <w:jc w:val="both"/>
      </w:pPr>
      <w:r>
        <w:rPr>
          <w:rFonts w:ascii="Times New Roman" w:cs="Times New Roman" w:eastAsia="Times New Roman" w:hAnsi="Times New Roman"/>
          <w:sz w:val="22"/>
          <w:szCs w:val="22"/>
        </w:rPr>
        <w:t xml:space="preserve">The policy condition can therefore be expressed as Equation (15)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(15)</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(16).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Importantly, both successful and denied decisions should be recorded because a trustworthy authorisation framework requires accountability not only for data that were released but also for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(16)</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requested purpose and data scope. The HALAH implementation provides a concrete basis for this objective. As shown in Figure 11, the Doctor interface retrieves a consent, evaluates its state, allows a requested scope to be selected from the consent scope, generates a proof, checks the requested scope, and invokes the authorisation function before returning data. Suppose that a consent permits access to the following healthcare data categories Equation (17), and a healthcare professional subsequently requests Equation (18).</w:t>
      </w:r>
    </w:p>
    <w:p>
      <w:pPr>
        <w:keepNext/>
        <w:spacing w:after="60" w:before="160"/>
        <w:jc w:val="center"/>
      </w:pPr>
      <w:r>
        <w:drawing>
          <wp:inline distT="0" distB="0" distL="0" distR="0">
            <wp:extent cx="2352675" cy="428625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35267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and the requested purpose is the consent purpose).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(17)</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Times New Roman" w:cs="Times New Roman" w:eastAsia="Times New Roman" w:hAnsi="Times New Roman"/>
          <w:sz w:val="22"/>
          <w:szCs w:val="22"/>
        </w:rPr>
        <w:t xml:space="preserve">	(18)</w:t>
      </w:r>
    </w:p>
    <w:p>
      <w:pPr>
        <w:spacing w:after="110" w:line="264"/>
        <w:jc w:val="both"/>
      </w:pPr>
      <w:r>
        <w:rPr>
          <w:rFonts w:ascii="Times New Roman" w:cs="Times New Roman" w:eastAsia="Times New Roman" w:hAnsi="Times New Roman"/>
          <w:sz w:val="22"/>
          <w:szCs w:val="22"/>
        </w:rPr>
        <w:t xml:space="preserve">In this case, Equation (19)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This step is particularly important for fine-grained healthcare data access because authorisation to access one category of healthcare information does not imply authorisation to access all categories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(19)</w:t>
      </w:r>
    </w:p>
    <w:p>
      <w:pPr>
        <w:pStyle w:val="Heading2"/>
        <w:keepNext/>
        <w:spacing w:after="120" w:before="240"/>
      </w:pPr>
      <w:r>
        <w:rPr>
          <w:rFonts w:ascii="Times New Roman" w:cs="Times New Roman" w:eastAsia="Times New Roman" w:hAnsi="Times New Roman"/>
          <w:b/>
          <w:bCs/>
          <w:sz w:val="26"/>
          <w:szCs w:val="26"/>
        </w:rPr>
        <w:t xml:space="preserve">9.3  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4 evaluates the complete set of conditions defined by the consent and applicable access-control policies. If any mandatory condition fails during the evaluation process, the system records the corresponding denial evidence and returns DENY.</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4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record proof_mode = groth16</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Record granted decision</w:t>
      </w:r>
    </w:p>
    <w:p>
      <w:pPr>
        <w:keepNext w:val="false"/>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This ordering is important because it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generates and verifies the evidence supporting the access decision as a Groth16 zero-knowledge proof. The proof shows that the prover knows the secret and the expiry time behind a Poseidon commitment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 The system verifies whether the multi-party authorisation requirement associated with consent object C has been satisfied, under the N-of-N approval rule described in Section 8.</w:t>
      </w:r>
    </w:p>
    <w:p>
      <w:pPr>
        <w:pStyle w:val="Heading2"/>
        <w:keepNext/>
        <w:spacing w:after="120" w:before="240"/>
      </w:pPr>
      <w:r>
        <w:rPr>
          <w:rFonts w:ascii="Times New Roman" w:cs="Times New Roman" w:eastAsia="Times New Roman" w:hAnsi="Times New Roman"/>
          <w:b/>
          <w:bCs/>
          <w:sz w:val="26"/>
          <w:szCs w:val="26"/>
        </w:rPr>
        <w:t xml:space="preserve">9.5  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is particularly important because a framework should not only demonstrate that legitimate requests succeed, but also demonstrate resilience against foreseeable attempts to bypass its security controls.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was originally planned for CA3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w:t>
      </w:r>
    </w:p>
    <w:p>
      <w:pPr>
        <w:pStyle w:val="Heading2"/>
        <w:keepNext/>
        <w:spacing w:after="120" w:before="240"/>
      </w:pPr>
      <w:r>
        <w:rPr>
          <w:rFonts w:ascii="Times New Roman" w:cs="Times New Roman" w:eastAsia="Times New Roman" w:hAnsi="Times New Roman"/>
          <w:b/>
          <w:bCs/>
          <w:sz w:val="26"/>
          <w:szCs w:val="26"/>
        </w:rPr>
        <w:t xml:space="preserve">10.1  Temporal and Jurisdictional Trust Conditions</w:t>
      </w:r>
    </w:p>
    <w:p>
      <w:pPr>
        <w:spacing w:after="110" w:line="264"/>
        <w:jc w:val="both"/>
      </w:pPr>
      <w:r>
        <w:rPr>
          <w:rFonts w:ascii="Times New Roman" w:cs="Times New Roman" w:eastAsia="Times New Roman" w:hAnsi="Times New Roman"/>
          <w:sz w:val="22"/>
          <w:szCs w:val="22"/>
        </w:rPr>
        <w:t xml:space="preserve">Trustworthy authorisation is inherently dynamic. A consent that is valid at one point in time cannot necessarily be assumed to remain valid indefinitely. The system compares the current time t with the consent validity interval, and Equation (20)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(20)</w:t>
      </w:r>
    </w:p>
    <w:p>
      <w:pPr>
        <w:spacing w:after="110" w:line="264"/>
        <w:jc w:val="both"/>
      </w:pPr>
      <w:r>
        <w:rPr>
          <w:rFonts w:ascii="Times New Roman" w:cs="Times New Roman" w:eastAsia="Times New Roman" w:hAnsi="Times New Roman"/>
          <w:sz w:val="22"/>
          <w:szCs w:val="22"/>
        </w:rPr>
        <w:t xml:space="preserve">Equation (21)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where Jur(·) is the on-chain two-letter ISO code.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(21)</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As in Section 5.2, lifecycle state and revocation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(22). A valid authorisation decision requires the simultaneous satisfaction of all relevant trust conditions. Consequently, failure of any individual condition results in denial. Temporal and lifecycle controls contribute dynamic validity.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(22)</w:t>
      </w:r>
    </w:p>
    <w:p>
      <w:pPr>
        <w:spacing w:after="110" w:line="264"/>
        <w:jc w:val="both"/>
      </w:pPr>
      <w:r>
        <w:rPr>
          <w:rFonts w:ascii="Times New Roman" w:cs="Times New Roman" w:eastAsia="Times New Roman" w:hAnsi="Times New Roman"/>
          <w:sz w:val="22"/>
          <w:szCs w:val="22"/>
        </w:rPr>
        <w:t xml:space="preserve">Authorisation is not necessarily permanent. A consent that was valid when initially approved may subsequently become invalid due to expiration or revocation. This establishes that consent validity is not a static property. 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Implemented Temporal and Lifecycle Controls</w:t>
      </w:r>
    </w:p>
    <w:p>
      <w:pPr>
        <w:spacing w:after="110" w:line="264"/>
        <w:jc w:val="both"/>
      </w:pPr>
      <w:r>
        <w:rPr>
          <w:rFonts w:ascii="Times New Roman" w:cs="Times New Roman" w:eastAsia="Times New Roman" w:hAnsi="Times New Roman"/>
          <w:sz w:val="22"/>
          <w:szCs w:val="22"/>
        </w:rPr>
        <w:t xml:space="preserve">Figure 12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2990850" cy="428625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12: </w:t>
      </w:r>
      <w:r>
        <w:rPr>
          <w:rFonts w:ascii="Times New Roman" w:cs="Times New Roman" w:eastAsia="Times New Roman" w:hAnsi="Times New Roman"/>
          <w:sz w:val="18"/>
          <w:szCs w:val="18"/>
        </w:rPr>
        <w:t xml:space="preserve">RO5 workflow for temporal and consent lifecycle trust.</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 In particular,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13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Rather than treating authorisation as a one-time event, this approach enables the system to determine whether authorisation remains valid at the precise time an operation is requested.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609725"/>
            <wp:effectExtent t="0" r="0" b="0" l="0"/>
            <wp:docPr id="1" name="F35.png" descr="Implemented consent lifecycle: solid transitions are recorded in the audit ledger, red transitions are anchored as Sepolia transactions and dashed transitions show revocation from any state that is not already REVOKED" title="Implemented consent lifecycle: solid transitions are recorded in the audit ledger, red transitions are anchored as Sepolia transactions and dashed transitions show revocation from any state that is not already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6097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 </w:t>
      </w:r>
      <w:r>
        <w:rPr>
          <w:rFonts w:ascii="Times New Roman" w:cs="Times New Roman" w:eastAsia="Times New Roman" w:hAnsi="Times New Roman"/>
          <w:sz w:val="18"/>
          <w:szCs w:val="18"/>
        </w:rPr>
        <w:t xml:space="preserve">Implemented consent lifecycle: solid transitions are recorded in the audit ledger, red transitions are anchored as Sepolia transactions and dashed transitions show revocation from any state that is not already REVOKED.</w:t>
      </w:r>
    </w:p>
    <w:p>
      <w:pPr>
        <w:pStyle w:val="Heading2"/>
        <w:keepNext/>
        <w:spacing w:after="120" w:before="240"/>
      </w:pPr>
      <w:r>
        <w:rPr>
          <w:rFonts w:ascii="Times New Roman" w:cs="Times New Roman" w:eastAsia="Times New Roman" w:hAnsi="Times New Roman"/>
          <w:b/>
          <w:bCs/>
          <w:sz w:val="26"/>
          <w:szCs w:val="26"/>
        </w:rPr>
        <w:t xml:space="preserve">10.3  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Five elements remain for CA3.</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CA3 will therefore extend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records an unauthorised state-transition event and returns INVALID, but this is the only step not yet implemented. It therefore ensures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This work will constitute a major component of CA3. The major CA3 activities and their expected outcomes are summarised in Section 13.</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will be conducted as part of CA3.</w:t>
      </w:r>
    </w:p>
    <w:p>
      <w:pPr>
        <w:pStyle w:val="Heading2"/>
        <w:keepNext/>
        <w:spacing w:after="120" w:before="240"/>
      </w:pPr>
      <w:r>
        <w:rPr>
          <w:rFonts w:ascii="Times New Roman" w:cs="Times New Roman" w:eastAsia="Times New Roman" w:hAnsi="Times New Roman"/>
          <w:b/>
          <w:bCs/>
          <w:sz w:val="26"/>
          <w:szCs w:val="26"/>
        </w:rPr>
        <w:t xml:space="preserve">11.1  Validation Approach</w:t>
      </w:r>
    </w:p>
    <w:p>
      <w:pPr>
        <w:spacing w:after="110" w:line="264"/>
        <w:jc w:val="both"/>
      </w:pPr>
      <w:r>
        <w:rPr>
          <w:rFonts w:ascii="Times New Roman" w:cs="Times New Roman" w:eastAsia="Times New Roman" w:hAnsi="Times New Roman"/>
          <w:sz w:val="22"/>
          <w:szCs w:val="22"/>
        </w:rPr>
        <w:t xml:space="preserve">Figure 14 presents the RO6 workflow for formal security assurance and empirical validation. The formal and empirical components are complementary.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3819525" cy="428625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4286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14: </w:t>
      </w:r>
      <w:r>
        <w:rPr>
          <w:rFonts w:ascii="Times New Roman" w:cs="Times New Roman" w:eastAsia="Times New Roman" w:hAnsi="Times New Roman"/>
          <w:sz w:val="18"/>
          <w:szCs w:val="18"/>
        </w:rPr>
        <w:t xml:space="preserve">RO6 workflow for formal security assurance and empirical validation.</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This procedure establishes a distinction between functional correctness and security correctness. The proposed validation therefore does not treat successful execution as sufficient evidence of correctness. Equation (23)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(23)</w:t>
      </w:r>
    </w:p>
    <w:p>
      <w:pPr>
        <w:spacing w:after="110" w:line="264"/>
        <w:jc w:val="both"/>
      </w:pPr>
      <w:r>
        <w:rPr>
          <w:rFonts w:ascii="Times New Roman" w:cs="Times New Roman" w:eastAsia="Times New Roman" w:hAnsi="Times New Roman"/>
          <w:sz w:val="22"/>
          <w:szCs w:val="22"/>
        </w:rPr>
        <w:t xml:space="preserve">Equivalently, Equation (24), the contrapositive of Equation (23), states that if any mandatory condition is violated, the request must be denied. Equation (23) is therefore examined through the granted requests and Equation (24) through the negative scenarios, while the valid scenarios examine the opposite direction, namely that a request satisfying all conditions is granted. A valid authorisation decision requires the simultaneous satisfaction of all relevant trust conditions. Each predicate of Section 10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 DENY.</w:t>
      </w:r>
      <w:r>
        <w:rPr>
          <w:rFonts w:ascii="Times New Roman" w:cs="Times New Roman" w:eastAsia="Times New Roman" w:hAnsi="Times New Roman"/>
          <w:sz w:val="22"/>
          <w:szCs w:val="22"/>
        </w:rPr>
        <w:t xml:space="preserve">	(24)</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or when the requested purpose or data scope violates the consent policy.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role-based consent management platform. The current system includes separate patient, guardian, doctor, and auditor interfaces. It also records consent creation, guardian approval, token minting, state checks, and data-access events. Following successful threshold satisfaction, the system generates activation or token evidence associated with the authorisation decision through ConsentSBTv3, compiled in Remix and deployed via MetaMask. Each token stores the pseudonymous patient and requester addresses, a hash of the purpose, the validity window, a two-letter jurisdiction code, and a revocation flag. The SBT, a soulbound ERC-721 token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 Synthetic healthcare records derived from the Synthea dataset are used to construct representative consent workflows.</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The creation, approval, and granted-access screens were captured from a second lifecycle, 04da25f5, which used the same code, contract, and configuration and was anchored as token #2.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15,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This process ensures that the consent object contains sufficient information for subsequent identity verification, multi-party authorisation, policy evaluation, and auditability. Consequently, the resulting consent object serves not merely as a record of patient preference, but as a structured authorisation artefact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15: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16. The public anchoring of the evaluated consent in block 11,771,243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16: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17,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18,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457575"/>
            <wp:effectExtent t="0" r="0" b="0" l="0"/>
            <wp:docPr id="1" name="F27.png" descr="Doctor subsystem with requester jurisdiction AU: all five checks pass" title="Doctor subsystem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4575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17: </w:t>
      </w:r>
      <w:r>
        <w:rPr>
          <w:rFonts w:ascii="Times New Roman" w:cs="Times New Roman" w:eastAsia="Times New Roman" w:hAnsi="Times New Roman"/>
          <w:sz w:val="18"/>
          <w:szCs w:val="18"/>
        </w:rPr>
        <w:t xml:space="preserve">Doctor subsystem with requester jurisdiction AU: all five checks pass.</w:t>
      </w:r>
    </w:p>
    <w:p>
      <w:pPr>
        <w:keepNext/>
        <w:spacing w:after="60" w:before="160"/>
        <w:jc w:val="center"/>
      </w:pPr>
      <w:r>
        <w:drawing>
          <wp:inline distT="0" distB="0" distL="0" distR="0">
            <wp:extent cx="3352800" cy="3810000"/>
            <wp:effectExtent t="0" r="0" b="0" l="0"/>
            <wp:docPr id="1" name="F29.png" descr="Doctor subsystem after verification: access granted and records displayed per EMR module" title="Doctor subsystem after verification: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352800" cy="3810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18: </w:t>
      </w:r>
      <w:r>
        <w:rPr>
          <w:rFonts w:ascii="Times New Roman" w:cs="Times New Roman" w:eastAsia="Times New Roman" w:hAnsi="Times New Roman"/>
          <w:sz w:val="18"/>
          <w:szCs w:val="18"/>
        </w:rPr>
        <w:t xml:space="preserve">Doctor subsystem after verification: access granted and records displayed per EMR module.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19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19: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fails at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because the system verifies that the consent has not been revoked or otherwise transitioned into an inactive state.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20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4476750" cy="2266950"/>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669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20: </w:t>
      </w:r>
      <w:r>
        <w:rPr>
          <w:rFonts w:ascii="Times New Roman" w:cs="Times New Roman" w:eastAsia="Times New Roman" w:hAnsi="Times New Roman"/>
          <w:sz w:val="18"/>
          <w:szCs w:val="18"/>
        </w:rPr>
        <w:t xml:space="preserve">Revocation transaction on Sepolia Etherscan, block 11,771,307.</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As shown in Figure 21,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revocation state of each token with the local state, with the result shown in Figure 22.</w:t>
      </w:r>
    </w:p>
    <w:p>
      <w:pPr>
        <w:keepNext/>
        <w:spacing w:after="60" w:before="160"/>
        <w:jc w:val="center"/>
      </w:pPr>
      <w:r>
        <w:drawing>
          <wp:inline distT="0" distB="0" distL="0" distR="0">
            <wp:extent cx="4476750" cy="2400300"/>
            <wp:effectExtent t="0" r="0" b="0" l="0"/>
            <wp:docPr id="1" name="F39.png" descr="Auditor subsystem: aggregate indicators and the audit ledger rows of the evaluated consent" title="Auditor subsystem: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2400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Auditor subsystem: aggregate indicators and the audit ledger rows of the evaluated consent.</w:t>
      </w:r>
    </w:p>
    <w:p>
      <w:pPr>
        <w:keepNext/>
        <w:spacing w:after="60" w:before="160"/>
        <w:jc w:val="center"/>
      </w:pPr>
      <w:r>
        <w:drawing>
          <wp:inline distT="0" distB="0" distL="0" distR="0">
            <wp:extent cx="4476750" cy="2581275"/>
            <wp:effectExtent t="0" r="0" b="0" l="0"/>
            <wp:docPr id="1" name="F40.png" descr="Independent verification against Sepolia: RESULT: ALL CHECKS PASSED" title="Independent verification against Sepolia: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25812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Independent verification against Sepolia: RESULT: ALL CHECKS PASSED.</w:t>
      </w:r>
    </w:p>
    <w:p>
      <w:pPr>
        <w:spacing w:after="110" w:line="264"/>
        <w:jc w:val="both"/>
      </w:pPr>
      <w:r>
        <w:rPr>
          <w:rFonts w:ascii="Times New Roman" w:cs="Times New Roman" w:eastAsia="Times New Roman" w:hAnsi="Times New Roman"/>
          <w:sz w:val="22"/>
          <w:szCs w:val="22"/>
        </w:rPr>
        <w:t xml:space="preserve">Table 7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represent different interaction responsibilities but share the same architectural principle: none of them independently determines whether access should be granted.</w:t>
      </w:r>
    </w:p>
    <w:p>
      <w:pPr>
        <w:keepNext/>
        <w:spacing w:after="80" w:before="200"/>
        <w:jc w:val="center"/>
      </w:pPr>
      <w:r>
        <w:rPr>
          <w:rFonts w:ascii="Times New Roman" w:cs="Times New Roman" w:eastAsia="Times New Roman" w:hAnsi="Times New Roman"/>
          <w:b/>
          <w:bCs/>
          <w:sz w:val="18"/>
          <w:szCs w:val="18"/>
        </w:rPr>
        <w:t xml:space="preserve">Table 7: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guardian identities and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11.3  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8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8: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23,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23: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9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 In each of the six logged evaluations, the recorded audit evidence is consistent with the actual authorisation decision. Consequently, validation does not merely determine whether the final output is ALLOW or DENY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it also determines whether the underlying evidence is consistent with the decision.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9: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10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10: </w:t>
      </w:r>
      <w:r>
        <w:rPr>
          <w:rFonts w:ascii="Times New Roman" w:cs="Times New Roman" w:eastAsia="Times New Roman" w:hAnsi="Times New Roman"/>
          <w:sz w:val="18"/>
          <w:szCs w:val="18"/>
        </w:rPr>
        <w:t xml:space="preserve">Processing time of the decision components, measured in the development container used for the demonstration, with the anchoring confirmation taken from Table 8</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24,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itle="Processing time of the decision components on a logarithmic axis (median and minimum to maxi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24: </w:t>
      </w:r>
      <w:r>
        <w:rPr>
          <w:rFonts w:ascii="Times New Roman" w:cs="Times New Roman" w:eastAsia="Times New Roman" w:hAnsi="Times New Roman"/>
          <w:sz w:val="18"/>
          <w:szCs w:val="18"/>
        </w:rPr>
        <w:t xml:space="preserve">Processing time of the decision components on a logarithmic axis (median and minimum to maximum).</w:t>
      </w:r>
    </w:p>
    <w:p>
      <w:pPr>
        <w:pStyle w:val="Heading2"/>
        <w:keepNext/>
        <w:spacing w:after="120" w:before="240"/>
      </w:pPr>
      <w:r>
        <w:rPr>
          <w:rFonts w:ascii="Times New Roman" w:cs="Times New Roman" w:eastAsia="Times New Roman" w:hAnsi="Times New Roman"/>
          <w:b/>
          <w:bCs/>
          <w:sz w:val="26"/>
          <w:szCs w:val="26"/>
        </w:rPr>
        <w:t xml:space="preserve">11.4  Unit-Level Adversarial Tests</w:t>
      </w:r>
    </w:p>
    <w:p>
      <w:pPr>
        <w:spacing w:after="110" w:line="264"/>
        <w:jc w:val="both"/>
      </w:pPr>
      <w:r>
        <w:rPr>
          <w:rFonts w:ascii="Times New Roman" w:cs="Times New Roman" w:eastAsia="Times New Roman" w:hAnsi="Times New Roman"/>
          <w:sz w:val="22"/>
          <w:szCs w:val="22"/>
        </w:rPr>
        <w:t xml:space="preserve">The adversarial test set is particularly important because a framework should not only demonstrate that legitimate requests succeed, but also demonstrate resilience against foreseeable attempts to bypass its security controls.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the security properties that it is intended to evaluate.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 and Figure 25 record whether each scenario has passed or failed. Before the hardening, three attacks, A1, A3, and A5, were accepted when the service functions were called directly. This confirms that a system may be conceptually correct but incorrectly implemented, or may pass functional tests while failing under invalid or adversarial conditions. Any failed scenario is analysed to determine the source and significance of the failure. The purpose of this analysis is not to conceal unsuccessful cases but to determine whether observed failures represent violations of the intended security properties or limitations that should be addressed in future work.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 </w:t>
      </w:r>
      <w:r>
        <w:rPr>
          <w:rFonts w:ascii="Times New Roman" w:cs="Times New Roman" w:eastAsia="Times New Roman" w:hAnsi="Times New Roman"/>
          <w:sz w:val="18"/>
          <w:szCs w:val="18"/>
        </w:rPr>
        <w:t xml:space="preserve">Unit-level adversarial tests A1 to A12, their targeted component and their outcome before the hardening (commit b1468b7)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19</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25: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distinguishes between implementation defects, policy-definition errors, integration problems, incomplete security controls, and limitations of the experimental environment.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11.5  Remaining Work for CA3</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will be conducted in CA3 and consist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CA3 will extend the current prototype-based evaluation to include both successful and adversarial access requests. The twelve attack scenarios will be extended to larger sets of positive, negative, and adversarial scenarios, and enforcement accuracy will be reported over this extended set. Particular attention will be given to the relationship between the formal security model and the observed behaviour of the implemented system.</w:t>
      </w:r>
    </w:p>
    <w:p>
      <w:pPr>
        <w:spacing w:after="110" w:line="264"/>
        <w:jc w:val="both"/>
      </w:pPr>
      <w:r>
        <w:rPr>
          <w:rFonts w:ascii="Times New Roman" w:cs="Times New Roman" w:eastAsia="Times New Roman" w:hAnsi="Times New Roman"/>
          <w:sz w:val="22"/>
          <w:szCs w:val="22"/>
        </w:rPr>
        <w:t xml:space="preserve">CA3 will address the prototype limitations that the evaluation has exposed, which include the N-of-N approval rule, the server-derived guardian keys, the unauthenticated requester role, the absence of cryptographic DID resolution and VC validation, the missing lifecycle transition check, and the unkeyed and unchained audit digest.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identify as remaining for CA3. RO5 and RO6 constitute the principal research agenda for CA3.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 </w:t>
      </w:r>
      <w:r>
        <w:rPr>
          <w:rFonts w:ascii="Times New Roman" w:cs="Times New Roman" w:eastAsia="Times New Roman" w:hAnsi="Times New Roman"/>
          <w:sz w:val="18"/>
          <w:szCs w:val="18"/>
        </w:rPr>
        <w:t xml:space="preserve">Research plan: previous and coming tasks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Jul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CA3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26,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will build upon the foundational trust-oriented authorisation framework established during current stage and extend the research towards dynamic consent governance, formal security assurance, and comprehensive empirical validation. Consent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26: </w:t>
      </w:r>
      <w:r>
        <w:rPr>
          <w:rFonts w:ascii="Times New Roman" w:cs="Times New Roman" w:eastAsia="Times New Roman" w:hAnsi="Times New Roman"/>
          <w:sz w:val="18"/>
          <w:szCs w:val="18"/>
        </w:rPr>
        <w:t xml:space="preserve">Research timeline: completed milestones, work in progress and the planned stages up to thesis submission.</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14.</w:t>
      </w:r>
    </w:p>
    <w:p>
      <w:pPr>
        <w:keepNext/>
        <w:spacing w:after="80" w:before="200"/>
        <w:jc w:val="center"/>
      </w:pPr>
      <w:r>
        <w:rPr>
          <w:rFonts w:ascii="Times New Roman" w:cs="Times New Roman" w:eastAsia="Times New Roman" w:hAnsi="Times New Roman"/>
          <w:b/>
          <w:bCs/>
          <w:sz w:val="18"/>
          <w:szCs w:val="18"/>
        </w:rPr>
        <w:t xml:space="preserve">Table 14: </w:t>
      </w:r>
      <w:r>
        <w:rPr>
          <w:rFonts w:ascii="Times New Roman" w:cs="Times New Roman" w:eastAsia="Times New Roman" w:hAnsi="Times New Roman"/>
          <w:sz w:val="18"/>
          <w:szCs w:val="18"/>
        </w:rPr>
        <w:t xml:space="preserve">Next Stage Research Activities, Methodological Focus, and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tabs>
          <w:tab w:val="left" w:pos="560"/>
        </w:tabs>
        <w:spacing w:after="50" w:line="240"/>
        <w:ind w:left="560" w:hanging="560"/>
        <w:jc w:val="left"/>
      </w:pPr>
      <w:r>
        <w:rPr>
          <w:rFonts w:ascii="Times New Roman" w:cs="Times New Roman" w:eastAsia="Times New Roman" w:hAnsi="Times New Roman"/>
          <w:sz w:val="18"/>
          <w:szCs w:val="18"/>
        </w:rPr>
        <w:t xml:space="preserve">[1]	</w:t>
      </w:r>
      <w:r>
        <w:rPr>
          <w:rFonts w:ascii="Times New Roman" w:cs="Times New Roman" w:eastAsia="Times New Roman" w:hAnsi="Times New Roman"/>
          <w:sz w:val="18"/>
          <w:szCs w:val="18"/>
        </w:rPr>
        <w:t xml:space="preserve">A. Ghafoor, I. Symeonidis, A. Rydberg, C. Lindahl, and A. Q. Abbasi. Towards empowering stakeholders through decentralized trust and secure livestock data sharing. Cryptography, 9(3):52, 2025. doi:10.3390/cryptography9030052</w:t>
      </w:r>
    </w:p>
    <w:p>
      <w:pPr>
        <w:tabs>
          <w:tab w:val="left" w:pos="560"/>
        </w:tabs>
        <w:spacing w:after="50" w:line="240"/>
        <w:ind w:left="560" w:hanging="560"/>
        <w:jc w:val="left"/>
      </w:pPr>
      <w:r>
        <w:rPr>
          <w:rFonts w:ascii="Times New Roman" w:cs="Times New Roman" w:eastAsia="Times New Roman" w:hAnsi="Times New Roman"/>
          <w:sz w:val="18"/>
          <w:szCs w:val="18"/>
        </w:rPr>
        <w:t xml:space="preserve">[2]	</w:t>
      </w:r>
      <w:r>
        <w:rPr>
          <w:rFonts w:ascii="Times New Roman" w:cs="Times New Roman" w:eastAsia="Times New Roman" w:hAnsi="Times New Roman"/>
          <w:sz w:val="18"/>
          <w:szCs w:val="18"/>
        </w:rPr>
        <w:t xml:space="preserve">R. K. Lomotey, S. Kumi, and R. Deters. Data trusts as a service: Providing a platform for multi-party data sharing. International Journal of Information Management Data Insights, 2(1):100075, 2022. doi:10.1016/j.jjimei.2022.100075</w:t>
      </w:r>
    </w:p>
    <w:p>
      <w:pPr>
        <w:tabs>
          <w:tab w:val="left" w:pos="560"/>
        </w:tabs>
        <w:spacing w:after="50" w:line="240"/>
        <w:ind w:left="560" w:hanging="560"/>
        <w:jc w:val="left"/>
      </w:pPr>
      <w:r>
        <w:rPr>
          <w:rFonts w:ascii="Times New Roman" w:cs="Times New Roman" w:eastAsia="Times New Roman" w:hAnsi="Times New Roman"/>
          <w:sz w:val="18"/>
          <w:szCs w:val="18"/>
        </w:rPr>
        <w:t xml:space="preserve">[3]	</w:t>
      </w:r>
      <w:r>
        <w:rPr>
          <w:rFonts w:ascii="Times New Roman" w:cs="Times New Roman" w:eastAsia="Times New Roman" w:hAnsi="Times New Roman"/>
          <w:sz w:val="18"/>
          <w:szCs w:val="18"/>
        </w:rPr>
        <w:t xml:space="preserve">T. L. Nguyen, L. Nguyen, T. Hoang, D. Bandara, Q. Wang, Q. Lu, et al. Blockchain-empowered trustworthy data sharing: Fundamentals, applications, and challenges. ACM Computing Surveys, 57(8):1–36, 2025. doi:10.1145/3718082</w:t>
      </w:r>
    </w:p>
    <w:p>
      <w:pPr>
        <w:tabs>
          <w:tab w:val="left" w:pos="560"/>
        </w:tabs>
        <w:spacing w:after="50" w:line="240"/>
        <w:ind w:left="560" w:hanging="560"/>
        <w:jc w:val="left"/>
      </w:pPr>
      <w:r>
        <w:rPr>
          <w:rFonts w:ascii="Times New Roman" w:cs="Times New Roman" w:eastAsia="Times New Roman" w:hAnsi="Times New Roman"/>
          <w:sz w:val="18"/>
          <w:szCs w:val="18"/>
        </w:rPr>
        <w:t xml:space="preserve">[4]	</w:t>
      </w:r>
      <w:r>
        <w:rPr>
          <w:rFonts w:ascii="Times New Roman" w:cs="Times New Roman" w:eastAsia="Times New Roman" w:hAnsi="Times New Roman"/>
          <w:sz w:val="18"/>
          <w:szCs w:val="18"/>
        </w:rPr>
        <w:t xml:space="preserve">E. C. Webber, D. Brick, J. P. Scibilia, P. Dehnel, Council on Clinical Information Technology, et al. Electronic communication of the health record and information with pediatric patients and their guardians. Pediatrics, 144(1):e20191359, 2019. doi:10.1542/peds.2019-1359</w:t>
      </w:r>
    </w:p>
    <w:p>
      <w:pPr>
        <w:tabs>
          <w:tab w:val="left" w:pos="560"/>
        </w:tabs>
        <w:spacing w:after="50" w:line="240"/>
        <w:ind w:left="560" w:hanging="560"/>
        <w:jc w:val="left"/>
      </w:pPr>
      <w:r>
        <w:rPr>
          <w:rFonts w:ascii="Times New Roman" w:cs="Times New Roman" w:eastAsia="Times New Roman" w:hAnsi="Times New Roman"/>
          <w:sz w:val="18"/>
          <w:szCs w:val="18"/>
        </w:rPr>
        <w:t xml:space="preserve">[5]	</w:t>
      </w:r>
      <w:r>
        <w:rPr>
          <w:rFonts w:ascii="Times New Roman" w:cs="Times New Roman" w:eastAsia="Times New Roman" w:hAnsi="Times New Roman"/>
          <w:sz w:val="18"/>
          <w:szCs w:val="18"/>
        </w:rPr>
        <w:t xml:space="preserve">C. Welzel, M. Ostermann, H. L. Smith, T. Minssen, T. Kirsten, and S. Gilbert. Enabling secure and self determined health data sharing and consent management. npj Digital Medicine, 8(1):560, 2025. doi:10.1038/s41746-025-01945-z</w:t>
      </w:r>
    </w:p>
    <w:p>
      <w:pPr>
        <w:tabs>
          <w:tab w:val="left" w:pos="560"/>
        </w:tabs>
        <w:spacing w:after="50" w:line="240"/>
        <w:ind w:left="560" w:hanging="560"/>
        <w:jc w:val="left"/>
      </w:pPr>
      <w:r>
        <w:rPr>
          <w:rFonts w:ascii="Times New Roman" w:cs="Times New Roman" w:eastAsia="Times New Roman" w:hAnsi="Times New Roman"/>
          <w:sz w:val="18"/>
          <w:szCs w:val="18"/>
        </w:rPr>
        <w:t xml:space="preserve">[6]	</w:t>
      </w:r>
      <w:r>
        <w:rPr>
          <w:rFonts w:ascii="Times New Roman" w:cs="Times New Roman" w:eastAsia="Times New Roman" w:hAnsi="Times New Roman"/>
          <w:sz w:val="18"/>
          <w:szCs w:val="18"/>
        </w:rPr>
        <w:t xml:space="preserve">M. R. Narkhede, N. I. Wankhede, and A. M. Kamble. Enhancing patient autonomy in data ownership: Privacy models and consent frameworks for healthcare. Journal of Digital Health, 4(1):1–23, 2025. doi:10.55976/jdh.4202513361-23</w:t>
      </w:r>
    </w:p>
    <w:p>
      <w:pPr>
        <w:tabs>
          <w:tab w:val="left" w:pos="560"/>
        </w:tabs>
        <w:spacing w:after="50" w:line="240"/>
        <w:ind w:left="560" w:hanging="560"/>
        <w:jc w:val="left"/>
      </w:pPr>
      <w:r>
        <w:rPr>
          <w:rFonts w:ascii="Times New Roman" w:cs="Times New Roman" w:eastAsia="Times New Roman" w:hAnsi="Times New Roman"/>
          <w:sz w:val="18"/>
          <w:szCs w:val="18"/>
        </w:rPr>
        <w:t xml:space="preserve">[7]	</w:t>
      </w:r>
      <w:r>
        <w:rPr>
          <w:rFonts w:ascii="Times New Roman" w:cs="Times New Roman" w:eastAsia="Times New Roman" w:hAnsi="Times New Roman"/>
          <w:sz w:val="18"/>
          <w:szCs w:val="18"/>
        </w:rPr>
        <w:t xml:space="preserve">R. McClelland and C. M. Harper. Information privacy in healthcare — the vital role of informed consent. European Journal of Health Law, 30(4):469–480, 2023. doi:10.1163/15718093-bja10097</w:t>
      </w:r>
    </w:p>
    <w:p>
      <w:pPr>
        <w:tabs>
          <w:tab w:val="left" w:pos="560"/>
        </w:tabs>
        <w:spacing w:after="50" w:line="240"/>
        <w:ind w:left="560" w:hanging="560"/>
        <w:jc w:val="left"/>
      </w:pPr>
      <w:r>
        <w:rPr>
          <w:rFonts w:ascii="Times New Roman" w:cs="Times New Roman" w:eastAsia="Times New Roman" w:hAnsi="Times New Roman"/>
          <w:sz w:val="18"/>
          <w:szCs w:val="18"/>
        </w:rPr>
        <w:t xml:space="preserve">[8]	</w:t>
      </w:r>
      <w:r>
        <w:rPr>
          <w:rFonts w:ascii="Times New Roman" w:cs="Times New Roman" w:eastAsia="Times New Roman" w:hAnsi="Times New Roman"/>
          <w:sz w:val="18"/>
          <w:szCs w:val="18"/>
        </w:rPr>
        <w:t xml:space="preserve">K. Kaplow, M. Downey, D. Stewart, A. B. Massie, J. D. Motter, L. Taylor, et al. Data professionals’ attitudes on data privacy, sharing, and consent in healthcare and research. Digital Health, 10:20552076241290964, 2024. doi:10.1177/20552076241290964</w:t>
      </w:r>
    </w:p>
    <w:p>
      <w:pPr>
        <w:tabs>
          <w:tab w:val="left" w:pos="560"/>
        </w:tabs>
        <w:spacing w:after="50" w:line="240"/>
        <w:ind w:left="560" w:hanging="560"/>
        <w:jc w:val="left"/>
      </w:pPr>
      <w:r>
        <w:rPr>
          <w:rFonts w:ascii="Times New Roman" w:cs="Times New Roman" w:eastAsia="Times New Roman" w:hAnsi="Times New Roman"/>
          <w:sz w:val="18"/>
          <w:szCs w:val="18"/>
        </w:rPr>
        <w:t xml:space="preserve">[9]	</w:t>
      </w:r>
      <w:r>
        <w:rPr>
          <w:rFonts w:ascii="Times New Roman" w:cs="Times New Roman" w:eastAsia="Times New Roman" w:hAnsi="Times New Roman"/>
          <w:sz w:val="18"/>
          <w:szCs w:val="18"/>
        </w:rPr>
        <w:t xml:space="preserve">A. Nazir, M. H. Rehmani, B. Butler, and D. O’Shea. Access control in healthcare IoT: A comprehensive survey. Engineering Reports, 8(4):e70766, 2026. doi:10.1002/eng2.70766</w:t>
      </w:r>
    </w:p>
    <w:p>
      <w:pPr>
        <w:tabs>
          <w:tab w:val="left" w:pos="560"/>
        </w:tabs>
        <w:spacing w:after="50" w:line="240"/>
        <w:ind w:left="560" w:hanging="560"/>
        <w:jc w:val="left"/>
      </w:pPr>
      <w:r>
        <w:rPr>
          <w:rFonts w:ascii="Times New Roman" w:cs="Times New Roman" w:eastAsia="Times New Roman" w:hAnsi="Times New Roman"/>
          <w:sz w:val="18"/>
          <w:szCs w:val="18"/>
        </w:rPr>
        <w:t xml:space="preserve">[10]	</w:t>
      </w:r>
      <w:r>
        <w:rPr>
          <w:rFonts w:ascii="Times New Roman" w:cs="Times New Roman" w:eastAsia="Times New Roman" w:hAnsi="Times New Roman"/>
          <w:sz w:val="18"/>
          <w:szCs w:val="18"/>
        </w:rPr>
        <w:t xml:space="preserve">A. M. Tawfik, A. Al-Ahwal, A. S. Tag Eldien, and H. H. Zayed. Blockchain-based access control and privacy preservation in healthcare: A comprehensive survey. Cluster Computing, 28(8):529, 2025. doi:10.1007/s10586-025-05308-x</w:t>
      </w:r>
    </w:p>
    <w:p>
      <w:pPr>
        <w:tabs>
          <w:tab w:val="left" w:pos="560"/>
        </w:tabs>
        <w:spacing w:after="50" w:line="240"/>
        <w:ind w:left="560" w:hanging="560"/>
        <w:jc w:val="left"/>
      </w:pPr>
      <w:r>
        <w:rPr>
          <w:rFonts w:ascii="Times New Roman" w:cs="Times New Roman" w:eastAsia="Times New Roman" w:hAnsi="Times New Roman"/>
          <w:sz w:val="18"/>
          <w:szCs w:val="18"/>
        </w:rPr>
        <w:t xml:space="preserve">[11]	</w:t>
      </w:r>
      <w:r>
        <w:rPr>
          <w:rFonts w:ascii="Times New Roman" w:cs="Times New Roman" w:eastAsia="Times New Roman" w:hAnsi="Times New Roman"/>
          <w:sz w:val="18"/>
          <w:szCs w:val="18"/>
        </w:rPr>
        <w:t xml:space="preserve">A. M. Ibrahim, H. R. Abdel-Aziz, H. A. H. Mohamed, D. E. F. Zaghamir, N. M. I. Wahba, G. A. Hassan, et al. Balancing confidentiality and care coordination: challenges in patient privacy. BMC Nursing, 23(1):564, 2024. doi:10.1186/s12912-024-02231-1</w:t>
      </w:r>
    </w:p>
    <w:p>
      <w:pPr>
        <w:tabs>
          <w:tab w:val="left" w:pos="560"/>
        </w:tabs>
        <w:spacing w:after="50" w:line="240"/>
        <w:ind w:left="560" w:hanging="560"/>
        <w:jc w:val="left"/>
      </w:pPr>
      <w:r>
        <w:rPr>
          <w:rFonts w:ascii="Times New Roman" w:cs="Times New Roman" w:eastAsia="Times New Roman" w:hAnsi="Times New Roman"/>
          <w:sz w:val="18"/>
          <w:szCs w:val="18"/>
        </w:rPr>
        <w:t xml:space="preserve">[12]	</w:t>
      </w:r>
      <w:r>
        <w:rPr>
          <w:rFonts w:ascii="Times New Roman" w:cs="Times New Roman" w:eastAsia="Times New Roman" w:hAnsi="Times New Roman"/>
          <w:sz w:val="18"/>
          <w:szCs w:val="18"/>
        </w:rPr>
        <w:t xml:space="preserve">L. Theodorakopoulos, A. Theodoropoulou, and C. Halkiopoulos. Enhancing decentralized decision-making with big data and blockchain technology: A comprehensive review. Applied Sciences, 14(16):7007, 2024. doi:10.3390/app14167007</w:t>
      </w:r>
    </w:p>
    <w:p>
      <w:pPr>
        <w:tabs>
          <w:tab w:val="left" w:pos="560"/>
        </w:tabs>
        <w:spacing w:after="50" w:line="240"/>
        <w:ind w:left="560" w:hanging="560"/>
        <w:jc w:val="left"/>
      </w:pPr>
      <w:r>
        <w:rPr>
          <w:rFonts w:ascii="Times New Roman" w:cs="Times New Roman" w:eastAsia="Times New Roman" w:hAnsi="Times New Roman"/>
          <w:sz w:val="18"/>
          <w:szCs w:val="18"/>
        </w:rPr>
        <w:t xml:space="preserve">[13]	</w:t>
      </w:r>
      <w:r>
        <w:rPr>
          <w:rFonts w:ascii="Times New Roman" w:cs="Times New Roman" w:eastAsia="Times New Roman" w:hAnsi="Times New Roman"/>
          <w:sz w:val="18"/>
          <w:szCs w:val="18"/>
        </w:rPr>
        <w:t xml:space="preserve">A. Al Mamun, S. Azam, and C. Gritti. Blockchain-based electronic health records management: A comprehensive review and future research direction. IEEE Access, 10:5768–5789, 2022. doi:10.1109/ACCESS.2022.3141079</w:t>
      </w:r>
    </w:p>
    <w:p>
      <w:pPr>
        <w:tabs>
          <w:tab w:val="left" w:pos="560"/>
        </w:tabs>
        <w:spacing w:after="50" w:line="240"/>
        <w:ind w:left="560" w:hanging="560"/>
        <w:jc w:val="left"/>
      </w:pPr>
      <w:r>
        <w:rPr>
          <w:rFonts w:ascii="Times New Roman" w:cs="Times New Roman" w:eastAsia="Times New Roman" w:hAnsi="Times New Roman"/>
          <w:sz w:val="18"/>
          <w:szCs w:val="18"/>
        </w:rPr>
        <w:t xml:space="preserve">[14]	</w:t>
      </w:r>
      <w:r>
        <w:rPr>
          <w:rFonts w:ascii="Times New Roman" w:cs="Times New Roman" w:eastAsia="Times New Roman" w:hAnsi="Times New Roman"/>
          <w:sz w:val="18"/>
          <w:szCs w:val="18"/>
        </w:rPr>
        <w:t xml:space="preserve">R. Hellstern, D. C. Park, V. Lemieux, and G. Salimjan. Leveraging blockchain-based archival solutions for sensitive documentation: A Xinjiang case study. Digital Society, 1(1):4, 2022. doi:10.1007/s44206-022-00007-1</w:t>
      </w:r>
    </w:p>
    <w:p>
      <w:pPr>
        <w:tabs>
          <w:tab w:val="left" w:pos="560"/>
        </w:tabs>
        <w:spacing w:after="50" w:line="240"/>
        <w:ind w:left="560" w:hanging="560"/>
        <w:jc w:val="left"/>
      </w:pPr>
      <w:r>
        <w:rPr>
          <w:rFonts w:ascii="Times New Roman" w:cs="Times New Roman" w:eastAsia="Times New Roman" w:hAnsi="Times New Roman"/>
          <w:sz w:val="18"/>
          <w:szCs w:val="18"/>
        </w:rPr>
        <w:t xml:space="preserve">[15]	</w:t>
      </w:r>
      <w:r>
        <w:rPr>
          <w:rFonts w:ascii="Times New Roman" w:cs="Times New Roman" w:eastAsia="Times New Roman" w:hAnsi="Times New Roman"/>
          <w:sz w:val="18"/>
          <w:szCs w:val="18"/>
        </w:rPr>
        <w:t xml:space="preserve">L. Li, C. Z. Liu, and S. Shrestha. Analytical entropy approach for measuring blockchain immutability and tamper-resilient trust. Entropy, 28(6):690, 2026. doi:10.3390/e28060690</w:t>
      </w:r>
    </w:p>
    <w:p>
      <w:pPr>
        <w:tabs>
          <w:tab w:val="left" w:pos="560"/>
        </w:tabs>
        <w:spacing w:after="50" w:line="240"/>
        <w:ind w:left="560" w:hanging="560"/>
        <w:jc w:val="left"/>
      </w:pPr>
      <w:r>
        <w:rPr>
          <w:rFonts w:ascii="Times New Roman" w:cs="Times New Roman" w:eastAsia="Times New Roman" w:hAnsi="Times New Roman"/>
          <w:sz w:val="18"/>
          <w:szCs w:val="18"/>
        </w:rPr>
        <w:t xml:space="preserve">[16]	</w:t>
      </w:r>
      <w:r>
        <w:rPr>
          <w:rFonts w:ascii="Times New Roman" w:cs="Times New Roman" w:eastAsia="Times New Roman" w:hAnsi="Times New Roman"/>
          <w:sz w:val="18"/>
          <w:szCs w:val="18"/>
        </w:rPr>
        <w:t xml:space="preserve">C. Mazzocca, A. Acar, A. S. Uluagac, R. Montanari, P. Bellavista, and M. Conti. A survey on decentralized identifiers and verifiable credentials. IEEE Communications Surveys &amp; Tutorials, 27(6):3641–3671, 2025. doi:10.1109/COMST.2025.3543197</w:t>
      </w:r>
    </w:p>
    <w:p>
      <w:pPr>
        <w:tabs>
          <w:tab w:val="left" w:pos="560"/>
        </w:tabs>
        <w:spacing w:after="50" w:line="240"/>
        <w:ind w:left="560" w:hanging="560"/>
        <w:jc w:val="left"/>
      </w:pPr>
      <w:r>
        <w:rPr>
          <w:rFonts w:ascii="Times New Roman" w:cs="Times New Roman" w:eastAsia="Times New Roman" w:hAnsi="Times New Roman"/>
          <w:sz w:val="18"/>
          <w:szCs w:val="18"/>
        </w:rPr>
        <w:t xml:space="preserve">[17]	</w:t>
      </w:r>
      <w:r>
        <w:rPr>
          <w:rFonts w:ascii="Times New Roman" w:cs="Times New Roman" w:eastAsia="Times New Roman" w:hAnsi="Times New Roman"/>
          <w:sz w:val="18"/>
          <w:szCs w:val="18"/>
        </w:rPr>
        <w:t xml:space="preserve">A. Flamini, G. Sciarretta, M. Scuro, A. Sharif, A. Tomasi, and S. Ranise. On cryptographic mechanisms for the selective disclosure of verifiable credentials. Journal of Information Security and Applications, 83:103789, 2024. doi:10.1016/j.jisa.2024.103789</w:t>
      </w:r>
    </w:p>
    <w:p>
      <w:pPr>
        <w:tabs>
          <w:tab w:val="left" w:pos="560"/>
        </w:tabs>
        <w:spacing w:after="50" w:line="240"/>
        <w:ind w:left="560" w:hanging="560"/>
        <w:jc w:val="left"/>
      </w:pPr>
      <w:r>
        <w:rPr>
          <w:rFonts w:ascii="Times New Roman" w:cs="Times New Roman" w:eastAsia="Times New Roman" w:hAnsi="Times New Roman"/>
          <w:sz w:val="18"/>
          <w:szCs w:val="18"/>
        </w:rPr>
        <w:t xml:space="preserve">[18]	</w:t>
      </w:r>
      <w:r>
        <w:rPr>
          <w:rFonts w:ascii="Times New Roman" w:cs="Times New Roman" w:eastAsia="Times New Roman" w:hAnsi="Times New Roman"/>
          <w:sz w:val="18"/>
          <w:szCs w:val="18"/>
        </w:rPr>
        <w:t xml:space="preserve">J. Andrew, D. P. Isravel, K. M. Sagayam, B. Bhushan, Y. Sei, and J. Eunice. Blockchain for healthcare systems: Architecture, security challenges, trends and future directions. Journal of Network and Computer Applications, 215:103633, 2023. doi:10.1016/j.jnca.2023.103633</w:t>
      </w:r>
    </w:p>
    <w:p>
      <w:pPr>
        <w:tabs>
          <w:tab w:val="left" w:pos="560"/>
        </w:tabs>
        <w:spacing w:after="50" w:line="240"/>
        <w:ind w:left="560" w:hanging="560"/>
        <w:jc w:val="left"/>
      </w:pPr>
      <w:r>
        <w:rPr>
          <w:rFonts w:ascii="Times New Roman" w:cs="Times New Roman" w:eastAsia="Times New Roman" w:hAnsi="Times New Roman"/>
          <w:sz w:val="18"/>
          <w:szCs w:val="18"/>
        </w:rPr>
        <w:t xml:space="preserve">[19]	</w:t>
      </w:r>
      <w:r>
        <w:rPr>
          <w:rFonts w:ascii="Times New Roman" w:cs="Times New Roman" w:eastAsia="Times New Roman" w:hAnsi="Times New Roman"/>
          <w:sz w:val="18"/>
          <w:szCs w:val="18"/>
        </w:rPr>
        <w:t xml:space="preserve">M. I. Khalid, M. Ahmed, M. Helfert, and J. Kim. Privacy-first paradigm for dynamic consent management systems: empowering data subjects through decentralized data controllers and privacy-preserving techniques. Electronics, 12(24):4973, 2023. doi:10.3390/electronics12244973</w:t>
      </w:r>
    </w:p>
    <w:p>
      <w:pPr>
        <w:tabs>
          <w:tab w:val="left" w:pos="560"/>
        </w:tabs>
        <w:spacing w:after="50" w:line="240"/>
        <w:ind w:left="560" w:hanging="560"/>
        <w:jc w:val="left"/>
      </w:pPr>
      <w:r>
        <w:rPr>
          <w:rFonts w:ascii="Times New Roman" w:cs="Times New Roman" w:eastAsia="Times New Roman" w:hAnsi="Times New Roman"/>
          <w:sz w:val="18"/>
          <w:szCs w:val="18"/>
        </w:rPr>
        <w:t xml:space="preserve">[20]	</w:t>
      </w:r>
      <w:r>
        <w:rPr>
          <w:rFonts w:ascii="Times New Roman" w:cs="Times New Roman" w:eastAsia="Times New Roman" w:hAnsi="Times New Roman"/>
          <w:sz w:val="18"/>
          <w:szCs w:val="18"/>
        </w:rPr>
        <w:t xml:space="preserve">V. Jesus and H. J. Pandit. Consent receipts for a usable and auditable web of personal data. IEEE Access, 10:28545–28563, 2022. doi:10.1109/ACCESS.2022.3157850</w:t>
      </w:r>
    </w:p>
    <w:p>
      <w:pPr>
        <w:tabs>
          <w:tab w:val="left" w:pos="560"/>
        </w:tabs>
        <w:spacing w:after="50" w:line="240"/>
        <w:ind w:left="560" w:hanging="560"/>
        <w:jc w:val="left"/>
      </w:pPr>
      <w:r>
        <w:rPr>
          <w:rFonts w:ascii="Times New Roman" w:cs="Times New Roman" w:eastAsia="Times New Roman" w:hAnsi="Times New Roman"/>
          <w:sz w:val="18"/>
          <w:szCs w:val="18"/>
        </w:rPr>
        <w:t xml:space="preserve">[21]	</w:t>
      </w:r>
      <w:r>
        <w:rPr>
          <w:rFonts w:ascii="Times New Roman" w:cs="Times New Roman" w:eastAsia="Times New Roman" w:hAnsi="Times New Roman"/>
          <w:sz w:val="18"/>
          <w:szCs w:val="18"/>
        </w:rPr>
        <w:t xml:space="preserve">S. Phuyal, M. Bhandari, R. Bista, and J. C. Ferreira. Enabling cross-institution health data sharing in Norway: EUDI wallets, on-chain consent, and openEHR↔FHIR translation. IEEE Access, 14:20309–20327, 2026. doi:10.1109/ACCESS.2026.3661642</w:t>
      </w:r>
    </w:p>
    <w:p>
      <w:pPr>
        <w:tabs>
          <w:tab w:val="left" w:pos="560"/>
        </w:tabs>
        <w:spacing w:after="50" w:line="240"/>
        <w:ind w:left="560" w:hanging="560"/>
        <w:jc w:val="left"/>
      </w:pPr>
      <w:r>
        <w:rPr>
          <w:rFonts w:ascii="Times New Roman" w:cs="Times New Roman" w:eastAsia="Times New Roman" w:hAnsi="Times New Roman"/>
          <w:sz w:val="18"/>
          <w:szCs w:val="18"/>
        </w:rPr>
        <w:t xml:space="preserve">[22]	</w:t>
      </w:r>
      <w:r>
        <w:rPr>
          <w:rFonts w:ascii="Times New Roman" w:cs="Times New Roman" w:eastAsia="Times New Roman" w:hAnsi="Times New Roman"/>
          <w:sz w:val="18"/>
          <w:szCs w:val="18"/>
        </w:rPr>
        <w:t xml:space="preserve">Z. Wu and D. Zhang. HealthDID: An efficient and authorizable multi-party privacy-preserving EMR sharing system based on DID. Computer Standards &amp; Interfaces, 93:103967, 2025. doi:10.1016/j.csi.2024.103967</w:t>
      </w:r>
    </w:p>
    <w:p>
      <w:pPr>
        <w:tabs>
          <w:tab w:val="left" w:pos="560"/>
        </w:tabs>
        <w:spacing w:after="50" w:line="240"/>
        <w:ind w:left="560" w:hanging="560"/>
        <w:jc w:val="left"/>
      </w:pPr>
      <w:r>
        <w:rPr>
          <w:rFonts w:ascii="Times New Roman" w:cs="Times New Roman" w:eastAsia="Times New Roman" w:hAnsi="Times New Roman"/>
          <w:sz w:val="18"/>
          <w:szCs w:val="18"/>
        </w:rPr>
        <w:t xml:space="preserve">[23]	</w:t>
      </w:r>
      <w:r>
        <w:rPr>
          <w:rFonts w:ascii="Times New Roman" w:cs="Times New Roman" w:eastAsia="Times New Roman" w:hAnsi="Times New Roman"/>
          <w:sz w:val="18"/>
          <w:szCs w:val="18"/>
        </w:rPr>
        <w:t xml:space="preserve">M. M. Madine, K. Salah, R. Jayaraman, I. Yaqoob, Y. Al-Hammadi, S. Ellahham, et al. Fully decentralized multi-party consent management for secure sharing of patient health records. IEEE Access, 8:225777–225791, 2020. doi:10.1109/ACCESS.2020.3045048</w:t>
      </w:r>
    </w:p>
    <w:p>
      <w:pPr>
        <w:tabs>
          <w:tab w:val="left" w:pos="560"/>
        </w:tabs>
        <w:spacing w:after="50" w:line="240"/>
        <w:ind w:left="560" w:hanging="560"/>
        <w:jc w:val="left"/>
      </w:pPr>
      <w:r>
        <w:rPr>
          <w:rFonts w:ascii="Times New Roman" w:cs="Times New Roman" w:eastAsia="Times New Roman" w:hAnsi="Times New Roman"/>
          <w:sz w:val="18"/>
          <w:szCs w:val="18"/>
        </w:rPr>
        <w:t xml:space="preserve">[24]	</w:t>
      </w:r>
      <w:r>
        <w:rPr>
          <w:rFonts w:ascii="Times New Roman" w:cs="Times New Roman" w:eastAsia="Times New Roman" w:hAnsi="Times New Roman"/>
          <w:sz w:val="18"/>
          <w:szCs w:val="18"/>
        </w:rPr>
        <w:t xml:space="preserve">D. Tith, J.-S. Lee, H. Suzuki, W. M. A. B. Wijesundara, N. Taira, T. Obi, et al. Patient consent management by a purpose-based consent model for electronic health record based on blockchain technology. Healthcare Informatics Research, 26(4):265–273, 2020. doi:10.4258/hir.2020.26.4.265</w:t>
      </w:r>
    </w:p>
    <w:p>
      <w:pPr>
        <w:tabs>
          <w:tab w:val="left" w:pos="560"/>
        </w:tabs>
        <w:spacing w:after="50" w:line="240"/>
        <w:ind w:left="560" w:hanging="560"/>
        <w:jc w:val="left"/>
      </w:pPr>
      <w:r>
        <w:rPr>
          <w:rFonts w:ascii="Times New Roman" w:cs="Times New Roman" w:eastAsia="Times New Roman" w:hAnsi="Times New Roman"/>
          <w:sz w:val="18"/>
          <w:szCs w:val="18"/>
        </w:rPr>
        <w:t xml:space="preserve">[25]	</w:t>
      </w:r>
      <w:r>
        <w:rPr>
          <w:rFonts w:ascii="Times New Roman" w:cs="Times New Roman" w:eastAsia="Times New Roman" w:hAnsi="Times New Roman"/>
          <w:sz w:val="18"/>
          <w:szCs w:val="18"/>
        </w:rPr>
        <w:t xml:space="preserve">A. Punia, P. Gulia, N. S. Gill, D. Kaushik, N. Alduaiji, P. K. Shukla, et al. An access control system for cloud-based healthcare systems driven by blockchain. Journal of Cloud Computing, 14(1), 2025. doi:10.1186/s13677-025-00831-z</w:t>
      </w:r>
    </w:p>
    <w:p>
      <w:pPr>
        <w:tabs>
          <w:tab w:val="left" w:pos="560"/>
        </w:tabs>
        <w:spacing w:after="50" w:line="240"/>
        <w:ind w:left="560" w:hanging="560"/>
        <w:jc w:val="left"/>
      </w:pPr>
      <w:r>
        <w:rPr>
          <w:rFonts w:ascii="Times New Roman" w:cs="Times New Roman" w:eastAsia="Times New Roman" w:hAnsi="Times New Roman"/>
          <w:sz w:val="18"/>
          <w:szCs w:val="18"/>
        </w:rPr>
        <w:t xml:space="preserve">[26]	</w:t>
      </w:r>
      <w:r>
        <w:rPr>
          <w:rFonts w:ascii="Times New Roman" w:cs="Times New Roman" w:eastAsia="Times New Roman" w:hAnsi="Times New Roman"/>
          <w:sz w:val="18"/>
          <w:szCs w:val="18"/>
        </w:rPr>
        <w:t xml:space="preserve">K.-L. Tan, C.-H. Chi, and K.-Y. Lam. Secure and privacy-preserving sharing of personal health records with multi-party pre-authorization verification. Wireless Networks, 30(4):4773–4795, 2024. doi:10.1007/s11276-022-03114-6</w:t>
      </w:r>
    </w:p>
    <w:p>
      <w:pPr>
        <w:tabs>
          <w:tab w:val="left" w:pos="560"/>
        </w:tabs>
        <w:spacing w:after="50" w:line="240"/>
        <w:ind w:left="560" w:hanging="560"/>
        <w:jc w:val="left"/>
      </w:pPr>
      <w:r>
        <w:rPr>
          <w:rFonts w:ascii="Times New Roman" w:cs="Times New Roman" w:eastAsia="Times New Roman" w:hAnsi="Times New Roman"/>
          <w:sz w:val="18"/>
          <w:szCs w:val="18"/>
        </w:rPr>
        <w:t xml:space="preserve">[27]	</w:t>
      </w:r>
      <w:r>
        <w:rPr>
          <w:rFonts w:ascii="Times New Roman" w:cs="Times New Roman" w:eastAsia="Times New Roman" w:hAnsi="Times New Roman"/>
          <w:sz w:val="18"/>
          <w:szCs w:val="18"/>
        </w:rPr>
        <w:t xml:space="preserve">K. Ekholm, A. Augustinsson, J. Sundström, C. Johansen, M. Storgärds, L. Ljöstad, et al. Implementing electronic informed consent in rare disease genomics. Scientific Reports, 15:44419, 2025. doi:10.1038/s41598-025-32740-1</w:t>
      </w:r>
    </w:p>
    <w:p>
      <w:pPr>
        <w:tabs>
          <w:tab w:val="left" w:pos="560"/>
        </w:tabs>
        <w:spacing w:after="50" w:line="240"/>
        <w:ind w:left="560" w:hanging="560"/>
        <w:jc w:val="left"/>
      </w:pPr>
      <w:r>
        <w:rPr>
          <w:rFonts w:ascii="Times New Roman" w:cs="Times New Roman" w:eastAsia="Times New Roman" w:hAnsi="Times New Roman"/>
          <w:sz w:val="18"/>
          <w:szCs w:val="18"/>
        </w:rPr>
        <w:t xml:space="preserve">[28]	</w:t>
      </w:r>
      <w:r>
        <w:rPr>
          <w:rFonts w:ascii="Times New Roman" w:cs="Times New Roman" w:eastAsia="Times New Roman" w:hAnsi="Times New Roman"/>
          <w:sz w:val="18"/>
          <w:szCs w:val="18"/>
        </w:rPr>
        <w:t xml:space="preserve">A. U. Eneh, L. A. C. Ahakonye, J. M. Lee, and D.-S. Kim. Demo: EdgeConsent: On-chain attribute-based access control for data consent management. In 2026 IEEE International Conference on Blockchain and Cryptocurrency (ICBC), 2026. doi:10.1109/ICBC67748.2026.11575534</w:t>
      </w:r>
    </w:p>
    <w:p>
      <w:pPr>
        <w:tabs>
          <w:tab w:val="left" w:pos="560"/>
        </w:tabs>
        <w:spacing w:after="50" w:line="240"/>
        <w:ind w:left="560" w:hanging="560"/>
        <w:jc w:val="left"/>
      </w:pPr>
      <w:r>
        <w:rPr>
          <w:rFonts w:ascii="Times New Roman" w:cs="Times New Roman" w:eastAsia="Times New Roman" w:hAnsi="Times New Roman"/>
          <w:sz w:val="18"/>
          <w:szCs w:val="18"/>
        </w:rPr>
        <w:t xml:space="preserve">[29]	</w:t>
      </w:r>
      <w:r>
        <w:rPr>
          <w:rFonts w:ascii="Times New Roman" w:cs="Times New Roman" w:eastAsia="Times New Roman" w:hAnsi="Times New Roman"/>
          <w:sz w:val="18"/>
          <w:szCs w:val="18"/>
        </w:rPr>
        <w:t xml:space="preserve">D. P. Panagoulias, A. I. Damian, C. Stamate, V. Toderian, P. Butusina, A. De Franceschi, et al. Blockchain-enabled trust and compliance for clinical AI: Decentralized governance without decentralized data storage. Electronics, 15(14):3046, 2026. doi:10.3390/electronics15143046</w:t>
      </w:r>
    </w:p>
    <w:p>
      <w:pPr>
        <w:tabs>
          <w:tab w:val="left" w:pos="560"/>
        </w:tabs>
        <w:spacing w:after="50" w:line="240"/>
        <w:ind w:left="560" w:hanging="560"/>
        <w:jc w:val="left"/>
      </w:pPr>
      <w:r>
        <w:rPr>
          <w:rFonts w:ascii="Times New Roman" w:cs="Times New Roman" w:eastAsia="Times New Roman" w:hAnsi="Times New Roman"/>
          <w:sz w:val="18"/>
          <w:szCs w:val="18"/>
        </w:rPr>
        <w:t xml:space="preserve">[30]	</w:t>
      </w:r>
      <w:r>
        <w:rPr>
          <w:rFonts w:ascii="Times New Roman" w:cs="Times New Roman" w:eastAsia="Times New Roman" w:hAnsi="Times New Roman"/>
          <w:sz w:val="18"/>
          <w:szCs w:val="18"/>
        </w:rPr>
        <w:t xml:space="preserve">I. Román-Martínez, J. Calvillo-Arbizu, V. J. Mayor-Gallego, G. Madinabeitia-Luque, A. J. Estepa-Alonso, and R. M. Estepa-Alonso. Blockchain-based service-oriented architecture for consent management, access control, and auditing. IEEE Access, 11:12727–12741, 2023. doi:10.1109/ACCESS.2023.3242605</w:t>
      </w:r>
    </w:p>
    <w:p>
      <w:pPr>
        <w:tabs>
          <w:tab w:val="left" w:pos="560"/>
        </w:tabs>
        <w:spacing w:after="50" w:line="240"/>
        <w:ind w:left="560" w:hanging="560"/>
        <w:jc w:val="left"/>
      </w:pPr>
      <w:r>
        <w:rPr>
          <w:rFonts w:ascii="Times New Roman" w:cs="Times New Roman" w:eastAsia="Times New Roman" w:hAnsi="Times New Roman"/>
          <w:sz w:val="18"/>
          <w:szCs w:val="18"/>
        </w:rPr>
        <w:t xml:space="preserve">[31]	</w:t>
      </w:r>
      <w:r>
        <w:rPr>
          <w:rFonts w:ascii="Times New Roman" w:cs="Times New Roman" w:eastAsia="Times New Roman" w:hAnsi="Times New Roman"/>
          <w:sz w:val="18"/>
          <w:szCs w:val="18"/>
        </w:rPr>
        <w:t xml:space="preserve">B. Khayer, S. Mirzaei, H. Alavizadeh, and A. Salehi Shahraki. Blockchain for secure IoT: A review of identity management, access control, and trust mechanisms. IoT, 6(4):65, 2025. doi:10.3390/iot6040065</w:t>
      </w:r>
    </w:p>
    <w:p>
      <w:pPr>
        <w:tabs>
          <w:tab w:val="left" w:pos="560"/>
        </w:tabs>
        <w:spacing w:after="50" w:line="240"/>
        <w:ind w:left="560" w:hanging="560"/>
        <w:jc w:val="left"/>
      </w:pPr>
      <w:r>
        <w:rPr>
          <w:rFonts w:ascii="Times New Roman" w:cs="Times New Roman" w:eastAsia="Times New Roman" w:hAnsi="Times New Roman"/>
          <w:sz w:val="18"/>
          <w:szCs w:val="18"/>
        </w:rPr>
        <w:t xml:space="preserve">[32]	</w:t>
      </w:r>
      <w:r>
        <w:rPr>
          <w:rFonts w:ascii="Times New Roman" w:cs="Times New Roman" w:eastAsia="Times New Roman" w:hAnsi="Times New Roman"/>
          <w:sz w:val="18"/>
          <w:szCs w:val="18"/>
        </w:rPr>
        <w:t xml:space="preserve">J. C. Ferreira, R. Correia, L. Rosário, and A. Vila. Blockchain integration for trust and consent management in MCP-enabled FHIR systems. In 2025 IEEE International Conference on Distributed Ledger Technologies (ICDLT), pages 1–10, 2025. doi:10.1109/ICDLT66400.2025.11466653</w:t>
      </w:r>
    </w:p>
    <w:p>
      <w:pPr>
        <w:tabs>
          <w:tab w:val="left" w:pos="560"/>
        </w:tabs>
        <w:spacing w:after="50" w:line="240"/>
        <w:ind w:left="560" w:hanging="560"/>
        <w:jc w:val="left"/>
      </w:pPr>
      <w:r>
        <w:rPr>
          <w:rFonts w:ascii="Times New Roman" w:cs="Times New Roman" w:eastAsia="Times New Roman" w:hAnsi="Times New Roman"/>
          <w:sz w:val="18"/>
          <w:szCs w:val="18"/>
        </w:rPr>
        <w:t xml:space="preserve">[33]	</w:t>
      </w:r>
      <w:r>
        <w:rPr>
          <w:rFonts w:ascii="Times New Roman" w:cs="Times New Roman" w:eastAsia="Times New Roman" w:hAnsi="Times New Roman"/>
          <w:sz w:val="18"/>
          <w:szCs w:val="18"/>
        </w:rPr>
        <w:t xml:space="preserve">J. Ménétrey, C. Göttel, A. Khurshid, M. Pasin, P. Felber, V. Schiavoni, et al. Attestation mechanisms for trusted execution environments demystified. In IFIP International Conference on Distributed Applications and Interoperable Systems (DAIS 2022), pages 95–113. Springer, 2022. doi:10.1007/978-3-031-16092-9_7</w:t>
      </w:r>
    </w:p>
    <w:p>
      <w:pPr>
        <w:tabs>
          <w:tab w:val="left" w:pos="560"/>
        </w:tabs>
        <w:spacing w:after="50" w:line="240"/>
        <w:ind w:left="560" w:hanging="560"/>
        <w:jc w:val="left"/>
      </w:pPr>
      <w:r>
        <w:rPr>
          <w:rFonts w:ascii="Times New Roman" w:cs="Times New Roman" w:eastAsia="Times New Roman" w:hAnsi="Times New Roman"/>
          <w:sz w:val="18"/>
          <w:szCs w:val="18"/>
        </w:rPr>
        <w:t xml:space="preserve">[34]	</w:t>
      </w:r>
      <w:r>
        <w:rPr>
          <w:rFonts w:ascii="Times New Roman" w:cs="Times New Roman" w:eastAsia="Times New Roman" w:hAnsi="Times New Roman"/>
          <w:sz w:val="18"/>
          <w:szCs w:val="18"/>
        </w:rPr>
        <w:t xml:space="preserve">L. Li, C. Z. Liu, K. Huang, R. Deng, M. A. Alrowaily, M. Alghamdi, et al. Trust-aware environmental state consensus for smart agriculture with TEE-enabled sensing and Byzantine-resilient blockchain coordination. Sensors, 26(14):4577, 2026. doi:10.3390/s26144577</w:t>
      </w:r>
    </w:p>
    <w:p>
      <w:pPr>
        <w:tabs>
          <w:tab w:val="left" w:pos="560"/>
        </w:tabs>
        <w:spacing w:after="50" w:line="240"/>
        <w:ind w:left="560" w:hanging="560"/>
        <w:jc w:val="left"/>
      </w:pPr>
      <w:r>
        <w:rPr>
          <w:rFonts w:ascii="Times New Roman" w:cs="Times New Roman" w:eastAsia="Times New Roman" w:hAnsi="Times New Roman"/>
          <w:sz w:val="18"/>
          <w:szCs w:val="18"/>
        </w:rPr>
        <w:t xml:space="preserve">[35]	</w:t>
      </w:r>
      <w:r>
        <w:rPr>
          <w:rFonts w:ascii="Times New Roman" w:cs="Times New Roman" w:eastAsia="Times New Roman" w:hAnsi="Times New Roman"/>
          <w:sz w:val="18"/>
          <w:szCs w:val="18"/>
        </w:rPr>
        <w:t xml:space="preserve">J. Walonoski, M. Kramer, J. Nichols, A. Quina, C. Moesel, D. Hall, et al. Synthea: An approach, method, and software mechanism for generating synthetic patients and the synthetic electronic health care record. Journal of the American Medical Informatics Association, 25(3):230–238, 2018. doi:10.1093/jamia/ocx079</w:t>
      </w:r>
    </w:p>
    <w:p>
      <w:pPr>
        <w:tabs>
          <w:tab w:val="left" w:pos="560"/>
        </w:tabs>
        <w:spacing w:after="50" w:line="240"/>
        <w:ind w:left="560" w:hanging="560"/>
        <w:jc w:val="left"/>
      </w:pPr>
      <w:r>
        <w:rPr>
          <w:rFonts w:ascii="Times New Roman" w:cs="Times New Roman" w:eastAsia="Times New Roman" w:hAnsi="Times New Roman"/>
          <w:sz w:val="18"/>
          <w:szCs w:val="18"/>
        </w:rPr>
        <w:t xml:space="preserve">[36]	</w:t>
      </w:r>
      <w:r>
        <w:rPr>
          <w:rFonts w:ascii="Times New Roman" w:cs="Times New Roman" w:eastAsia="Times New Roman" w:hAnsi="Times New Roman"/>
          <w:sz w:val="18"/>
          <w:szCs w:val="18"/>
        </w:rPr>
        <w:t xml:space="preserve">A. Kharlamov, R. Hohmann, and G. Parry. Data sharing decisions: perceptions and intentions in healthcare. Strategic Change, 32(6):223–237, 2023. doi:10.1002/jsc.2558</w:t>
      </w:r>
    </w:p>
    <w:p>
      <w:pPr>
        <w:tabs>
          <w:tab w:val="left" w:pos="560"/>
        </w:tabs>
        <w:spacing w:after="50" w:line="240"/>
        <w:ind w:left="560" w:hanging="560"/>
        <w:jc w:val="left"/>
      </w:pPr>
      <w:r>
        <w:rPr>
          <w:rFonts w:ascii="Times New Roman" w:cs="Times New Roman" w:eastAsia="Times New Roman" w:hAnsi="Times New Roman"/>
          <w:sz w:val="18"/>
          <w:szCs w:val="18"/>
        </w:rPr>
        <w:t xml:space="preserve">[37]	</w:t>
      </w:r>
      <w:r>
        <w:rPr>
          <w:rFonts w:ascii="Times New Roman" w:cs="Times New Roman" w:eastAsia="Times New Roman" w:hAnsi="Times New Roman"/>
          <w:sz w:val="18"/>
          <w:szCs w:val="18"/>
        </w:rPr>
        <w:t xml:space="preserve">P. K. Ghosh, A. Chakraborty, M. Hasan, K. Rashid, and A. H. Siddique. Blockchain application in healthcare systems: A review. Systems, 11(1):38, 2023. doi:10.3390/systems11010038</w:t>
      </w:r>
    </w:p>
    <w:p>
      <w:pPr>
        <w:tabs>
          <w:tab w:val="left" w:pos="560"/>
        </w:tabs>
        <w:spacing w:after="50" w:line="240"/>
        <w:ind w:left="560" w:hanging="560"/>
        <w:jc w:val="left"/>
      </w:pPr>
      <w:r>
        <w:rPr>
          <w:rFonts w:ascii="Times New Roman" w:cs="Times New Roman" w:eastAsia="Times New Roman" w:hAnsi="Times New Roman"/>
          <w:sz w:val="18"/>
          <w:szCs w:val="18"/>
        </w:rPr>
        <w:t xml:space="preserve">[38]	</w:t>
      </w:r>
      <w:r>
        <w:rPr>
          <w:rFonts w:ascii="Times New Roman" w:cs="Times New Roman" w:eastAsia="Times New Roman" w:hAnsi="Times New Roman"/>
          <w:sz w:val="18"/>
          <w:szCs w:val="18"/>
        </w:rPr>
        <w:t xml:space="preserve">M. S. Arbabi, C. Lal, N. R. Veeraragavan, D. Marijan, J. F. Nygård, and R. Vitenberg. A survey on blockchain for healthcare: Challenges, benefits, and future directions. IEEE Communications Surveys &amp; Tutorials, 25(1):386–424, 2023. doi:10.1109/COMST.2022.3224644</w:t>
      </w:r>
    </w:p>
    <w:p>
      <w:pPr>
        <w:tabs>
          <w:tab w:val="left" w:pos="560"/>
        </w:tabs>
        <w:spacing w:after="50" w:line="240"/>
        <w:ind w:left="560" w:hanging="560"/>
        <w:jc w:val="left"/>
      </w:pPr>
      <w:r>
        <w:rPr>
          <w:rFonts w:ascii="Times New Roman" w:cs="Times New Roman" w:eastAsia="Times New Roman" w:hAnsi="Times New Roman"/>
          <w:sz w:val="18"/>
          <w:szCs w:val="18"/>
        </w:rPr>
        <w:t xml:space="preserve">[39]	</w:t>
      </w:r>
      <w:r>
        <w:rPr>
          <w:rFonts w:ascii="Times New Roman" w:cs="Times New Roman" w:eastAsia="Times New Roman" w:hAnsi="Times New Roman"/>
          <w:sz w:val="18"/>
          <w:szCs w:val="18"/>
        </w:rPr>
        <w:t xml:space="preserve">M. N. Turan, I. A. Hashimzai, and M. Q. Qiam. A blockchain-based framework for secure and transparent environmental data sharing in smart cities: Enhancing trust, integrity, and interoperability in urban sustainability systems. Nata Palemahan: Journal of Environmental Engineering Innovations, 2(2):70–79, 2025. doi:10.38043/natapalemahan.v2i2.6996</w:t>
      </w:r>
    </w:p>
    <w:p>
      <w:pPr>
        <w:tabs>
          <w:tab w:val="left" w:pos="560"/>
        </w:tabs>
        <w:spacing w:after="50" w:line="240"/>
        <w:ind w:left="560" w:hanging="560"/>
        <w:jc w:val="left"/>
      </w:pPr>
      <w:r>
        <w:rPr>
          <w:rFonts w:ascii="Times New Roman" w:cs="Times New Roman" w:eastAsia="Times New Roman" w:hAnsi="Times New Roman"/>
          <w:sz w:val="18"/>
          <w:szCs w:val="18"/>
        </w:rPr>
        <w:t xml:space="preserve">[40]	</w:t>
      </w:r>
      <w:r>
        <w:rPr>
          <w:rFonts w:ascii="Times New Roman" w:cs="Times New Roman" w:eastAsia="Times New Roman" w:hAnsi="Times New Roman"/>
          <w:sz w:val="18"/>
          <w:szCs w:val="18"/>
        </w:rPr>
        <w:t xml:space="preserve">J. Yin, Y. Xiao, Q. Chen, Y. Z. Lim, X. Liu, Q. Pei, et al. DP-DID: A dynamic and proactive decentralized identity system. IEEE Transactions on Information Forensics and Security, 20:4999–5014, 2025. doi:10.1109/TIFS.2025.3561662</w:t>
      </w:r>
    </w:p>
    <w:p>
      <w:pPr>
        <w:tabs>
          <w:tab w:val="left" w:pos="560"/>
        </w:tabs>
        <w:spacing w:after="50" w:line="240"/>
        <w:ind w:left="560" w:hanging="560"/>
        <w:jc w:val="left"/>
      </w:pPr>
      <w:r>
        <w:rPr>
          <w:rFonts w:ascii="Times New Roman" w:cs="Times New Roman" w:eastAsia="Times New Roman" w:hAnsi="Times New Roman"/>
          <w:sz w:val="18"/>
          <w:szCs w:val="18"/>
        </w:rPr>
        <w:t xml:space="preserve">[41]	</w:t>
      </w:r>
      <w:r>
        <w:rPr>
          <w:rFonts w:ascii="Times New Roman" w:cs="Times New Roman" w:eastAsia="Times New Roman" w:hAnsi="Times New Roman"/>
          <w:sz w:val="18"/>
          <w:szCs w:val="18"/>
        </w:rPr>
        <w:t xml:space="preserve">H. Deng, J. Liang, C. Zhang, X. Liu, L. Zhu, and S. Guo. FutureDID: A fully decentralized identity system with multi-party verification. IEEE Transactions on Computers, 73(8):2051–2065, 2024. doi:10.1109/TC.2024.3398509</w:t>
      </w:r>
    </w:p>
    <w:p>
      <w:pPr>
        <w:tabs>
          <w:tab w:val="left" w:pos="560"/>
        </w:tabs>
        <w:spacing w:after="50" w:line="240"/>
        <w:ind w:left="560" w:hanging="560"/>
        <w:jc w:val="left"/>
      </w:pPr>
      <w:r>
        <w:rPr>
          <w:rFonts w:ascii="Times New Roman" w:cs="Times New Roman" w:eastAsia="Times New Roman" w:hAnsi="Times New Roman"/>
          <w:sz w:val="18"/>
          <w:szCs w:val="18"/>
        </w:rPr>
        <w:t xml:space="preserve">[42]	</w:t>
      </w:r>
      <w:r>
        <w:rPr>
          <w:rFonts w:ascii="Times New Roman" w:cs="Times New Roman" w:eastAsia="Times New Roman" w:hAnsi="Times New Roman"/>
          <w:sz w:val="18"/>
          <w:szCs w:val="18"/>
        </w:rPr>
        <w:t xml:space="preserve">C. D. Nassar Kyriakidou, A. M. Papathanasiou, and G. C. Polyzos. Decentralized identity with applications to security and privacy for the internet of things. Computer Networks and Communications, 1(2):244–271, 2023. doi:10.37256/cnc.1220233048</w:t>
      </w:r>
    </w:p>
    <w:p>
      <w:pPr>
        <w:tabs>
          <w:tab w:val="left" w:pos="560"/>
        </w:tabs>
        <w:spacing w:after="50" w:line="240"/>
        <w:ind w:left="560" w:hanging="560"/>
        <w:jc w:val="left"/>
      </w:pPr>
      <w:r>
        <w:rPr>
          <w:rFonts w:ascii="Times New Roman" w:cs="Times New Roman" w:eastAsia="Times New Roman" w:hAnsi="Times New Roman"/>
          <w:sz w:val="18"/>
          <w:szCs w:val="18"/>
        </w:rPr>
        <w:t xml:space="preserve">[43]	</w:t>
      </w:r>
      <w:r>
        <w:rPr>
          <w:rFonts w:ascii="Times New Roman" w:cs="Times New Roman" w:eastAsia="Times New Roman" w:hAnsi="Times New Roman"/>
          <w:sz w:val="18"/>
          <w:szCs w:val="18"/>
        </w:rPr>
        <w:t xml:space="preserve">R. P. Parameswarath, P. Gope, and B. Sikdar. User-empowered privacy-preserving authentication protocol for electric vehicle charging based on decentralized identity and verifiable credential. ACM Transactions on Management Information Systems, 13(4):44, 2022. doi:10.1145/3532869</w:t>
      </w:r>
    </w:p>
    <w:p>
      <w:pPr>
        <w:tabs>
          <w:tab w:val="left" w:pos="560"/>
        </w:tabs>
        <w:spacing w:after="50" w:line="240"/>
        <w:ind w:left="560" w:hanging="560"/>
        <w:jc w:val="left"/>
      </w:pPr>
      <w:r>
        <w:rPr>
          <w:rFonts w:ascii="Times New Roman" w:cs="Times New Roman" w:eastAsia="Times New Roman" w:hAnsi="Times New Roman"/>
          <w:sz w:val="18"/>
          <w:szCs w:val="18"/>
        </w:rPr>
        <w:t xml:space="preserve">[44]	</w:t>
      </w:r>
      <w:r>
        <w:rPr>
          <w:rFonts w:ascii="Times New Roman" w:cs="Times New Roman" w:eastAsia="Times New Roman" w:hAnsi="Times New Roman"/>
          <w:sz w:val="18"/>
          <w:szCs w:val="18"/>
        </w:rPr>
        <w:t xml:space="preserve">H. Yin, Y. Zhao, L. Zhang, B. Qiao, W. Chen, and H. Wang. Attribute-based searchable encryption with decentralized key management for healthcare data sharing. Journal of Systems Architecture, 148:103081, 2024. doi:10.1016/j.sysarc.2024.103081</w:t>
      </w:r>
    </w:p>
    <w:p>
      <w:pPr>
        <w:tabs>
          <w:tab w:val="left" w:pos="560"/>
        </w:tabs>
        <w:spacing w:after="50" w:line="240"/>
        <w:ind w:left="560" w:hanging="560"/>
        <w:jc w:val="left"/>
      </w:pPr>
      <w:r>
        <w:rPr>
          <w:rFonts w:ascii="Times New Roman" w:cs="Times New Roman" w:eastAsia="Times New Roman" w:hAnsi="Times New Roman"/>
          <w:sz w:val="18"/>
          <w:szCs w:val="18"/>
        </w:rPr>
        <w:t xml:space="preserve">[45]	</w:t>
      </w:r>
      <w:r>
        <w:rPr>
          <w:rFonts w:ascii="Times New Roman" w:cs="Times New Roman" w:eastAsia="Times New Roman" w:hAnsi="Times New Roman"/>
          <w:sz w:val="18"/>
          <w:szCs w:val="18"/>
        </w:rPr>
        <w:t xml:space="preserve">R. Jiang, X. Chen, Y. Yu, Y. Zhang, and W. Ding. Risk and UCON-based access control model for healthcare big data. Journal of Big Data, 10(1):104, 2023. doi:10.1186/s40537-023-00783-8</w:t>
      </w:r>
    </w:p>
    <w:p>
      <w:pPr>
        <w:tabs>
          <w:tab w:val="left" w:pos="560"/>
        </w:tabs>
        <w:spacing w:after="50" w:line="240"/>
        <w:ind w:left="560" w:hanging="560"/>
        <w:jc w:val="left"/>
      </w:pPr>
      <w:r>
        <w:rPr>
          <w:rFonts w:ascii="Times New Roman" w:cs="Times New Roman" w:eastAsia="Times New Roman" w:hAnsi="Times New Roman"/>
          <w:sz w:val="18"/>
          <w:szCs w:val="18"/>
        </w:rPr>
        <w:t xml:space="preserve">[46]	</w:t>
      </w:r>
      <w:r>
        <w:rPr>
          <w:rFonts w:ascii="Times New Roman" w:cs="Times New Roman" w:eastAsia="Times New Roman" w:hAnsi="Times New Roman"/>
          <w:sz w:val="18"/>
          <w:szCs w:val="18"/>
        </w:rPr>
        <w:t xml:space="preserve">M. J. Page, J. E. McKenzie, P. M. Bossuyt, I. Boutron, T. C. Hoffmann, C. D. Mulrow, et al. The PRISMA 2020 statement: an updated guideline for reporting systematic reviews. BMJ, 372:n71, 2021. doi:10.1136/bmj.n71</w:t>
      </w:r>
    </w:p>
    <w:p>
      <w:pPr>
        <w:tabs>
          <w:tab w:val="left" w:pos="560"/>
        </w:tabs>
        <w:spacing w:after="50" w:line="240"/>
        <w:ind w:left="560" w:hanging="560"/>
        <w:jc w:val="left"/>
      </w:pPr>
      <w:r>
        <w:rPr>
          <w:rFonts w:ascii="Times New Roman" w:cs="Times New Roman" w:eastAsia="Times New Roman" w:hAnsi="Times New Roman"/>
          <w:sz w:val="18"/>
          <w:szCs w:val="18"/>
        </w:rPr>
        <w:t xml:space="preserve">[47]	</w:t>
      </w:r>
      <w:r>
        <w:rPr>
          <w:rFonts w:ascii="Times New Roman" w:cs="Times New Roman" w:eastAsia="Times New Roman" w:hAnsi="Times New Roman"/>
          <w:sz w:val="18"/>
          <w:szCs w:val="18"/>
        </w:rPr>
        <w:t xml:space="preserve">V. Jaiman and V. Urovi. A consent model for blockchain-based health data sharing platforms. IEEE Access, 8:143734–143745, 2020. doi:10.1109/ACCESS.2020.3014565</w:t>
      </w:r>
    </w:p>
    <w:p>
      <w:pPr>
        <w:tabs>
          <w:tab w:val="left" w:pos="560"/>
        </w:tabs>
        <w:spacing w:after="50" w:line="240"/>
        <w:ind w:left="560" w:hanging="560"/>
        <w:jc w:val="left"/>
      </w:pPr>
      <w:r>
        <w:rPr>
          <w:rFonts w:ascii="Times New Roman" w:cs="Times New Roman" w:eastAsia="Times New Roman" w:hAnsi="Times New Roman"/>
          <w:sz w:val="18"/>
          <w:szCs w:val="18"/>
        </w:rPr>
        <w:t xml:space="preserve">[48]	</w:t>
      </w:r>
      <w:r>
        <w:rPr>
          <w:rFonts w:ascii="Times New Roman" w:cs="Times New Roman" w:eastAsia="Times New Roman" w:hAnsi="Times New Roman"/>
          <w:sz w:val="18"/>
          <w:szCs w:val="18"/>
        </w:rPr>
        <w:t xml:space="preserve">F. Albalwy, A. Brass, and A. Davies. A blockchain-based dynamic consent architecture to support clinical genomic data sharing (ConsentChain): Proof-of-concept study. JMIR Medical Informatics, 9(11):e27816, 2021. doi:10.2196/27816</w:t>
      </w:r>
    </w:p>
    <w:p>
      <w:pPr>
        <w:tabs>
          <w:tab w:val="left" w:pos="560"/>
        </w:tabs>
        <w:spacing w:after="50" w:line="240"/>
        <w:ind w:left="560" w:hanging="560"/>
        <w:jc w:val="left"/>
      </w:pPr>
      <w:r>
        <w:rPr>
          <w:rFonts w:ascii="Times New Roman" w:cs="Times New Roman" w:eastAsia="Times New Roman" w:hAnsi="Times New Roman"/>
          <w:sz w:val="18"/>
          <w:szCs w:val="18"/>
        </w:rPr>
        <w:t xml:space="preserve">[49]	</w:t>
      </w:r>
      <w:r>
        <w:rPr>
          <w:rFonts w:ascii="Times New Roman" w:cs="Times New Roman" w:eastAsia="Times New Roman" w:hAnsi="Times New Roman"/>
          <w:sz w:val="18"/>
          <w:szCs w:val="18"/>
        </w:rPr>
        <w:t xml:space="preserve">H. Li, D. Li, G. Lv, N. Crespi, R. Minerva, W. Shao, et al. Privacy-preserving fine-grained EMR access control for IoMT: A hybrid RBAC-smart contract scheme with attribute-based authorization. IEEE Internet of Things Journal, 13(2):2970–2987, 2026. doi:10.1109/JIOT.2025.3633504</w:t>
      </w:r>
    </w:p>
    <w:p>
      <w:pPr>
        <w:tabs>
          <w:tab w:val="left" w:pos="560"/>
        </w:tabs>
        <w:spacing w:after="50" w:line="240"/>
        <w:ind w:left="560" w:hanging="560"/>
        <w:jc w:val="left"/>
      </w:pPr>
      <w:r>
        <w:rPr>
          <w:rFonts w:ascii="Times New Roman" w:cs="Times New Roman" w:eastAsia="Times New Roman" w:hAnsi="Times New Roman"/>
          <w:sz w:val="18"/>
          <w:szCs w:val="18"/>
        </w:rPr>
        <w:t xml:space="preserve">[50]	</w:t>
      </w:r>
      <w:r>
        <w:rPr>
          <w:rFonts w:ascii="Times New Roman" w:cs="Times New Roman" w:eastAsia="Times New Roman" w:hAnsi="Times New Roman"/>
          <w:sz w:val="18"/>
          <w:szCs w:val="18"/>
        </w:rPr>
        <w:t xml:space="preserve">A. Abbasi, M. N. Humeidi, and Q. Wang. Nexa: Enabling secure, scalable, and decentralized management of electronic health records using threshold cryptography and public blockchains. IEEE Access, 14:50791–50810, 2026. doi:10.1109/ACCESS.2026.3677499</w:t>
      </w:r>
    </w:p>
    <w:p>
      <w:pPr>
        <w:tabs>
          <w:tab w:val="left" w:pos="560"/>
        </w:tabs>
        <w:spacing w:after="50" w:line="240"/>
        <w:ind w:left="560" w:hanging="560"/>
        <w:jc w:val="left"/>
      </w:pPr>
      <w:r>
        <w:rPr>
          <w:rFonts w:ascii="Times New Roman" w:cs="Times New Roman" w:eastAsia="Times New Roman" w:hAnsi="Times New Roman"/>
          <w:sz w:val="18"/>
          <w:szCs w:val="18"/>
        </w:rPr>
        <w:t xml:space="preserve">[51]	</w:t>
      </w:r>
      <w:r>
        <w:rPr>
          <w:rFonts w:ascii="Times New Roman" w:cs="Times New Roman" w:eastAsia="Times New Roman" w:hAnsi="Times New Roman"/>
          <w:sz w:val="18"/>
          <w:szCs w:val="18"/>
        </w:rPr>
        <w:t xml:space="preserve">M. Al Amin, A. Altarawneh, and I. Ray. Informed consent as patient driven policy for clinical diagnosis and treatment: A smart contract based approach. In Proceedings of the 20th International Conference on Security and Cryptography (SECRYPT 2023), pages 159–170. SciTePress, 2023. doi:10.5220/0012090600003555</w:t>
      </w:r>
    </w:p>
    <w:p>
      <w:pPr>
        <w:tabs>
          <w:tab w:val="left" w:pos="560"/>
        </w:tabs>
        <w:spacing w:after="50" w:line="240"/>
        <w:ind w:left="560" w:hanging="560"/>
        <w:jc w:val="left"/>
      </w:pPr>
      <w:r>
        <w:rPr>
          <w:rFonts w:ascii="Times New Roman" w:cs="Times New Roman" w:eastAsia="Times New Roman" w:hAnsi="Times New Roman"/>
          <w:sz w:val="18"/>
          <w:szCs w:val="18"/>
        </w:rPr>
        <w:t xml:space="preserve">[52]	</w:t>
      </w:r>
      <w:r>
        <w:rPr>
          <w:rFonts w:ascii="Times New Roman" w:cs="Times New Roman" w:eastAsia="Times New Roman" w:hAnsi="Times New Roman"/>
          <w:sz w:val="18"/>
          <w:szCs w:val="18"/>
        </w:rPr>
        <w:t xml:space="preserve">J. Hagström, M. Hägglund, M. Holmroos, P. Lähteenmäki, and I. Hörhammer. Minors’ and guardian access to and use of a national patient portal: A retrospective comparative case study of Sweden and Finland. International Journal of Medical Informatics, 187:105465, 2024. doi:10.1016/j.ijmedinf.2024.105465</w:t>
      </w:r>
    </w:p>
    <w:p>
      <w:pPr>
        <w:tabs>
          <w:tab w:val="left" w:pos="560"/>
        </w:tabs>
        <w:spacing w:after="50" w:line="240"/>
        <w:ind w:left="560" w:hanging="560"/>
        <w:jc w:val="left"/>
      </w:pPr>
      <w:r>
        <w:rPr>
          <w:rFonts w:ascii="Times New Roman" w:cs="Times New Roman" w:eastAsia="Times New Roman" w:hAnsi="Times New Roman"/>
          <w:sz w:val="18"/>
          <w:szCs w:val="18"/>
        </w:rPr>
        <w:t xml:space="preserve">[53]	</w:t>
      </w:r>
      <w:r>
        <w:rPr>
          <w:rFonts w:ascii="Times New Roman" w:cs="Times New Roman" w:eastAsia="Times New Roman" w:hAnsi="Times New Roman"/>
          <w:sz w:val="18"/>
          <w:szCs w:val="18"/>
        </w:rPr>
        <w:t xml:space="preserve">J. Zhao and Q. Su. A threshold traceable delegation authorization scheme for data sharing in healthcare. Computers &amp; Security, 139:103686, 2024. doi:10.1016/j.cose.2023.103686</w:t>
      </w:r>
    </w:p>
    <w:p>
      <w:pPr>
        <w:tabs>
          <w:tab w:val="left" w:pos="560"/>
        </w:tabs>
        <w:spacing w:after="50" w:line="240"/>
        <w:ind w:left="560" w:hanging="560"/>
        <w:jc w:val="left"/>
      </w:pPr>
      <w:r>
        <w:rPr>
          <w:rFonts w:ascii="Times New Roman" w:cs="Times New Roman" w:eastAsia="Times New Roman" w:hAnsi="Times New Roman"/>
          <w:sz w:val="18"/>
          <w:szCs w:val="18"/>
        </w:rPr>
        <w:t xml:space="preserve">[54]	</w:t>
      </w:r>
      <w:r>
        <w:rPr>
          <w:rFonts w:ascii="Times New Roman" w:cs="Times New Roman" w:eastAsia="Times New Roman" w:hAnsi="Times New Roman"/>
          <w:sz w:val="18"/>
          <w:szCs w:val="18"/>
        </w:rPr>
        <w:t xml:space="preserve">V. Maruthi and K. Singh. Enhancing security and privacy of IoMT data for unconscious patient with blockchain. IEEE Transactions on Network and Service Management, 22(6):5223–5238, 2025. doi:10.1109/TNSM.2025.3602117</w:t>
      </w:r>
    </w:p>
    <w:p>
      <w:pPr>
        <w:tabs>
          <w:tab w:val="left" w:pos="560"/>
        </w:tabs>
        <w:spacing w:after="50" w:line="240"/>
        <w:ind w:left="560" w:hanging="560"/>
        <w:jc w:val="left"/>
      </w:pPr>
      <w:r>
        <w:rPr>
          <w:rFonts w:ascii="Times New Roman" w:cs="Times New Roman" w:eastAsia="Times New Roman" w:hAnsi="Times New Roman"/>
          <w:sz w:val="18"/>
          <w:szCs w:val="18"/>
        </w:rPr>
        <w:t xml:space="preserve">[55]	</w:t>
      </w:r>
      <w:r>
        <w:rPr>
          <w:rFonts w:ascii="Times New Roman" w:cs="Times New Roman" w:eastAsia="Times New Roman" w:hAnsi="Times New Roman"/>
          <w:sz w:val="18"/>
          <w:szCs w:val="18"/>
        </w:rPr>
        <w:t xml:space="preserve">L. Mei, K. Huang, X. Li, H. Wang, and X. Zhang. Efficient dual-revocation CP-ABE for secure and fine-grained data sharing in IoMT. IEEE Internet of Things Journal, 13(14):30933–30940, 2026. doi:10.1109/JIOT.2026.3685269</w:t>
      </w:r>
    </w:p>
    <w:p>
      <w:pPr>
        <w:tabs>
          <w:tab w:val="left" w:pos="560"/>
        </w:tabs>
        <w:spacing w:after="50" w:line="240"/>
        <w:ind w:left="560" w:hanging="560"/>
        <w:jc w:val="left"/>
      </w:pPr>
      <w:r>
        <w:rPr>
          <w:rFonts w:ascii="Times New Roman" w:cs="Times New Roman" w:eastAsia="Times New Roman" w:hAnsi="Times New Roman"/>
          <w:sz w:val="18"/>
          <w:szCs w:val="18"/>
        </w:rPr>
        <w:t xml:space="preserve">[56]	</w:t>
      </w:r>
      <w:r>
        <w:rPr>
          <w:rFonts w:ascii="Times New Roman" w:cs="Times New Roman" w:eastAsia="Times New Roman" w:hAnsi="Times New Roman"/>
          <w:sz w:val="18"/>
          <w:szCs w:val="18"/>
        </w:rPr>
        <w:t xml:space="preserve">S. Phuyal, M. Bhandari, R. Bista, and J. C. Ferreira. A blockchain-based architecture for dynamic and auditable patient consent in the secondary use of health data. Blockchain in Healthcare Today, 9(1), 2026. doi:10.30953/bhty.v9.491</w:t>
      </w:r>
    </w:p>
    <w:p>
      <w:pPr>
        <w:tabs>
          <w:tab w:val="left" w:pos="560"/>
        </w:tabs>
        <w:spacing w:after="50" w:line="240"/>
        <w:ind w:left="560" w:hanging="560"/>
        <w:jc w:val="left"/>
      </w:pPr>
      <w:r>
        <w:rPr>
          <w:rFonts w:ascii="Times New Roman" w:cs="Times New Roman" w:eastAsia="Times New Roman" w:hAnsi="Times New Roman"/>
          <w:sz w:val="18"/>
          <w:szCs w:val="18"/>
        </w:rPr>
        <w:t xml:space="preserve">[57]	</w:t>
      </w:r>
      <w:r>
        <w:rPr>
          <w:rFonts w:ascii="Times New Roman" w:cs="Times New Roman" w:eastAsia="Times New Roman" w:hAnsi="Times New Roman"/>
          <w:sz w:val="18"/>
          <w:szCs w:val="18"/>
        </w:rPr>
        <w:t xml:space="preserve">S. Hema, G. B. S. Reddy, and R. Shalini. Patient centric cryptographic protection of cloud electronic health records. In 2026 6th International Conference on Expert Clouds and Applications (ICOECA), pages 293–300, 2026. doi:10.1109/ICOECA68095.2026.11485301</w:t>
      </w:r>
    </w:p>
    <w:p>
      <w:pPr>
        <w:tabs>
          <w:tab w:val="left" w:pos="560"/>
        </w:tabs>
        <w:spacing w:after="50" w:line="240"/>
        <w:ind w:left="560" w:hanging="560"/>
        <w:jc w:val="left"/>
      </w:pPr>
      <w:r>
        <w:rPr>
          <w:rFonts w:ascii="Times New Roman" w:cs="Times New Roman" w:eastAsia="Times New Roman" w:hAnsi="Times New Roman"/>
          <w:sz w:val="18"/>
          <w:szCs w:val="18"/>
        </w:rPr>
        <w:t xml:space="preserve">[58]	</w:t>
      </w:r>
      <w:r>
        <w:rPr>
          <w:rFonts w:ascii="Times New Roman" w:cs="Times New Roman" w:eastAsia="Times New Roman" w:hAnsi="Times New Roman"/>
          <w:sz w:val="18"/>
          <w:szCs w:val="18"/>
        </w:rPr>
        <w:t xml:space="preserve">S. L. Soohoo, M. S. Keller, Y. Chen, D. Hu, S.-C. Huang, T.-T. Kuo, et al. Development of the authentication and authorization processes for the iAgree portal, a platform for patient-controlled data sharing across health systems. JAMIA Open, 9(3):ooag111, 2026. doi:10.1093/jamiaopen/ooag111</w:t>
      </w:r>
    </w:p>
    <w:p>
      <w:pPr>
        <w:tabs>
          <w:tab w:val="left" w:pos="560"/>
        </w:tabs>
        <w:spacing w:after="50" w:line="240"/>
        <w:ind w:left="560" w:hanging="560"/>
        <w:jc w:val="left"/>
      </w:pPr>
      <w:r>
        <w:rPr>
          <w:rFonts w:ascii="Times New Roman" w:cs="Times New Roman" w:eastAsia="Times New Roman" w:hAnsi="Times New Roman"/>
          <w:sz w:val="18"/>
          <w:szCs w:val="18"/>
        </w:rPr>
        <w:t xml:space="preserve">[59]	</w:t>
      </w:r>
      <w:r>
        <w:rPr>
          <w:rFonts w:ascii="Times New Roman" w:cs="Times New Roman" w:eastAsia="Times New Roman" w:hAnsi="Times New Roman"/>
          <w:sz w:val="18"/>
          <w:szCs w:val="18"/>
        </w:rPr>
        <w:t xml:space="preserve">G. Tremper, T. Brenner, M. Ben Amor, T. Kussel, and M. Lablans. Mainzelliste: Ten years of pseudonymization, record linkage, and informed consent management. Patterns, 7(1):101432, 2026. doi:10.1016/j.patter.2025.101432</w:t>
      </w:r>
    </w:p>
    <w:p>
      <w:pPr>
        <w:tabs>
          <w:tab w:val="left" w:pos="560"/>
        </w:tabs>
        <w:spacing w:after="50" w:line="240"/>
        <w:ind w:left="560" w:hanging="560"/>
        <w:jc w:val="left"/>
      </w:pPr>
      <w:r>
        <w:rPr>
          <w:rFonts w:ascii="Times New Roman" w:cs="Times New Roman" w:eastAsia="Times New Roman" w:hAnsi="Times New Roman"/>
          <w:sz w:val="18"/>
          <w:szCs w:val="18"/>
        </w:rPr>
        <w:t xml:space="preserve">[60]	</w:t>
      </w:r>
      <w:r>
        <w:rPr>
          <w:rFonts w:ascii="Times New Roman" w:cs="Times New Roman" w:eastAsia="Times New Roman" w:hAnsi="Times New Roman"/>
          <w:sz w:val="18"/>
          <w:szCs w:val="18"/>
        </w:rPr>
        <w:t xml:space="preserve">C.-H. Tseng, Y.-H. Hsieh, H.-Y. Lin, and S.-M. Yuan. EMR-Chain: Decentralized electronic medical record exchange system. Technologies, 13(10):446, 2025. doi:10.3390/technologies13100446</w:t>
      </w:r>
    </w:p>
    <w:p>
      <w:pPr>
        <w:tabs>
          <w:tab w:val="left" w:pos="560"/>
        </w:tabs>
        <w:spacing w:after="50" w:line="240"/>
        <w:ind w:left="560" w:hanging="560"/>
        <w:jc w:val="left"/>
      </w:pPr>
      <w:r>
        <w:rPr>
          <w:rFonts w:ascii="Times New Roman" w:cs="Times New Roman" w:eastAsia="Times New Roman" w:hAnsi="Times New Roman"/>
          <w:sz w:val="18"/>
          <w:szCs w:val="18"/>
        </w:rPr>
        <w:t xml:space="preserve">[61]	</w:t>
      </w:r>
      <w:r>
        <w:rPr>
          <w:rFonts w:ascii="Times New Roman" w:cs="Times New Roman" w:eastAsia="Times New Roman" w:hAnsi="Times New Roman"/>
          <w:sz w:val="18"/>
          <w:szCs w:val="18"/>
        </w:rPr>
        <w:t xml:space="preserve">Y. Wu, C. Liu, L. Sebald, P. Nguyen, and Y. Yesha. Apply trust computing and privacy preserving smart contracts to manage, share, and analyze multi-site clinical trial data. In Proceedings of the International Conference on Deep Learning, Big Data and Blockchain (DBB 2022), LNNS, vol. 541, pages 3–14. Springer, 2023. doi:10.1007/978-3-031-16035-6_1</w:t>
      </w:r>
    </w:p>
    <w:p>
      <w:pPr>
        <w:tabs>
          <w:tab w:val="left" w:pos="560"/>
        </w:tabs>
        <w:spacing w:after="50" w:line="240"/>
        <w:ind w:left="560" w:hanging="560"/>
        <w:jc w:val="left"/>
      </w:pPr>
      <w:r>
        <w:rPr>
          <w:rFonts w:ascii="Times New Roman" w:cs="Times New Roman" w:eastAsia="Times New Roman" w:hAnsi="Times New Roman"/>
          <w:sz w:val="18"/>
          <w:szCs w:val="18"/>
        </w:rPr>
        <w:t xml:space="preserve">[62]	</w:t>
      </w:r>
      <w:r>
        <w:rPr>
          <w:rFonts w:ascii="Times New Roman" w:cs="Times New Roman" w:eastAsia="Times New Roman" w:hAnsi="Times New Roman"/>
          <w:sz w:val="18"/>
          <w:szCs w:val="18"/>
        </w:rPr>
        <w:t xml:space="preserve">S. Akter and T. F. Sanam. A blockchain framework for secure healthcare data management using role-based access control and smart contracts. In 2025 International Conference on Electrical, Computer and Communication Engineering (ECCE), pages 1–6, 2025. doi:10.1109/ECCE64574.2025.11013162</w:t>
      </w:r>
    </w:p>
    <w:p>
      <w:pPr>
        <w:tabs>
          <w:tab w:val="left" w:pos="560"/>
        </w:tabs>
        <w:spacing w:after="50" w:line="240"/>
        <w:ind w:left="560" w:hanging="560"/>
        <w:jc w:val="left"/>
      </w:pPr>
      <w:r>
        <w:rPr>
          <w:rFonts w:ascii="Times New Roman" w:cs="Times New Roman" w:eastAsia="Times New Roman" w:hAnsi="Times New Roman"/>
          <w:sz w:val="18"/>
          <w:szCs w:val="18"/>
        </w:rPr>
        <w:t xml:space="preserve">[63]	</w:t>
      </w:r>
      <w:r>
        <w:rPr>
          <w:rFonts w:ascii="Times New Roman" w:cs="Times New Roman" w:eastAsia="Times New Roman" w:hAnsi="Times New Roman"/>
          <w:sz w:val="18"/>
          <w:szCs w:val="18"/>
        </w:rPr>
        <w:t xml:space="preserve">M. S. Prashanth, R. Karnati, M. S. Velpuru, and H. Venkateshwara Reddy. Enhancing health record security and privacy with blockchain-based access management. In Pervasive Knowledge and Collective Intelligence on Web and Social Media (PerSOM 2023), LNICST, vol. 517, pages 182–202. Springer, 2024. doi:10.1007/978-3-031-66044-3_13</w:t>
      </w:r>
    </w:p>
    <w:p>
      <w:pPr>
        <w:tabs>
          <w:tab w:val="left" w:pos="560"/>
        </w:tabs>
        <w:spacing w:after="50" w:line="240"/>
        <w:ind w:left="560" w:hanging="560"/>
        <w:jc w:val="left"/>
      </w:pPr>
      <w:r>
        <w:rPr>
          <w:rFonts w:ascii="Times New Roman" w:cs="Times New Roman" w:eastAsia="Times New Roman" w:hAnsi="Times New Roman"/>
          <w:sz w:val="18"/>
          <w:szCs w:val="18"/>
        </w:rPr>
        <w:t xml:space="preserve">[64]	</w:t>
      </w:r>
      <w:r>
        <w:rPr>
          <w:rFonts w:ascii="Times New Roman" w:cs="Times New Roman" w:eastAsia="Times New Roman" w:hAnsi="Times New Roman"/>
          <w:sz w:val="18"/>
          <w:szCs w:val="18"/>
        </w:rPr>
        <w:t xml:space="preserve">A. Teeda and Y. V. Subba Rao. A patient-centric blockchain based electronic health records for data privacy and confidentiality. In International Conference on Smart Computing and Informatics, LNNS, vol. 1684, pages 179–192. Springer, 2026. doi:10.1007/978-3-032-08246-6_15</w:t>
      </w:r>
    </w:p>
    <w:p>
      <w:pPr>
        <w:tabs>
          <w:tab w:val="left" w:pos="560"/>
        </w:tabs>
        <w:spacing w:after="50" w:line="240"/>
        <w:ind w:left="560" w:hanging="560"/>
        <w:jc w:val="left"/>
      </w:pPr>
      <w:r>
        <w:rPr>
          <w:rFonts w:ascii="Times New Roman" w:cs="Times New Roman" w:eastAsia="Times New Roman" w:hAnsi="Times New Roman"/>
          <w:sz w:val="18"/>
          <w:szCs w:val="18"/>
        </w:rPr>
        <w:t xml:space="preserve">[65]	</w:t>
      </w:r>
      <w:r>
        <w:rPr>
          <w:rFonts w:ascii="Times New Roman" w:cs="Times New Roman" w:eastAsia="Times New Roman" w:hAnsi="Times New Roman"/>
          <w:sz w:val="18"/>
          <w:szCs w:val="18"/>
        </w:rPr>
        <w:t xml:space="preserve">L. Zhang, H. Kan, and H. Huang. Patient-centered cross-enterprise document sharing and dynamic consent framework using consortium blockchain and ciphertext-policy attribute-based encryption. In Proceedings of the 19th ACM International Conference on Computing Frontiers (CF ’22), pages 58–66, 2022. doi:10.1145/3528416.3530228</w:t>
      </w:r>
    </w:p>
    <w:p>
      <w:pPr>
        <w:tabs>
          <w:tab w:val="left" w:pos="560"/>
        </w:tabs>
        <w:spacing w:after="50" w:line="240"/>
        <w:ind w:left="560" w:hanging="560"/>
        <w:jc w:val="left"/>
      </w:pPr>
      <w:r>
        <w:rPr>
          <w:rFonts w:ascii="Times New Roman" w:cs="Times New Roman" w:eastAsia="Times New Roman" w:hAnsi="Times New Roman"/>
          <w:sz w:val="18"/>
          <w:szCs w:val="18"/>
        </w:rPr>
        <w:t xml:space="preserve">[66]	</w:t>
      </w:r>
      <w:r>
        <w:rPr>
          <w:rFonts w:ascii="Times New Roman" w:cs="Times New Roman" w:eastAsia="Times New Roman" w:hAnsi="Times New Roman"/>
          <w:sz w:val="18"/>
          <w:szCs w:val="18"/>
        </w:rPr>
        <w:t xml:space="preserve">M. Shanmugham and C. Senthilkumar. Blockchain enabled self-sovereign identity and consent framework for secure healthcare data access. In 2026 3rd International Conference on Emerging Trends in Engineering and Medical Sciences (ICETEMS), 2026. doi:10.1109/ICETEMS66917.2026.11469586</w:t>
      </w:r>
    </w:p>
    <w:p>
      <w:pPr>
        <w:tabs>
          <w:tab w:val="left" w:pos="560"/>
        </w:tabs>
        <w:spacing w:after="50" w:line="240"/>
        <w:ind w:left="560" w:hanging="560"/>
        <w:jc w:val="left"/>
      </w:pPr>
      <w:r>
        <w:rPr>
          <w:rFonts w:ascii="Times New Roman" w:cs="Times New Roman" w:eastAsia="Times New Roman" w:hAnsi="Times New Roman"/>
          <w:sz w:val="18"/>
          <w:szCs w:val="18"/>
        </w:rPr>
        <w:t xml:space="preserve">[67]	</w:t>
      </w:r>
      <w:r>
        <w:rPr>
          <w:rFonts w:ascii="Times New Roman" w:cs="Times New Roman" w:eastAsia="Times New Roman" w:hAnsi="Times New Roman"/>
          <w:sz w:val="18"/>
          <w:szCs w:val="18"/>
        </w:rPr>
        <w:t xml:space="preserve">N. M. Sawant and J. Gomes. A decentralized solution for smarter and safer healthcare systems with FabricMedChain. Iranian Journal of Science and Technology, Transactions of Electrical Engineering, 2026. doi:10.1007/s40998-025-00994-0</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2df1687083c1aa86c90931669619b25666899b.png"/><Relationship Id="rId9" Type="http://schemas.openxmlformats.org/officeDocument/2006/relationships/image" Target="media/a6d5cbc4c29a5ba7ae40e4643094327da1a45063.png"/><Relationship Id="rId10" Type="http://schemas.openxmlformats.org/officeDocument/2006/relationships/image" Target="media/7f691d763dba86ee49b25518e490fe406bd1e793.png"/><Relationship Id="rId11" Type="http://schemas.openxmlformats.org/officeDocument/2006/relationships/image" Target="media/0fc1020c5f2d577fb45977f6ee9d775a5b66ce0a.png"/><Relationship Id="rId12" Type="http://schemas.openxmlformats.org/officeDocument/2006/relationships/image" Target="media/39225f74fe21ad7e7b7c1673918fe98415414719.png"/><Relationship Id="rId13" Type="http://schemas.openxmlformats.org/officeDocument/2006/relationships/image" Target="media/9becb05c4a6101f5d421517f324e978051b8cf09.png"/><Relationship Id="rId14" Type="http://schemas.openxmlformats.org/officeDocument/2006/relationships/image" Target="media/6f692c439de61f2c2064c85f12b2c7408b6da610.png"/><Relationship Id="rId15" Type="http://schemas.openxmlformats.org/officeDocument/2006/relationships/image" Target="media/efcb745b76bd75b54bf53f1c859df350299a2c6a.png"/><Relationship Id="rId16" Type="http://schemas.openxmlformats.org/officeDocument/2006/relationships/image" Target="media/11081a2422bebced6d030d22f0ebf13798832173.png"/><Relationship Id="rId17" Type="http://schemas.openxmlformats.org/officeDocument/2006/relationships/image" Target="media/cb3ff9df210f6ca37563bb96441f27f5987b686b.png"/><Relationship Id="rId18" Type="http://schemas.openxmlformats.org/officeDocument/2006/relationships/image" Target="media/70806ca075a018d1832052673cf0a8a54f10cc25.png"/><Relationship Id="rId19" Type="http://schemas.openxmlformats.org/officeDocument/2006/relationships/image" Target="media/4eba5d9267467f413da1872413e65d2897ea5f8d.png"/><Relationship Id="rId20" Type="http://schemas.openxmlformats.org/officeDocument/2006/relationships/image" Target="media/1a88f385ea18ee24f3143e2be805b94b95340d8c.png"/><Relationship Id="rId21" Type="http://schemas.openxmlformats.org/officeDocument/2006/relationships/image" Target="media/9d7e95eb43f6e9e653dbde9cb6afb2c4db7f0f36.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a5b9b3ccbbdd73d6bbf6c105cedc858a5966b7f9.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437d3b5dafb646c4afc365beb5e51e2de16280e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8d37ec6dfd7b5ada41ed458b574790aaa33c10b0.png"/><Relationship Id="rId33" Type="http://schemas.openxmlformats.org/officeDocument/2006/relationships/image" Target="media/5d3d88fec89ad26a975f334cd92619aa2ce50806.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Report: A Trusted Authorization Framework for Multi-Party Patient Consent in Healthcare Data Sharing</dc:title>
  <dc:creator>Yasir Dhaifallah O Alyoubi</dc:creator>
  <cp:lastModifiedBy>Un-named</cp:lastModifiedBy>
  <cp:revision>1</cp:revision>
  <dcterms:created xsi:type="dcterms:W3CDTF">2026-10-04T04:43:33.440Z</dcterms:created>
  <dcterms:modified xsi:type="dcterms:W3CDTF">2026-10-04T04:43:33.440Z</dcterms:modified>
</cp:coreProperties>
</file>

<file path=docProps/custom.xml><?xml version="1.0" encoding="utf-8"?>
<Properties xmlns="http://schemas.openxmlformats.org/officeDocument/2006/custom-properties" xmlns:vt="http://schemas.openxmlformats.org/officeDocument/2006/docPropsVTypes"/>
</file>