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19</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20</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28</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29</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33</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38</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39</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45</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48</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55</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64</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67</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67</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72</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72</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76</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77</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81</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82</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84</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85</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99</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102</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102</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106</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108</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112</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116</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121</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125</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126</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127</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130</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130</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132</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133</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133</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133</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138</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2.3  Review</w:t>
      </w:r>
    </w:p>
    <w:p>
      <w:pPr>
        <w:spacing w:after="140" w:line="300"/>
        <w:jc w:val="both"/>
      </w:pPr>
      <w:r>
        <w:rPr>
          <w:rFonts w:ascii="Cambria" w:cs="Cambria" w:eastAsia="Cambria" w:hAnsi="Cambria"/>
          <w:color w:val="000000"/>
          <w:sz w:val="24"/>
          <w:szCs w:val="24"/>
        </w:rPr>
        <w:t xml:space="preserve">The thematic sections that follow (Sections 2.3.1–2.3.6), together with the comparative analysis in Section 2.3.7, address the review questions as follows. Review question 1 is addressed principally in Sections 2.3.2 and 2.3.4; review question 2 in Sections 2.3.1 and 2.3.5; review question 3 in Section 2.3.3; review question 4 in Sections 2.3.2 and 2.3.5, with its selective-disclosure dimension addressed in Section 2.3.3; and review question 5 is synthesised in Sections 2.3.7 and 2.4, where it motivates the research gap. The lifecycle and evaluation questions 6 and 7 are addressed in Sections 2.3.1 and 2.3.6 respectively.</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2.2 and the sections of the review in which they are addressed, ending in the research gap carried into Chapter 3." title="Figure 4: Correspondence between the seven review questions of Section 2.2.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2.2.2 and the sections of the review in which they are addressed, ending in the research gap carried into Chapter 3.</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[13, 10]</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dynamic-consent research [13] and consent-receipt mechanisms [10] already recognise that a patient's permission changes over time;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r>
        <w:rPr>
          <w:rFonts w:ascii="Cambria" w:cs="Cambria" w:eastAsia="Cambria" w:hAnsi="Cambria"/>
          <w:color w:val="000000"/>
          <w:sz w:val="24"/>
          <w:szCs w:val="24"/>
        </w:rPr>
        <w:t xml:space="preserve">,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spacing w:after="140" w:line="300"/>
        <w:jc w:val="both"/>
      </w:pPr>
      <w:r>
        <w:rPr>
          <w:rFonts w:ascii="Cambria" w:cs="Cambria" w:eastAsia="Cambria" w:hAnsi="Cambria"/>
          <w:color w:val="000000"/>
          <w:sz w:val="24"/>
          <w:szCs w:val="24"/>
        </w:rPr>
        <w:t xml:space="preserve">Where the reviewed systems support multiple approvers, approval is typically implemented as a workflow or signature-collection step [19, 29] rather than represented as a verifiable threshold condition bound to the consent object itself. It is this representational absence, rather than the absence of multi-party mechanisms as such, that the proposed framework addresses.</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[32, 11, 28, 25], policy evaluation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only a minority of studies accompany their designs with formal reasoning about the stated security properties [17, 18].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2.3.1 and the scarcity of formal security analysis identified in Section 2.3.6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E represents the authorisation evidence, including the record of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C00000"/>
          <w:sz w:val="24"/>
          <w:szCs w:val="24"/>
        </w:rPr>
        <w:t xml:space="preserve">V</w:t>
      </w:r>
      <w:r>
        <w:rPr>
          <w:rFonts w:ascii="Cambria" w:cs="Cambria" w:eastAsia="Cambria" w:hAnsi="Cambria"/>
          <w:color w:val="C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C00000"/>
          <w:sz w:val="22"/>
          <w:szCs w:val="22"/>
        </w:rPr>
        <w:t xml:space="preserve">V</w:t>
      </w:r>
      <w:r>
        <w:rPr>
          <w:rFonts w:ascii="Cambria Math" w:cs="Cambria Math" w:eastAsia="Cambria Math" w:hAnsi="Cambria Math"/>
          <w:i/>
          <w:iCs/>
          <w:color w:val="C00000"/>
          <w:sz w:val="22"/>
          <w:szCs w:val="22"/>
          <w:vertAlign w:val="subscript"/>
        </w:rPr>
        <w:t xml:space="preserve">S</w:t>
      </w:r>
      <w:r>
        <w:rPr>
          <w:rFonts w:ascii="Cambria Math" w:cs="Cambria Math" w:eastAsia="Cambria Math" w:hAnsi="Cambria Math"/>
          <w:i/>
          <w:iCs/>
          <w:color w:val="C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C00000"/>
          <w:sz w:val="24"/>
          <w:szCs w:val="24"/>
        </w:rPr>
        <w:t xml:space="preserve">In the implemented decision rule, V</w:t>
      </w:r>
      <w:r>
        <w:rPr>
          <w:rFonts w:ascii="Cambria" w:cs="Cambria" w:eastAsia="Cambria" w:hAnsi="Cambria"/>
          <w:color w:val="C00000"/>
          <w:sz w:val="24"/>
          <w:szCs w:val="24"/>
          <w:vertAlign w:val="subscript"/>
        </w:rPr>
        <w:t xml:space="preserve">S</w:t>
      </w:r>
      <w:r>
        <w:rPr>
          <w:rFonts w:ascii="Cambria" w:cs="Cambria" w:eastAsia="Cambria" w:hAnsi="Cambria"/>
          <w:color w:val="C00000"/>
          <w:sz w:val="24"/>
          <w:szCs w:val="24"/>
        </w:rPr>
        <w:t xml:space="preserve"> is evaluated within the collective-authorisation predicate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because only a consent in the ACTIVE state can satisfy it, while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denotes the jurisdictional predicate associated with the component L.</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C00000"/>
          <w:sz w:val="24"/>
          <w:szCs w:val="24"/>
        </w:rPr>
        <w:t xml:space="preserve">jurisdictional compliance; lifecycle validity V</w:t>
      </w:r>
      <w:r>
        <w:rPr>
          <w:rFonts w:ascii="Cambria" w:cs="Cambria" w:eastAsia="Cambria" w:hAnsi="Cambria"/>
          <w:color w:val="C00000"/>
          <w:sz w:val="24"/>
          <w:szCs w:val="24"/>
          <w:vertAlign w:val="subscript"/>
        </w:rPr>
        <w:t xml:space="preserve">S</w:t>
      </w:r>
      <w:r>
        <w:rPr>
          <w:rFonts w:ascii="Cambria" w:cs="Cambria" w:eastAsia="Cambria" w:hAnsi="Cambria"/>
          <w:color w:val="C00000"/>
          <w:sz w:val="24"/>
          <w:szCs w:val="24"/>
        </w:rPr>
        <w:t xml:space="preserve"> is evaluated within V</w:t>
      </w:r>
      <w:r>
        <w:rPr>
          <w:rFonts w:ascii="Cambria" w:cs="Cambria" w:eastAsia="Cambria" w:hAnsi="Cambria"/>
          <w:color w:val="C00000"/>
          <w:sz w:val="24"/>
          <w:szCs w:val="24"/>
          <w:vertAlign w:val="subscript"/>
        </w:rPr>
        <w:t xml:space="preserve">A</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3 and Table 4.</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C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C00000"/>
          <w:sz w:val="24"/>
          <w:szCs w:val="24"/>
          <w:vertAlign w:val="subscript"/>
        </w:rPr>
        <w:t xml:space="preserve">C</w:t>
      </w:r>
      <w:r>
        <w:rPr>
          <w:rFonts w:ascii="Cambria" w:cs="Cambria" w:eastAsia="Cambria" w:hAnsi="Cambria"/>
          <w:color w:val="C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C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C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9: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10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10: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2026-09-28T11:10:23.658Z</dcterms:created>
  <dcterms:modified xsi:type="dcterms:W3CDTF">2026-09-28T11:10:23.658Z</dcterms:modified>
</cp:coreProperties>
</file>

<file path=docProps/custom.xml><?xml version="1.0" encoding="utf-8"?>
<Properties xmlns="http://schemas.openxmlformats.org/officeDocument/2006/custom-properties" xmlns:vt="http://schemas.openxmlformats.org/officeDocument/2006/docPropsVTypes"/>
</file>