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20</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28</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38</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48</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72</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76</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77</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81</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82</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84</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85</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99</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106</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108</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112</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116</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121</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125</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126</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127</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130</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130</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132</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133</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138</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2.3  Review</w:t>
      </w:r>
    </w:p>
    <w:p>
      <w:pPr>
        <w:spacing w:after="140" w:line="300"/>
        <w:jc w:val="both"/>
      </w:pPr>
      <w:r>
        <w:rPr>
          <w:rFonts w:ascii="Cambria" w:cs="Cambria" w:eastAsia="Cambria" w:hAnsi="Cambria"/>
          <w:color w:val="000000"/>
          <w:sz w:val="24"/>
          <w:szCs w:val="24"/>
        </w:rPr>
        <w:t xml:space="preserve">The thematic sections that follow (Sections 2.3.1–2.3.6), together with the comparative analysis in Section 2.3.7, address the review questions as follows. Review question 1 is addressed principally in Sections 2.3.2 and 2.3.4; review question 2 in Sections 2.3.1 and 2.3.5; review question 3 in Section 2.3.3; review question 4 in Sections 2.3.2 and 2.3.5, with its selective-disclosure dimension addressed in Section 2.3.3;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2.2 and the sections of the review in which they are addressed, ending in the research gap carried into Chapter 3." title="Figure 4: Correspondence between the seven review questions of Section 2.2.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2.2.2 and the sections of the review in which they are addressed, ending in the research gap carried into Chapter 3.</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0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000000"/>
          <w:sz w:val="24"/>
          <w:szCs w:val="24"/>
        </w:rPr>
        <w:t xml:space="preserve">Where the reviewed systems support multiple approvers, approval is typically implemented as a workflow or signature-collection step [19, 29]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2.3.1 and the scarcity of formal security analysis identified in Section 2.3.6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authorisation evidence, including the record of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decision rule,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the collective-authorisation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because only a consent in the ACTIVE state can satisfy it, while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denotes the jurisdictional predicate associated with the component L.</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9: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10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10: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2026-09-28T11:10:06.034Z</dcterms:created>
  <dcterms:modified xsi:type="dcterms:W3CDTF">2026-09-28T11:10:06.035Z</dcterms:modified>
</cp:coreProperties>
</file>

<file path=docProps/custom.xml><?xml version="1.0" encoding="utf-8"?>
<Properties xmlns="http://schemas.openxmlformats.org/officeDocument/2006/custom-properties" xmlns:vt="http://schemas.openxmlformats.org/officeDocument/2006/docPropsVTypes"/>
</file>