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z w:val="22"/>
                <w:spacing w:val="40"/>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vanish/>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This chapter is organised as follows. Section 2.2 states the six key requirements that a trustworthy multi-party consent authorisation must satisfy. Section 2.3 describes the process adopted to search, select and assess the literature. Section 2.4 summarises the shortlisted studies in six streams, one per requirement, and states the gaps found from the requirement perspective. Section 2.5 positions the framework proposed in this thesis against the requirements, and Section 2.6 concludes the chapter.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pStyle w:val="3"/>
      </w:pPr>
      <w:r>
        <w:t>2.3.2 Step 2: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pStyle w:val="3"/>
      </w:pPr>
      <w:r>
        <w:t>2.3.3 Step 3: Quality Evaluation</w:t>
      </w:r>
    </w:p>
    <w:p w14:paraId="71E6485D" w14:textId="77777777" w:rsidR="009262C4" w:rsidRDefault="00000000">
      <w:pPr>
        <w:spacing w:after="110" w:line="264" w:lineRule="auto"/>
        <w:jc w:val="both"/>
      </w:pPr>
      <w: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w:t>
      </w:r>
      <w:r>
        <w:rPr>
          <w:color w:val="FF0000"/>
        </w:rPr>
        <w:t>of the six quality items</w:t>
      </w:r>
      <w:r>
        <w:t xml:space="preserve"> was at least 3.0. Table 2.1 shows the quality items, how each one was scored, and the rule used for inclusion. A study is core if its gap-impact verdict is contradicts, weakens, or narrows, or if its T3 coding is Yes or Partial. Of the 25 included studies, S1 to S25, 23 are core studies and 2 are supporting studies (Albalwy, Brass &amp; Davies 2021; Li et al. 2026a). Table 2.2 lists the 25 primary studies with their year, title, and category.</w:t>
      </w:r>
    </w:p>
    <w:p w14:paraId="2A730D59" w14:textId="77777777" w:rsidR="009262C4" w:rsidRDefault="00000000">
      <w:pPr>
        <w:keepNext/>
        <w:spacing w:before="160" w:after="160"/>
        <w:jc w:val="center"/>
      </w:pPr>
      <w:r>
        <w:rPr>
          <w:b/>
          <w:bCs/>
          <w:sz w:val="20"/>
          <w:szCs w:val="18"/>
        </w:rPr>
        <w:t xml:space="preserve">Table 2.1: </w:t>
      </w:r>
      <w:r>
        <w:rPr>
          <w:sz w:val="20"/>
          <w:szCs w:val="18"/>
        </w:rPr>
        <w:t>Quality assessment items and inclusion rule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00"/>
        <w:gridCol w:w="5428"/>
        <w:gridCol w:w="2400"/>
      </w:tblGrid>
      <w:tr w:rsidR="009262C4" w14:paraId="2326890E" w14:textId="77777777">
        <w:trPr>
          <w:cantSplit/>
          <w:tblHeader/>
        </w:trPr>
        <w:tc>
          <w:tcPr>
            <w:tcW w:w="1300"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Item</w:t>
            </w:r>
          </w:p>
        </w:tc>
        <w:tc>
          <w:tcPr>
            <w:tcW w:w="5428"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Question</w:t>
            </w:r>
          </w:p>
        </w:tc>
        <w:tc>
          <w:tcPr>
            <w:tcW w:w="2400" w:type="dxa"/>
            <w:tcBorders>
              <w:top w:val="nil"/>
              <w:left w:val="nil"/>
              <w:bottom w:val="single" w:sz="6" w:color="000000" w:space="0"/>
              <w:right w:val="nil"/>
              <w:insideH w:val="nil"/>
              <w:insideV w:val="nil"/>
            </w:tcBorders>
            <w:tcMar>
              <w:top w:w="40" w:type="dxa"/>
              <w:left w:w="80" w:type="dxa"/>
              <w:bottom w:w="40" w:type="dxa"/>
              <w:right w:w="80" w:type="dxa"/>
            </w:tcMar>
          </w:tcPr>
          <w:p w14:paraId="50A348A4" w14:textId="77777777" w:rsidR="009262C4" w:rsidRPr="009E0511" w:rsidRDefault="00000000" w:rsidP="009E0511">
            <w:pPr>
              <w:spacing w:after="40" w:line="240" w:lineRule="auto"/>
              <w:jc w:val="left"/>
              <w:rPr>
                <w:sz w:val="20"/>
                <w:szCs w:val="20"/>
              </w:rPr>
            </w:pPr>
            <w:r>
              <w:rPr>
                <w:rFonts w:ascii="Palatino Linotype" w:hAnsi="Palatino Linotype" w:cs="Palatino Linotype"/>
                <w:b/>
                <w:bCs/>
                <w:color w:val="000000"/>
                <w:sz w:val="19"/>
                <w:szCs w:val="20"/>
              </w:rPr>
              <w:t>Used for</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QA1</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define a consent model covering identity, authority, policy, and evidence?</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QA2</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verify participant identities and their authorisation authority?</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QA3</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support consent decisions requiring approval from multiple authorised participants?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QA4</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enforce purpose, data scope, and approval rules before allowing access?</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QA5</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manage consent validity, expiry, and revocation?</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Evidence tier only (A, B, C, Background), not inclusion</w:t>
            </w:r>
          </w:p>
        </w:tc>
      </w:tr>
      <w:tr w:rsidR="009262C4" w14:paraId="7E27882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QA6</w:t>
            </w:r>
          </w:p>
        </w:tc>
        <w:tc>
          <w:tcPr>
            <w:tcW w:w="5428"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sz w:val="19"/>
                <w:szCs w:val="20"/>
                <w:rFonts w:ascii="Palatino Linotype" w:hAnsi="Palatino Linotype" w:cs="Palatino Linotype"/>
                <w:color w:val="FF0000"/>
              </w:rPr>
              <w:t xml:space="preserve">Does the study validate security and access decisions through formal analysis or implementation testing?</w:t>
            </w:r>
          </w:p>
        </w:tc>
        <w:tc>
          <w:tcPr>
            <w:tcW w:w="2400" w:type="dxa"/>
            <w:tcBorders>
              <w:top w:val="nil"/>
              <w:left w:val="nil"/>
              <w:bottom w:val="nil"/>
              <w:right w:val="nil"/>
              <w:insideH w:val="nil"/>
              <w:insideV w:val="nil"/>
            </w:tcBorders>
            <w:tcMar>
              <w:top w:w="40" w:type="dxa"/>
              <w:left w:w="80" w:type="dxa"/>
              <w:bottom w:w="40" w:type="dxa"/>
              <w:right w:w="80" w:type="dxa"/>
            </w:tcMar>
          </w:tcPr>
          <w:p w14:paraId="35AB0D3C" w14:textId="77777777" w:rsidR="009262C4" w:rsidRPr="009E0511" w:rsidRDefault="00000000" w:rsidP="009E0511">
            <w:pPr>
              <w:spacing w:after="40" w:line="240" w:lineRule="auto"/>
              <w:jc w:val="left"/>
              <w:rPr>
                <w:sz w:val="20"/>
                <w:szCs w:val="20"/>
              </w:rPr>
            </w:pPr>
            <w:r>
              <w:rPr>
                <w:sz w:val="19"/>
                <w:szCs w:val="20"/>
                <w:rFonts w:ascii="Palatino Linotype" w:hAnsi="Palatino Linotype" w:cs="Palatino Linotype"/>
                <w:color w:val="FF0000"/>
              </w:rPr>
              <w:t xml:space="preserve">Evidence tier only (A, B, C, Background), not inclusion</w:t>
            </w:r>
          </w:p>
        </w:tc>
      </w:tr>
      <w:tr w:rsidR="009262C4" w14:paraId="1157058A"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4D4C30B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Scoring</w:t>
            </w:r>
          </w:p>
        </w:tc>
        <w:tc>
          <w:tcPr>
            <w:tcW w:w="5428" w:type="dxa"/>
            <w:tcBorders>
              <w:top w:val="nil"/>
              <w:left w:val="nil"/>
              <w:bottom w:val="nil"/>
              <w:right w:val="nil"/>
              <w:insideH w:val="nil"/>
              <w:insideV w:val="nil"/>
            </w:tcBorders>
            <w:tcMar>
              <w:top w:w="40" w:type="dxa"/>
              <w:left w:w="80" w:type="dxa"/>
              <w:bottom w:w="40" w:type="dxa"/>
              <w:right w:w="80" w:type="dxa"/>
            </w:tcMar>
          </w:tcPr>
          <w:p w14:paraId="7EF5BBB6"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Yes = 1, Partial = 0.5, No = 0.</w:t>
            </w:r>
          </w:p>
        </w:tc>
        <w:tc>
          <w:tcPr>
            <w:tcW w:w="2400" w:type="dxa"/>
            <w:tcBorders>
              <w:top w:val="nil"/>
              <w:left w:val="nil"/>
              <w:bottom w:val="nil"/>
              <w:right w:val="nil"/>
              <w:insideH w:val="nil"/>
              <w:insideV w:val="nil"/>
            </w:tcBorders>
            <w:tcMar>
              <w:top w:w="40" w:type="dxa"/>
              <w:left w:w="80" w:type="dxa"/>
              <w:bottom w:w="40" w:type="dxa"/>
              <w:right w:w="80" w:type="dxa"/>
            </w:tcMar>
          </w:tcPr>
          <w:p w14:paraId="342F3027"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w:t>
            </w:r>
          </w:p>
        </w:tc>
      </w:tr>
      <w:tr w:rsidR="009262C4" w14:paraId="71A6301C" w14:textId="77777777">
        <w:trPr>
          <w:cantSplit/>
        </w:trPr>
        <w:tc>
          <w:tcPr>
            <w:tcW w:w="1300" w:type="dxa"/>
            <w:tcBorders>
              <w:top w:val="nil"/>
              <w:left w:val="nil"/>
              <w:bottom w:val="nil"/>
              <w:right w:val="nil"/>
              <w:insideH w:val="nil"/>
              <w:insideV w:val="nil"/>
            </w:tcBorders>
            <w:tcMar>
              <w:top w:w="40" w:type="dxa"/>
              <w:left w:w="80" w:type="dxa"/>
              <w:bottom w:w="40" w:type="dxa"/>
              <w:right w:w="80" w:type="dxa"/>
            </w:tcMar>
          </w:tcPr>
          <w:p w14:paraId="527C298B"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Rule</w:t>
            </w:r>
          </w:p>
        </w:tc>
        <w:tc>
          <w:tcPr>
            <w:tcW w:w="5428" w:type="dxa"/>
            <w:tcBorders>
              <w:top w:val="nil"/>
              <w:left w:val="nil"/>
              <w:bottom w:val="nil"/>
              <w:right w:val="nil"/>
              <w:insideH w:val="nil"/>
              <w:insideV w:val="nil"/>
            </w:tcBorders>
            <w:tcMar>
              <w:top w:w="40" w:type="dxa"/>
              <w:left w:w="80" w:type="dxa"/>
              <w:bottom w:w="40" w:type="dxa"/>
              <w:right w:w="80" w:type="dxa"/>
            </w:tcMar>
          </w:tcPr>
          <w:p w14:paraId="00528BFF" w14:textId="77777777" w:rsidR="009262C4" w:rsidRPr="009E0511" w:rsidRDefault="00000000">
            <w:pPr>
              <w:spacing w:after="40" w:line="240" w:lineRule="auto"/>
              <w:jc w:val="left"/>
              <w:rPr>
                <w:sz w:val="20"/>
                <w:szCs w:val="20"/>
              </w:rPr>
            </w:pPr>
            <w:r>
              <w:rPr>
                <w:rFonts w:ascii="Palatino Linotype" w:hAnsi="Palatino Linotype" w:cs="Palatino Linotype"/>
                <w:color w:val="000000"/>
                <w:sz w:val="19"/>
                <w:szCs w:val="20"/>
              </w:rPr>
              <w:t>A study is included when QA1 + QA2 + QA3 + QA4 ≥ 3.0.</w:t>
            </w:r>
          </w:p>
        </w:tc>
        <w:tc>
          <w:tcPr>
            <w:tcW w:w="2400" w:type="dxa"/>
            <w:tcBorders>
              <w:top w:val="nil"/>
              <w:left w:val="nil"/>
              <w:bottom w:val="nil"/>
              <w:right w:val="nil"/>
              <w:insideH w:val="nil"/>
              <w:insideV w:val="nil"/>
            </w:tcBorders>
            <w:tcMar>
              <w:top w:w="40" w:type="dxa"/>
              <w:left w:w="80" w:type="dxa"/>
              <w:bottom w:w="40" w:type="dxa"/>
              <w:right w:w="80" w:type="dxa"/>
            </w:tcMar>
          </w:tcPr>
          <w:p w14:paraId="79D16896"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000000"/>
                <w:sz w:val="19"/>
                <w:szCs w:val="20"/>
              </w:rPr>
              <w:t>—</w:t>
            </w:r>
          </w:p>
        </w:tc>
      </w:tr>
    </w:tbl>
    <w:p>
      <w:pPr>
        <w:pStyle w:val="3"/>
      </w:pPr>
      <w:r>
        <w:t>2.3.4 Step 4: Shortlisted Papers for SLR and Categorising Them into Broad Areas</w:t>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14:paraId="2C249D89" w14:textId="77777777" w:rsidR="009262C4" w:rsidRDefault="00000000">
      <w:pPr>
        <w:keepNext/>
        <w:spacing w:before="160" w:after="160"/>
        <w:jc w:val="center"/>
      </w:pPr>
      <w:r>
        <w:rPr>
          <w:b/>
          <w:bCs/>
          <w:sz w:val="20"/>
          <w:szCs w:val="18"/>
        </w:rPr>
        <w:t xml:space="preserve">Table 2.2: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700"/>
        <w:gridCol w:w="1750"/>
        <w:gridCol w:w="600"/>
        <w:gridCol w:w="3978"/>
        <w:gridCol w:w="2100"/>
      </w:tblGrid>
      <w:tr w:rsidR="009262C4" w14:paraId="4A276FDF" w14:textId="77777777">
        <w:trPr>
          <w:cantSplit/>
          <w:tblHeader/>
        </w:trPr>
        <w:tc>
          <w:tcPr>
            <w:tcW w:w="700"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750"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spacing w:after="40" w:line="240" w:lineRule="auto"/>
              <w:jc w:val="left"/>
            </w:pPr>
            <w:r>
              <w:rPr>
                <w:rFonts w:ascii="Palatino Linotype" w:hAnsi="Palatino Linotype" w:cs="Palatino Linotype"/>
                <w:b/>
                <w:bCs/>
                <w:color w:val="000000"/>
                <w:sz w:val="19"/>
                <w:szCs w:val="17"/>
              </w:rPr>
              <w:t>Author(s)</w:t>
            </w:r>
          </w:p>
        </w:tc>
        <w:tc>
          <w:tcPr>
            <w:tcW w:w="600" w:type="dxa"/>
            <w:tcBorders>
              <w:top w:val="nil"/>
              <w:left w:val="nil"/>
              <w:bottom w:val="single" w:sz="6" w:color="000000" w:space="0"/>
              <w:right w:val="nil"/>
              <w:insideH w:val="nil"/>
              <w:insideV w:val="nil"/>
            </w:tcBorders>
            <w:tcMar>
              <w:top w:w="40" w:type="dxa"/>
              <w:left w:w="80" w:type="dxa"/>
              <w:bottom w:w="40" w:type="dxa"/>
              <w:right w:w="80" w:type="dxa"/>
            </w:tcMar>
          </w:tcPr>
          <w:p w14:paraId="32042FCC" w14:textId="77777777" w:rsidR="009262C4" w:rsidRDefault="00000000">
            <w:pPr>
              <w:spacing w:after="40" w:line="240" w:lineRule="auto"/>
              <w:jc w:val="left"/>
            </w:pPr>
            <w:r>
              <w:rPr>
                <w:rFonts w:ascii="Palatino Linotype" w:hAnsi="Palatino Linotype" w:cs="Palatino Linotype"/>
                <w:b/>
                <w:bCs/>
                <w:color w:val="000000"/>
                <w:sz w:val="19"/>
                <w:szCs w:val="17"/>
              </w:rPr>
              <w:t>Year</w:t>
            </w:r>
          </w:p>
        </w:tc>
        <w:tc>
          <w:tcPr>
            <w:tcW w:w="3978"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spacing w:after="40" w:line="240" w:lineRule="auto"/>
              <w:jc w:val="left"/>
            </w:pPr>
            <w:r>
              <w:rPr>
                <w:rFonts w:ascii="Palatino Linotype" w:hAnsi="Palatino Linotype" w:cs="Palatino Linotype"/>
                <w:b/>
                <w:bCs/>
                <w:color w:val="000000"/>
                <w:sz w:val="19"/>
                <w:szCs w:val="17"/>
              </w:rPr>
              <w:t>Title</w:t>
            </w:r>
          </w:p>
        </w:tc>
        <w:tc>
          <w:tcPr>
            <w:tcW w:w="2100" w:type="dxa"/>
            <w:tcBorders>
              <w:top w:val="nil"/>
              <w:left w:val="nil"/>
              <w:bottom w:val="single" w:sz="6" w:color="000000" w:space="0"/>
              <w:right w:val="nil"/>
              <w:insideH w:val="nil"/>
              <w:insideV w:val="nil"/>
            </w:tcBorders>
            <w:tcMar>
              <w:top w:w="40" w:type="dxa"/>
              <w:left w:w="80" w:type="dxa"/>
              <w:bottom w:w="40" w:type="dxa"/>
              <w:right w:w="80" w:type="dxa"/>
            </w:tcMar>
          </w:tcPr>
          <w:p w14:paraId="55376B97" w14:textId="77777777" w:rsidR="009262C4" w:rsidRDefault="00000000">
            <w:pPr>
              <w:spacing w:after="40" w:line="240" w:lineRule="auto"/>
              <w:jc w:val="left"/>
            </w:pPr>
            <w:r>
              <w:rPr>
                <w:rFonts w:ascii="Palatino Linotype" w:hAnsi="Palatino Linotype" w:cs="Palatino Linotype"/>
                <w:b/>
                <w:bCs/>
                <w:color w:val="000000"/>
                <w:sz w:val="19"/>
                <w:szCs w:val="17"/>
              </w:rPr>
              <w:t>Category</w:t>
            </w:r>
          </w:p>
        </w:tc>
      </w:tr>
      <w:tr w:rsidR="009262C4" w14:paraId="277610A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1750"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CF7C819"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c>
          <w:tcPr>
            <w:tcW w:w="2100" w:type="dxa"/>
            <w:tcBorders>
              <w:top w:val="nil"/>
              <w:left w:val="nil"/>
              <w:bottom w:val="nil"/>
              <w:right w:val="nil"/>
              <w:insideH w:val="nil"/>
              <w:insideV w:val="nil"/>
            </w:tcBorders>
            <w:tcMar>
              <w:top w:w="40" w:type="dxa"/>
              <w:left w:w="80" w:type="dxa"/>
              <w:bottom w:w="40" w:type="dxa"/>
              <w:right w:w="80" w:type="dxa"/>
            </w:tcMar>
          </w:tcPr>
          <w:p w14:paraId="48E22A1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48DB82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1750"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600" w:type="dxa"/>
            <w:tcBorders>
              <w:top w:val="nil"/>
              <w:left w:val="nil"/>
              <w:bottom w:val="nil"/>
              <w:right w:val="nil"/>
              <w:insideH w:val="nil"/>
              <w:insideV w:val="nil"/>
            </w:tcBorders>
            <w:tcMar>
              <w:top w:w="40" w:type="dxa"/>
              <w:left w:w="80" w:type="dxa"/>
              <w:bottom w:w="40" w:type="dxa"/>
              <w:right w:w="80" w:type="dxa"/>
            </w:tcMar>
          </w:tcPr>
          <w:p w14:paraId="6BC383BE" w14:textId="77777777" w:rsidR="009262C4" w:rsidRDefault="00000000">
            <w:pPr>
              <w:spacing w:after="40" w:line="240" w:lineRule="auto"/>
              <w:jc w:val="left"/>
            </w:pPr>
            <w:r>
              <w:rPr>
                <w:rFonts w:ascii="Palatino Linotype" w:hAnsi="Palatino Linotype" w:cs="Palatino Linotype"/>
                <w:color w:val="000000"/>
                <w:sz w:val="19"/>
                <w:szCs w:val="17"/>
              </w:rPr>
              <w:t>2021</w:t>
            </w:r>
          </w:p>
        </w:tc>
        <w:tc>
          <w:tcPr>
            <w:tcW w:w="3978"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c>
          <w:tcPr>
            <w:tcW w:w="2100" w:type="dxa"/>
            <w:tcBorders>
              <w:top w:val="nil"/>
              <w:left w:val="nil"/>
              <w:bottom w:val="nil"/>
              <w:right w:val="nil"/>
              <w:insideH w:val="nil"/>
              <w:insideV w:val="nil"/>
            </w:tcBorders>
            <w:tcMar>
              <w:top w:w="40" w:type="dxa"/>
              <w:left w:w="80" w:type="dxa"/>
              <w:bottom w:w="40" w:type="dxa"/>
              <w:right w:w="80" w:type="dxa"/>
            </w:tcMar>
          </w:tcPr>
          <w:p w14:paraId="4D9B295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72B59D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1750"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03D139D5"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c>
          <w:tcPr>
            <w:tcW w:w="2100" w:type="dxa"/>
            <w:tcBorders>
              <w:top w:val="nil"/>
              <w:left w:val="nil"/>
              <w:bottom w:val="nil"/>
              <w:right w:val="nil"/>
              <w:insideH w:val="nil"/>
              <w:insideV w:val="nil"/>
            </w:tcBorders>
            <w:tcMar>
              <w:top w:w="40" w:type="dxa"/>
              <w:left w:w="80" w:type="dxa"/>
              <w:bottom w:w="40" w:type="dxa"/>
              <w:right w:w="80" w:type="dxa"/>
            </w:tcMar>
          </w:tcPr>
          <w:p w14:paraId="149F87D9"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692DB97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1750"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1572912E"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c>
          <w:tcPr>
            <w:tcW w:w="2100" w:type="dxa"/>
            <w:tcBorders>
              <w:top w:val="nil"/>
              <w:left w:val="nil"/>
              <w:bottom w:val="nil"/>
              <w:right w:val="nil"/>
              <w:insideH w:val="nil"/>
              <w:insideV w:val="nil"/>
            </w:tcBorders>
            <w:tcMar>
              <w:top w:w="40" w:type="dxa"/>
              <w:left w:w="80" w:type="dxa"/>
              <w:bottom w:w="40" w:type="dxa"/>
              <w:right w:w="80" w:type="dxa"/>
            </w:tcMar>
          </w:tcPr>
          <w:p w14:paraId="74C5F3FA"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59A8333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1750"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1AD65922"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4F390601"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A3C15B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1750"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5C63C033"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c>
          <w:tcPr>
            <w:tcW w:w="2100" w:type="dxa"/>
            <w:tcBorders>
              <w:top w:val="nil"/>
              <w:left w:val="nil"/>
              <w:bottom w:val="nil"/>
              <w:right w:val="nil"/>
              <w:insideH w:val="nil"/>
              <w:insideV w:val="nil"/>
            </w:tcBorders>
            <w:tcMar>
              <w:top w:w="40" w:type="dxa"/>
              <w:left w:w="80" w:type="dxa"/>
              <w:bottom w:w="40" w:type="dxa"/>
              <w:right w:w="80" w:type="dxa"/>
            </w:tcMar>
          </w:tcPr>
          <w:p w14:paraId="6E186DE0"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6D0D08A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1750"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600" w:type="dxa"/>
            <w:tcBorders>
              <w:top w:val="nil"/>
              <w:left w:val="nil"/>
              <w:bottom w:val="nil"/>
              <w:right w:val="nil"/>
              <w:insideH w:val="nil"/>
              <w:insideV w:val="nil"/>
            </w:tcBorders>
            <w:tcMar>
              <w:top w:w="40" w:type="dxa"/>
              <w:left w:w="80" w:type="dxa"/>
              <w:bottom w:w="40" w:type="dxa"/>
              <w:right w:w="80" w:type="dxa"/>
            </w:tcMar>
          </w:tcPr>
          <w:p w14:paraId="5C010203"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c>
          <w:tcPr>
            <w:tcW w:w="2100" w:type="dxa"/>
            <w:tcBorders>
              <w:top w:val="nil"/>
              <w:left w:val="nil"/>
              <w:bottom w:val="nil"/>
              <w:right w:val="nil"/>
              <w:insideH w:val="nil"/>
              <w:insideV w:val="nil"/>
            </w:tcBorders>
            <w:tcMar>
              <w:top w:w="40" w:type="dxa"/>
              <w:left w:w="80" w:type="dxa"/>
              <w:bottom w:w="40" w:type="dxa"/>
              <w:right w:w="80" w:type="dxa"/>
            </w:tcMar>
          </w:tcPr>
          <w:p w14:paraId="62803F66"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437C48B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1750"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600" w:type="dxa"/>
            <w:tcBorders>
              <w:top w:val="nil"/>
              <w:left w:val="nil"/>
              <w:bottom w:val="nil"/>
              <w:right w:val="nil"/>
              <w:insideH w:val="nil"/>
              <w:insideV w:val="nil"/>
            </w:tcBorders>
            <w:tcMar>
              <w:top w:w="40" w:type="dxa"/>
              <w:left w:w="80" w:type="dxa"/>
              <w:bottom w:w="40" w:type="dxa"/>
              <w:right w:w="80" w:type="dxa"/>
            </w:tcMar>
          </w:tcPr>
          <w:p w14:paraId="35D2B872"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c>
          <w:tcPr>
            <w:tcW w:w="2100" w:type="dxa"/>
            <w:tcBorders>
              <w:top w:val="nil"/>
              <w:left w:val="nil"/>
              <w:bottom w:val="nil"/>
              <w:right w:val="nil"/>
              <w:insideH w:val="nil"/>
              <w:insideV w:val="nil"/>
            </w:tcBorders>
            <w:tcMar>
              <w:top w:w="40" w:type="dxa"/>
              <w:left w:w="80" w:type="dxa"/>
              <w:bottom w:w="40" w:type="dxa"/>
              <w:right w:w="80" w:type="dxa"/>
            </w:tcMar>
          </w:tcPr>
          <w:p w14:paraId="037891C1"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5F6D2AF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1750"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4C656801"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c>
          <w:tcPr>
            <w:tcW w:w="2100" w:type="dxa"/>
            <w:tcBorders>
              <w:top w:val="nil"/>
              <w:left w:val="nil"/>
              <w:bottom w:val="nil"/>
              <w:right w:val="nil"/>
              <w:insideH w:val="nil"/>
              <w:insideV w:val="nil"/>
            </w:tcBorders>
            <w:tcMar>
              <w:top w:w="40" w:type="dxa"/>
              <w:left w:w="80" w:type="dxa"/>
              <w:bottom w:w="40" w:type="dxa"/>
              <w:right w:w="80" w:type="dxa"/>
            </w:tcMar>
          </w:tcPr>
          <w:p w14:paraId="508A29A9"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11829EE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1750"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0160D9C4"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319A8F92"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088BB455"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1750"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600" w:type="dxa"/>
            <w:tcBorders>
              <w:top w:val="nil"/>
              <w:left w:val="nil"/>
              <w:bottom w:val="nil"/>
              <w:right w:val="nil"/>
              <w:insideH w:val="nil"/>
              <w:insideV w:val="nil"/>
            </w:tcBorders>
            <w:tcMar>
              <w:top w:w="40" w:type="dxa"/>
              <w:left w:w="80" w:type="dxa"/>
              <w:bottom w:w="40" w:type="dxa"/>
              <w:right w:w="80" w:type="dxa"/>
            </w:tcMar>
          </w:tcPr>
          <w:p w14:paraId="0E66C072"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4B11E504"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7C8EF4D3"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1750"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8DE148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c>
          <w:tcPr>
            <w:tcW w:w="2100" w:type="dxa"/>
            <w:tcBorders>
              <w:top w:val="nil"/>
              <w:left w:val="nil"/>
              <w:bottom w:val="nil"/>
              <w:right w:val="nil"/>
              <w:insideH w:val="nil"/>
              <w:insideV w:val="nil"/>
            </w:tcBorders>
            <w:tcMar>
              <w:top w:w="40" w:type="dxa"/>
              <w:left w:w="80" w:type="dxa"/>
              <w:bottom w:w="40" w:type="dxa"/>
              <w:right w:w="80" w:type="dxa"/>
            </w:tcMar>
          </w:tcPr>
          <w:p w14:paraId="7D067A4E"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r w:rsidR="009262C4" w14:paraId="38E4B69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1750"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327A31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c>
          <w:tcPr>
            <w:tcW w:w="2100" w:type="dxa"/>
            <w:tcBorders>
              <w:top w:val="nil"/>
              <w:left w:val="nil"/>
              <w:bottom w:val="nil"/>
              <w:right w:val="nil"/>
              <w:insideH w:val="nil"/>
              <w:insideV w:val="nil"/>
            </w:tcBorders>
            <w:tcMar>
              <w:top w:w="40" w:type="dxa"/>
              <w:left w:w="80" w:type="dxa"/>
              <w:bottom w:w="40" w:type="dxa"/>
              <w:right w:w="80" w:type="dxa"/>
            </w:tcMar>
          </w:tcPr>
          <w:p w14:paraId="39A2E2D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1B38100"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1750"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600" w:type="dxa"/>
            <w:tcBorders>
              <w:top w:val="nil"/>
              <w:left w:val="nil"/>
              <w:bottom w:val="nil"/>
              <w:right w:val="nil"/>
              <w:insideH w:val="nil"/>
              <w:insideV w:val="nil"/>
            </w:tcBorders>
            <w:tcMar>
              <w:top w:w="40" w:type="dxa"/>
              <w:left w:w="80" w:type="dxa"/>
              <w:bottom w:w="40" w:type="dxa"/>
              <w:right w:w="80" w:type="dxa"/>
            </w:tcMar>
          </w:tcPr>
          <w:p w14:paraId="609F89CB"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c>
          <w:tcPr>
            <w:tcW w:w="2100" w:type="dxa"/>
            <w:tcBorders>
              <w:top w:val="nil"/>
              <w:left w:val="nil"/>
              <w:bottom w:val="nil"/>
              <w:right w:val="nil"/>
              <w:insideH w:val="nil"/>
              <w:insideV w:val="nil"/>
            </w:tcBorders>
            <w:tcMar>
              <w:top w:w="40" w:type="dxa"/>
              <w:left w:w="80" w:type="dxa"/>
              <w:bottom w:w="40" w:type="dxa"/>
              <w:right w:w="80" w:type="dxa"/>
            </w:tcMar>
          </w:tcPr>
          <w:p w14:paraId="44BA148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435B8B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1750"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600" w:type="dxa"/>
            <w:tcBorders>
              <w:top w:val="nil"/>
              <w:left w:val="nil"/>
              <w:bottom w:val="nil"/>
              <w:right w:val="nil"/>
              <w:insideH w:val="nil"/>
              <w:insideV w:val="nil"/>
            </w:tcBorders>
            <w:tcMar>
              <w:top w:w="40" w:type="dxa"/>
              <w:left w:w="80" w:type="dxa"/>
              <w:bottom w:w="40" w:type="dxa"/>
              <w:right w:w="80" w:type="dxa"/>
            </w:tcMar>
          </w:tcPr>
          <w:p w14:paraId="6875A958"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c>
          <w:tcPr>
            <w:tcW w:w="2100" w:type="dxa"/>
            <w:tcBorders>
              <w:top w:val="nil"/>
              <w:left w:val="nil"/>
              <w:bottom w:val="nil"/>
              <w:right w:val="nil"/>
              <w:insideH w:val="nil"/>
              <w:insideV w:val="nil"/>
            </w:tcBorders>
            <w:tcMar>
              <w:top w:w="40" w:type="dxa"/>
              <w:left w:w="80" w:type="dxa"/>
              <w:bottom w:w="40" w:type="dxa"/>
              <w:right w:w="80" w:type="dxa"/>
            </w:tcMar>
          </w:tcPr>
          <w:p w14:paraId="4F03147C"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4AAB7C76"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1750"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355481DA"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c>
          <w:tcPr>
            <w:tcW w:w="2100" w:type="dxa"/>
            <w:tcBorders>
              <w:top w:val="nil"/>
              <w:left w:val="nil"/>
              <w:bottom w:val="nil"/>
              <w:right w:val="nil"/>
              <w:insideH w:val="nil"/>
              <w:insideV w:val="nil"/>
            </w:tcBorders>
            <w:tcMar>
              <w:top w:w="40" w:type="dxa"/>
              <w:left w:w="80" w:type="dxa"/>
              <w:bottom w:w="40" w:type="dxa"/>
              <w:right w:w="80" w:type="dxa"/>
            </w:tcMar>
          </w:tcPr>
          <w:p w14:paraId="3AE3A7DC"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14ECA6A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1750"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600" w:type="dxa"/>
            <w:tcBorders>
              <w:top w:val="nil"/>
              <w:left w:val="nil"/>
              <w:bottom w:val="nil"/>
              <w:right w:val="nil"/>
              <w:insideH w:val="nil"/>
              <w:insideV w:val="nil"/>
            </w:tcBorders>
            <w:tcMar>
              <w:top w:w="40" w:type="dxa"/>
              <w:left w:w="80" w:type="dxa"/>
              <w:bottom w:w="40" w:type="dxa"/>
              <w:right w:w="80" w:type="dxa"/>
            </w:tcMar>
          </w:tcPr>
          <w:p w14:paraId="3086C299" w14:textId="77777777" w:rsidR="009262C4" w:rsidRDefault="00000000">
            <w:pPr>
              <w:spacing w:after="40" w:line="240" w:lineRule="auto"/>
              <w:jc w:val="left"/>
            </w:pPr>
            <w:r>
              <w:rPr>
                <w:rFonts w:ascii="Palatino Linotype" w:hAnsi="Palatino Linotype" w:cs="Palatino Linotype"/>
                <w:color w:val="000000"/>
                <w:sz w:val="19"/>
                <w:szCs w:val="17"/>
              </w:rPr>
              <w:t>2023</w:t>
            </w:r>
          </w:p>
        </w:tc>
        <w:tc>
          <w:tcPr>
            <w:tcW w:w="3978"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c>
          <w:tcPr>
            <w:tcW w:w="2100" w:type="dxa"/>
            <w:tcBorders>
              <w:top w:val="nil"/>
              <w:left w:val="nil"/>
              <w:bottom w:val="nil"/>
              <w:right w:val="nil"/>
              <w:insideH w:val="nil"/>
              <w:insideV w:val="nil"/>
            </w:tcBorders>
            <w:tcMar>
              <w:top w:w="40" w:type="dxa"/>
              <w:left w:w="80" w:type="dxa"/>
              <w:bottom w:w="40" w:type="dxa"/>
              <w:right w:w="80" w:type="dxa"/>
            </w:tcMar>
          </w:tcPr>
          <w:p w14:paraId="1BAE9DE9"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23570959"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1750"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401FD5FD"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c>
          <w:tcPr>
            <w:tcW w:w="2100" w:type="dxa"/>
            <w:tcBorders>
              <w:top w:val="nil"/>
              <w:left w:val="nil"/>
              <w:bottom w:val="nil"/>
              <w:right w:val="nil"/>
              <w:insideH w:val="nil"/>
              <w:insideV w:val="nil"/>
            </w:tcBorders>
            <w:tcMar>
              <w:top w:w="40" w:type="dxa"/>
              <w:left w:w="80" w:type="dxa"/>
              <w:bottom w:w="40" w:type="dxa"/>
              <w:right w:w="80" w:type="dxa"/>
            </w:tcMar>
          </w:tcPr>
          <w:p w14:paraId="4AD9DF44" w14:textId="77777777" w:rsidR="009262C4" w:rsidRDefault="00000000">
            <w:pPr>
              <w:spacing w:after="40" w:line="240" w:lineRule="auto"/>
              <w:jc w:val="left"/>
            </w:pPr>
            <w:r>
              <w:rPr>
                <w:rFonts w:ascii="Palatino Linotype" w:hAnsi="Palatino Linotype" w:cs="Palatino Linotype"/>
                <w:color w:val="000000"/>
                <w:sz w:val="19"/>
                <w:szCs w:val="17"/>
              </w:rPr>
              <w:t>Temporal and lifecycle (Req 5)</w:t>
            </w:r>
          </w:p>
        </w:tc>
      </w:tr>
      <w:tr w:rsidR="009262C4" w14:paraId="3B04220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1750"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7E548BF5"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c>
          <w:tcPr>
            <w:tcW w:w="2100" w:type="dxa"/>
            <w:tcBorders>
              <w:top w:val="nil"/>
              <w:left w:val="nil"/>
              <w:bottom w:val="nil"/>
              <w:right w:val="nil"/>
              <w:insideH w:val="nil"/>
              <w:insideV w:val="nil"/>
            </w:tcBorders>
            <w:tcMar>
              <w:top w:w="40" w:type="dxa"/>
              <w:left w:w="80" w:type="dxa"/>
              <w:bottom w:w="40" w:type="dxa"/>
              <w:right w:w="80" w:type="dxa"/>
            </w:tcMar>
          </w:tcPr>
          <w:p w14:paraId="2C00F001"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731DDFDF"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1750"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600" w:type="dxa"/>
            <w:tcBorders>
              <w:top w:val="nil"/>
              <w:left w:val="nil"/>
              <w:bottom w:val="nil"/>
              <w:right w:val="nil"/>
              <w:insideH w:val="nil"/>
              <w:insideV w:val="nil"/>
            </w:tcBorders>
            <w:tcMar>
              <w:top w:w="40" w:type="dxa"/>
              <w:left w:w="80" w:type="dxa"/>
              <w:bottom w:w="40" w:type="dxa"/>
              <w:right w:w="80" w:type="dxa"/>
            </w:tcMar>
          </w:tcPr>
          <w:p w14:paraId="7E6F964A" w14:textId="77777777" w:rsidR="009262C4" w:rsidRDefault="00000000">
            <w:pPr>
              <w:spacing w:after="40" w:line="240" w:lineRule="auto"/>
              <w:jc w:val="left"/>
            </w:pPr>
            <w:r>
              <w:rPr>
                <w:rFonts w:ascii="Palatino Linotype" w:hAnsi="Palatino Linotype" w:cs="Palatino Linotype"/>
                <w:color w:val="000000"/>
                <w:sz w:val="19"/>
                <w:szCs w:val="17"/>
              </w:rPr>
              <w:t>2024</w:t>
            </w:r>
          </w:p>
        </w:tc>
        <w:tc>
          <w:tcPr>
            <w:tcW w:w="3978"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c>
          <w:tcPr>
            <w:tcW w:w="2100" w:type="dxa"/>
            <w:tcBorders>
              <w:top w:val="nil"/>
              <w:left w:val="nil"/>
              <w:bottom w:val="nil"/>
              <w:right w:val="nil"/>
              <w:insideH w:val="nil"/>
              <w:insideV w:val="nil"/>
            </w:tcBorders>
            <w:tcMar>
              <w:top w:w="40" w:type="dxa"/>
              <w:left w:w="80" w:type="dxa"/>
              <w:bottom w:w="40" w:type="dxa"/>
              <w:right w:w="80" w:type="dxa"/>
            </w:tcMar>
          </w:tcPr>
          <w:p w14:paraId="177B5FFB"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2D5A344C"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1750"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600" w:type="dxa"/>
            <w:tcBorders>
              <w:top w:val="nil"/>
              <w:left w:val="nil"/>
              <w:bottom w:val="nil"/>
              <w:right w:val="nil"/>
              <w:insideH w:val="nil"/>
              <w:insideV w:val="nil"/>
            </w:tcBorders>
            <w:tcMar>
              <w:top w:w="40" w:type="dxa"/>
              <w:left w:w="80" w:type="dxa"/>
              <w:bottom w:w="40" w:type="dxa"/>
              <w:right w:w="80" w:type="dxa"/>
            </w:tcMar>
          </w:tcPr>
          <w:p w14:paraId="5D0356D2" w14:textId="77777777" w:rsidR="009262C4" w:rsidRDefault="00000000">
            <w:pPr>
              <w:spacing w:after="40" w:line="240" w:lineRule="auto"/>
              <w:jc w:val="left"/>
            </w:pPr>
            <w:r>
              <w:rPr>
                <w:rFonts w:ascii="Palatino Linotype" w:hAnsi="Palatino Linotype" w:cs="Palatino Linotype"/>
                <w:color w:val="000000"/>
                <w:sz w:val="19"/>
                <w:szCs w:val="17"/>
              </w:rPr>
              <w:t>2020</w:t>
            </w:r>
          </w:p>
        </w:tc>
        <w:tc>
          <w:tcPr>
            <w:tcW w:w="3978"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c>
          <w:tcPr>
            <w:tcW w:w="2100" w:type="dxa"/>
            <w:tcBorders>
              <w:top w:val="nil"/>
              <w:left w:val="nil"/>
              <w:bottom w:val="nil"/>
              <w:right w:val="nil"/>
              <w:insideH w:val="nil"/>
              <w:insideV w:val="nil"/>
            </w:tcBorders>
            <w:tcMar>
              <w:top w:w="40" w:type="dxa"/>
              <w:left w:w="80" w:type="dxa"/>
              <w:bottom w:w="40" w:type="dxa"/>
              <w:right w:w="80" w:type="dxa"/>
            </w:tcMar>
          </w:tcPr>
          <w:p w14:paraId="39AFEE6A" w14:textId="77777777" w:rsidR="009262C4" w:rsidRDefault="00000000">
            <w:pPr>
              <w:spacing w:after="40" w:line="240" w:lineRule="auto"/>
              <w:jc w:val="left"/>
            </w:pPr>
            <w:r>
              <w:rPr>
                <w:rFonts w:ascii="Palatino Linotype" w:hAnsi="Palatino Linotype" w:cs="Palatino Linotype"/>
                <w:color w:val="000000"/>
                <w:sz w:val="19"/>
                <w:szCs w:val="17"/>
              </w:rPr>
              <w:t>Policy and context (Req 4)</w:t>
            </w:r>
          </w:p>
        </w:tc>
      </w:tr>
      <w:tr w:rsidR="009262C4" w14:paraId="7A2F173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1750"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600" w:type="dxa"/>
            <w:tcBorders>
              <w:top w:val="nil"/>
              <w:left w:val="nil"/>
              <w:bottom w:val="nil"/>
              <w:right w:val="nil"/>
              <w:insideH w:val="nil"/>
              <w:insideV w:val="nil"/>
            </w:tcBorders>
            <w:tcMar>
              <w:top w:w="40" w:type="dxa"/>
              <w:left w:w="80" w:type="dxa"/>
              <w:bottom w:w="40" w:type="dxa"/>
              <w:right w:w="80" w:type="dxa"/>
            </w:tcMar>
          </w:tcPr>
          <w:p w14:paraId="3160E4B0" w14:textId="77777777" w:rsidR="009262C4" w:rsidRDefault="00000000">
            <w:pPr>
              <w:spacing w:after="40" w:line="240" w:lineRule="auto"/>
              <w:jc w:val="left"/>
            </w:pPr>
            <w:r>
              <w:rPr>
                <w:rFonts w:ascii="Palatino Linotype" w:hAnsi="Palatino Linotype" w:cs="Palatino Linotype"/>
                <w:color w:val="000000"/>
                <w:sz w:val="19"/>
                <w:szCs w:val="17"/>
              </w:rPr>
              <w:t>2026</w:t>
            </w:r>
          </w:p>
        </w:tc>
        <w:tc>
          <w:tcPr>
            <w:tcW w:w="3978"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c>
          <w:tcPr>
            <w:tcW w:w="2100" w:type="dxa"/>
            <w:tcBorders>
              <w:top w:val="nil"/>
              <w:left w:val="nil"/>
              <w:bottom w:val="nil"/>
              <w:right w:val="nil"/>
              <w:insideH w:val="nil"/>
              <w:insideV w:val="nil"/>
            </w:tcBorders>
            <w:tcMar>
              <w:top w:w="40" w:type="dxa"/>
              <w:left w:w="80" w:type="dxa"/>
              <w:bottom w:w="40" w:type="dxa"/>
              <w:right w:w="80" w:type="dxa"/>
            </w:tcMar>
          </w:tcPr>
          <w:p w14:paraId="30FD22DC" w14:textId="77777777" w:rsidR="009262C4" w:rsidRDefault="00000000">
            <w:pPr>
              <w:spacing w:after="40" w:line="240" w:lineRule="auto"/>
              <w:jc w:val="left"/>
            </w:pPr>
            <w:r>
              <w:rPr>
                <w:rFonts w:ascii="Palatino Linotype" w:hAnsi="Palatino Linotype" w:cs="Palatino Linotype"/>
                <w:color w:val="000000"/>
                <w:sz w:val="19"/>
                <w:szCs w:val="17"/>
              </w:rPr>
              <w:t>Consent representation (Req 1)</w:t>
            </w:r>
          </w:p>
        </w:tc>
      </w:tr>
      <w:tr w:rsidR="009262C4" w14:paraId="5562642B"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1750"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600" w:type="dxa"/>
            <w:tcBorders>
              <w:top w:val="nil"/>
              <w:left w:val="nil"/>
              <w:bottom w:val="nil"/>
              <w:right w:val="nil"/>
              <w:insideH w:val="nil"/>
              <w:insideV w:val="nil"/>
            </w:tcBorders>
            <w:tcMar>
              <w:top w:w="40" w:type="dxa"/>
              <w:left w:w="80" w:type="dxa"/>
              <w:bottom w:w="40" w:type="dxa"/>
              <w:right w:w="80" w:type="dxa"/>
            </w:tcMar>
          </w:tcPr>
          <w:p w14:paraId="415496ED"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c>
          <w:tcPr>
            <w:tcW w:w="2100" w:type="dxa"/>
            <w:tcBorders>
              <w:top w:val="nil"/>
              <w:left w:val="nil"/>
              <w:bottom w:val="nil"/>
              <w:right w:val="nil"/>
              <w:insideH w:val="nil"/>
              <w:insideV w:val="nil"/>
            </w:tcBorders>
            <w:tcMar>
              <w:top w:w="40" w:type="dxa"/>
              <w:left w:w="80" w:type="dxa"/>
              <w:bottom w:w="40" w:type="dxa"/>
              <w:right w:w="80" w:type="dxa"/>
            </w:tcMar>
          </w:tcPr>
          <w:p w14:paraId="51877A0F" w14:textId="77777777" w:rsidR="009262C4" w:rsidRDefault="00000000">
            <w:pPr>
              <w:spacing w:after="40" w:line="240" w:lineRule="auto"/>
              <w:jc w:val="left"/>
            </w:pPr>
            <w:r>
              <w:rPr>
                <w:rFonts w:ascii="Palatino Linotype" w:hAnsi="Palatino Linotype" w:cs="Palatino Linotype"/>
                <w:color w:val="000000"/>
                <w:sz w:val="19"/>
                <w:szCs w:val="17"/>
              </w:rPr>
              <w:t>Identity and authority (Req 2)</w:t>
            </w:r>
          </w:p>
        </w:tc>
      </w:tr>
      <w:tr w:rsidR="009262C4" w14:paraId="025A53E1"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1750"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600" w:type="dxa"/>
            <w:tcBorders>
              <w:top w:val="nil"/>
              <w:left w:val="nil"/>
              <w:bottom w:val="nil"/>
              <w:right w:val="nil"/>
              <w:insideH w:val="nil"/>
              <w:insideV w:val="nil"/>
            </w:tcBorders>
            <w:tcMar>
              <w:top w:w="40" w:type="dxa"/>
              <w:left w:w="80" w:type="dxa"/>
              <w:bottom w:w="40" w:type="dxa"/>
              <w:right w:w="80" w:type="dxa"/>
            </w:tcMar>
          </w:tcPr>
          <w:p w14:paraId="119760C9" w14:textId="77777777" w:rsidR="009262C4" w:rsidRDefault="00000000">
            <w:pPr>
              <w:spacing w:after="40" w:line="240" w:lineRule="auto"/>
              <w:jc w:val="left"/>
            </w:pPr>
            <w:r>
              <w:rPr>
                <w:rFonts w:ascii="Palatino Linotype" w:hAnsi="Palatino Linotype" w:cs="Palatino Linotype"/>
                <w:color w:val="000000"/>
                <w:sz w:val="19"/>
                <w:szCs w:val="17"/>
              </w:rPr>
              <w:t>2022</w:t>
            </w:r>
          </w:p>
        </w:tc>
        <w:tc>
          <w:tcPr>
            <w:tcW w:w="3978"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c>
          <w:tcPr>
            <w:tcW w:w="2100" w:type="dxa"/>
            <w:tcBorders>
              <w:top w:val="nil"/>
              <w:left w:val="nil"/>
              <w:bottom w:val="nil"/>
              <w:right w:val="nil"/>
              <w:insideH w:val="nil"/>
              <w:insideV w:val="nil"/>
            </w:tcBorders>
            <w:tcMar>
              <w:top w:w="40" w:type="dxa"/>
              <w:left w:w="80" w:type="dxa"/>
              <w:bottom w:w="40" w:type="dxa"/>
              <w:right w:w="80" w:type="dxa"/>
            </w:tcMar>
          </w:tcPr>
          <w:p w14:paraId="089CCC67" w14:textId="77777777" w:rsidR="009262C4" w:rsidRDefault="00000000">
            <w:pPr>
              <w:spacing w:after="40" w:line="240" w:lineRule="auto"/>
              <w:jc w:val="left"/>
            </w:pPr>
            <w:r>
              <w:rPr>
                <w:rFonts w:ascii="Palatino Linotype" w:hAnsi="Palatino Linotype" w:cs="Palatino Linotype"/>
                <w:color w:val="000000"/>
                <w:sz w:val="19"/>
                <w:szCs w:val="17"/>
              </w:rPr>
              <w:t>Multi-party authorisation (Req 3)</w:t>
            </w:r>
          </w:p>
        </w:tc>
      </w:tr>
      <w:tr w:rsidR="009262C4" w14:paraId="75EC961A" w14:textId="77777777">
        <w:trPr>
          <w:cantSplit/>
        </w:trPr>
        <w:tc>
          <w:tcPr>
            <w:tcW w:w="700"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1750"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600" w:type="dxa"/>
            <w:tcBorders>
              <w:top w:val="nil"/>
              <w:left w:val="nil"/>
              <w:bottom w:val="nil"/>
              <w:right w:val="nil"/>
              <w:insideH w:val="nil"/>
              <w:insideV w:val="nil"/>
            </w:tcBorders>
            <w:tcMar>
              <w:top w:w="40" w:type="dxa"/>
              <w:left w:w="80" w:type="dxa"/>
              <w:bottom w:w="40" w:type="dxa"/>
              <w:right w:w="80" w:type="dxa"/>
            </w:tcMar>
          </w:tcPr>
          <w:p w14:paraId="114A2DDB" w14:textId="77777777" w:rsidR="009262C4" w:rsidRDefault="00000000">
            <w:pPr>
              <w:spacing w:after="40" w:line="240" w:lineRule="auto"/>
              <w:jc w:val="left"/>
            </w:pPr>
            <w:r>
              <w:rPr>
                <w:rFonts w:ascii="Palatino Linotype" w:hAnsi="Palatino Linotype" w:cs="Palatino Linotype"/>
                <w:color w:val="000000"/>
                <w:sz w:val="19"/>
                <w:szCs w:val="17"/>
              </w:rPr>
              <w:t>2025</w:t>
            </w:r>
          </w:p>
        </w:tc>
        <w:tc>
          <w:tcPr>
            <w:tcW w:w="3978"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c>
          <w:tcPr>
            <w:tcW w:w="2100" w:type="dxa"/>
            <w:tcBorders>
              <w:top w:val="nil"/>
              <w:left w:val="nil"/>
              <w:bottom w:val="nil"/>
              <w:right w:val="nil"/>
              <w:insideH w:val="nil"/>
              <w:insideV w:val="nil"/>
            </w:tcBorders>
            <w:tcMar>
              <w:top w:w="40" w:type="dxa"/>
              <w:left w:w="80" w:type="dxa"/>
              <w:bottom w:w="40" w:type="dxa"/>
              <w:right w:w="80" w:type="dxa"/>
            </w:tcMar>
          </w:tcPr>
          <w:p w14:paraId="2408853F" w14:textId="77777777" w:rsidR="009262C4" w:rsidRDefault="00000000">
            <w:pPr>
              <w:spacing w:after="40" w:line="240" w:lineRule="auto"/>
              <w:jc w:val="left"/>
            </w:pPr>
            <w:r>
              <w:rPr>
                <w:rFonts w:ascii="Palatino Linotype" w:hAnsi="Palatino Linotype" w:cs="Palatino Linotype"/>
                <w:color w:val="000000"/>
                <w:sz w:val="19"/>
                <w:szCs w:val="17"/>
              </w:rPr>
              <w:t>Security assurance (Req 6)</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Table 2.3 summarises the description and the issues and limitations of each primary study.</w:t>
      </w:r>
    </w:p>
    <w:p>
      <w:pPr>
        <w:pStyle w:val="3"/>
      </w:pPr>
      <w:r>
        <w:t>2.4.2 Decentralised identity and authority trust (Req 2)</w:t>
      </w:r>
    </w:p>
    <w:p w14:paraId="5A8E98C4" w14:textId="77777777" w:rsidR="009262C4" w:rsidRDefault="00000000">
      <w:pPr>
        <w:spacing w:after="110" w:line="264" w:lineRule="auto"/>
        <w:jc w:val="both"/>
      </w:pPr>
      <w:r>
        <w:t>The trust dimension T2 was graded Yes in only 10 of the 25 studies and Partial in 15, and the stricter Req 2 grade in Table 2.4, which needs both identity and authority, is Yes in only 7.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pStyle w:val="3"/>
      </w:pPr>
      <w:r>
        <w:t>2.4.3 Multi-party authorisation and collaborative consent (Req 3)</w:t>
      </w:r>
    </w:p>
    <w:p w14:paraId="2B876E6C" w14:textId="77777777" w:rsidR="009262C4" w:rsidRDefault="00000000">
      <w:pPr>
        <w:spacing w:after="110" w:line="264" w:lineRule="auto"/>
        <w:jc w:val="both"/>
      </w:pPr>
      <w:r>
        <w:t>T3 was graded Yes in 6 of the 25 studies, Partial in 4, and No in 15, across six ratified mechanism classes.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pStyle w:val="3"/>
      </w:pPr>
      <w:r>
        <w:t>2.4.4 Policy- and context-aware access control (Req 4)</w:t>
      </w:r>
    </w:p>
    <w:p w14:paraId="05A3E933" w14:textId="77777777" w:rsidR="009262C4" w:rsidRDefault="00000000">
      <w:pPr>
        <w:spacing w:after="110" w:line="264" w:lineRule="auto"/>
        <w:jc w:val="both"/>
      </w:pPr>
      <w:r>
        <w:t>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The trust dimension T4 is coded Yes in 11 studies, Partial in 10, and No in 4, and the Req 4 grade in Table 2.4 is Yes in 10 and No in 15. However, purpose-of-use enters the decision in only six studies (Eneh et al. 2026; Panagoulias et al. 2026), and every one is coded T3 No. Consequently, purpose and data-scope constraints are not carried by the consent object C and evaluated together with the identity, authority, and multi-party conditions.</w:t>
      </w:r>
    </w:p>
    <w:p>
      <w:pPr>
        <w:pStyle w:val="3"/>
      </w:pPr>
      <w:r>
        <w:t>2.4.5 Temporal validity and consent lifecycle (Req 5)</w:t>
      </w:r>
    </w:p>
    <w:p w14:paraId="7C35F356" w14:textId="77777777" w:rsidR="009262C4" w:rsidRDefault="00000000">
      <w:pPr>
        <w:spacing w:after="110" w:line="264" w:lineRule="auto"/>
        <w:jc w:val="both"/>
      </w:pPr>
      <w:r>
        <w:t>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T5 is coded Yes in 8 studies and T6 in 7, a post-revocation denial is demonstrated only by (Phuyal et al. 2026b), and the four stream-5 systems that enforce time inside the decision are all single-party, with Li et al. (2026a) doing so through the credential rather than the consent.</w:t>
      </w:r>
    </w:p>
    <w:p>
      <w:pPr>
        <w:pStyle w:val="3"/>
      </w:pPr>
      <w:r>
        <w:t>2.4.6 Formal security assurance and empirical validation (Req 6)</w:t>
      </w:r>
    </w:p>
    <w:p w14:paraId="3CC511B8" w14:textId="77777777" w:rsidR="009262C4" w:rsidRDefault="00000000">
      <w:pPr>
        <w:spacing w:after="110" w:line="264" w:lineRule="auto"/>
        <w:jc w:val="both"/>
      </w:pPr>
      <w:r>
        <w:t>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Formal assurance is coded Yes in only 4 of the 25 studies, and empirical validation Yes in 5, Partial in 19, and No in 1. An inverse relation between predicate breadth and assurance strength was observed. Few studies execute adversarial scenarios that examine whether security controls can resist deliberate attempts to circumvent the authorisation process.</w:t>
      </w:r>
    </w:p>
    <w:p w14:paraId="6F4593D6" w14:textId="77777777" w:rsidR="009262C4" w:rsidRDefault="00000000">
      <w:pPr>
        <w:keepNext/>
        <w:spacing w:before="160" w:after="160"/>
        <w:jc w:val="center"/>
      </w:pPr>
      <w:r>
        <w:rPr>
          <w:b/>
          <w:bCs/>
          <w:sz w:val="20"/>
          <w:szCs w:val="18"/>
        </w:rPr>
        <w:t xml:space="preserve">Table 2.3: </w:t>
      </w:r>
      <w:r>
        <w:rPr>
          <w:sz w:val="20"/>
          <w:szCs w:val="18"/>
        </w:rPr>
        <w:t>Descriptions, issues and limitations of the 25 primary studies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200"/>
        <w:gridCol w:w="3964"/>
        <w:gridCol w:w="3964"/>
      </w:tblGrid>
      <w:tr w:rsidR="009262C4" w14:paraId="695A90C9" w14:textId="77777777">
        <w:trPr>
          <w:cantSplit/>
          <w:tblHeader/>
        </w:trPr>
        <w:tc>
          <w:tcPr>
            <w:tcW w:w="1200" w:type="dxa"/>
            <w:tcBorders>
              <w:top w:val="nil"/>
              <w:left w:val="nil"/>
              <w:bottom w:val="single" w:sz="6" w:color="000000" w:space="0"/>
              <w:right w:val="nil"/>
              <w:insideH w:val="nil"/>
              <w:insideV w:val="nil"/>
            </w:tcBorders>
            <w:tcMar>
              <w:top w:w="40" w:type="dxa"/>
              <w:left w:w="80" w:type="dxa"/>
              <w:bottom w:w="40" w:type="dxa"/>
              <w:right w:w="80" w:type="dxa"/>
            </w:tcMar>
          </w:tcPr>
          <w:p w14:paraId="5B456A55"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3964" w:type="dxa"/>
            <w:tcBorders>
              <w:top w:val="nil"/>
              <w:left w:val="nil"/>
              <w:bottom w:val="single" w:sz="6" w:color="000000" w:space="0"/>
              <w:right w:val="nil"/>
              <w:insideH w:val="nil"/>
              <w:insideV w:val="nil"/>
            </w:tcBorders>
            <w:tcMar>
              <w:top w:w="40" w:type="dxa"/>
              <w:left w:w="80" w:type="dxa"/>
              <w:bottom w:w="40" w:type="dxa"/>
              <w:right w:w="80" w:type="dxa"/>
            </w:tcMar>
          </w:tcPr>
          <w:p w14:paraId="110D26CF" w14:textId="77777777" w:rsidR="009262C4" w:rsidRDefault="00000000">
            <w:pPr>
              <w:spacing w:after="40" w:line="240" w:lineRule="auto"/>
              <w:jc w:val="left"/>
            </w:pPr>
            <w:r>
              <w:rPr>
                <w:rFonts w:ascii="Palatino Linotype" w:hAnsi="Palatino Linotype" w:cs="Palatino Linotype"/>
                <w:b/>
                <w:bCs/>
                <w:color w:val="000000"/>
                <w:sz w:val="19"/>
                <w:szCs w:val="17"/>
              </w:rPr>
              <w:t>Description of the study</w:t>
            </w:r>
          </w:p>
        </w:tc>
        <w:tc>
          <w:tcPr>
            <w:tcW w:w="3964" w:type="dxa"/>
            <w:tcBorders>
              <w:top w:val="nil"/>
              <w:left w:val="nil"/>
              <w:bottom w:val="single" w:sz="6" w:color="000000" w:space="0"/>
              <w:right w:val="nil"/>
              <w:insideH w:val="nil"/>
              <w:insideV w:val="nil"/>
            </w:tcBorders>
            <w:tcMar>
              <w:top w:w="40" w:type="dxa"/>
              <w:left w:w="80" w:type="dxa"/>
              <w:bottom w:w="40" w:type="dxa"/>
              <w:right w:w="80" w:type="dxa"/>
            </w:tcMar>
          </w:tcPr>
          <w:p w14:paraId="40968434" w14:textId="77777777" w:rsidR="009262C4" w:rsidRDefault="00000000">
            <w:pPr>
              <w:spacing w:after="40" w:line="240" w:lineRule="auto"/>
              <w:jc w:val="left"/>
            </w:pPr>
            <w:r>
              <w:rPr>
                <w:rFonts w:ascii="Palatino Linotype" w:hAnsi="Palatino Linotype" w:cs="Palatino Linotype"/>
                <w:b/>
                <w:bCs/>
                <w:color w:val="000000"/>
                <w:sz w:val="19"/>
                <w:szCs w:val="17"/>
              </w:rPr>
              <w:t>Issues/Limitations</w:t>
            </w:r>
          </w:p>
        </w:tc>
      </w:tr>
      <w:tr w:rsidR="009262C4" w14:paraId="55050F40"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2715D50"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6215AE49" w14:textId="77777777" w:rsidR="009262C4" w:rsidRDefault="00000000">
            <w:pPr>
              <w:spacing w:after="40" w:line="240" w:lineRule="auto"/>
              <w:jc w:val="left"/>
            </w:pPr>
            <w:r>
              <w:rPr>
                <w:rFonts w:ascii="Palatino Linotype" w:hAnsi="Palatino Linotype" w:cs="Palatino Linotype"/>
                <w:color w:val="000000"/>
                <w:sz w:val="19"/>
                <w:szCs w:val="17"/>
              </w:rPr>
              <w:t>Decentralised EHR management in which a Shamir (5, 3) threshold reconstructs a symmetric key, and automated oracles release their shares according to the requester's on-chain role.</w:t>
            </w:r>
          </w:p>
        </w:tc>
        <w:tc>
          <w:tcPr>
            <w:tcW w:w="3964" w:type="dxa"/>
            <w:tcBorders>
              <w:top w:val="nil"/>
              <w:left w:val="nil"/>
              <w:bottom w:val="nil"/>
              <w:right w:val="nil"/>
              <w:insideH w:val="nil"/>
              <w:insideV w:val="nil"/>
            </w:tcBorders>
            <w:tcMar>
              <w:top w:w="40" w:type="dxa"/>
              <w:left w:w="80" w:type="dxa"/>
              <w:bottom w:w="40" w:type="dxa"/>
              <w:right w:w="80" w:type="dxa"/>
            </w:tcMar>
          </w:tcPr>
          <w:p w14:paraId="74CC19C2" w14:textId="77777777" w:rsidR="009262C4" w:rsidRDefault="00000000">
            <w:pPr>
              <w:spacing w:after="40" w:line="240" w:lineRule="auto"/>
              <w:jc w:val="left"/>
            </w:pPr>
            <w:r>
              <w:rPr>
                <w:rFonts w:ascii="Palatino Linotype" w:hAnsi="Palatino Linotype" w:cs="Palatino Linotype"/>
                <w:color w:val="000000"/>
                <w:sz w:val="19"/>
                <w:szCs w:val="17"/>
              </w:rPr>
              <w:t>The threshold is over key custodians rather than authorisers, the patient share is not required, purpose is not evaluated, and no authorisation decision is verified despite extensive performance measurement.</w:t>
            </w:r>
          </w:p>
        </w:tc>
      </w:tr>
      <w:tr w:rsidR="009262C4" w14:paraId="4BBAC3BD"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E26FA1E"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3964" w:type="dxa"/>
            <w:tcBorders>
              <w:top w:val="nil"/>
              <w:left w:val="nil"/>
              <w:bottom w:val="nil"/>
              <w:right w:val="nil"/>
              <w:insideH w:val="nil"/>
              <w:insideV w:val="nil"/>
            </w:tcBorders>
            <w:tcMar>
              <w:top w:w="40" w:type="dxa"/>
              <w:left w:w="80" w:type="dxa"/>
              <w:bottom w:w="40" w:type="dxa"/>
              <w:right w:w="80" w:type="dxa"/>
            </w:tcMar>
          </w:tcPr>
          <w:p w14:paraId="78563201"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proof of concept for clinical genomic data, in which a hashed policy tree of data type, role, and purpose is evaluated by the smart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1DC939CA" w14:textId="77777777" w:rsidR="009262C4" w:rsidRDefault="00000000">
            <w:pPr>
              <w:spacing w:after="40" w:line="240" w:lineRule="auto"/>
              <w:jc w:val="left"/>
            </w:pPr>
            <w:r>
              <w:rPr>
                <w:rFonts w:ascii="Palatino Linotype" w:hAnsi="Palatino Linotype" w:cs="Palatino Linotype"/>
                <w:color w:val="000000"/>
                <w:sz w:val="19"/>
                <w:szCs w:val="17"/>
              </w:rPr>
              <w:t>A single patient sets and cancels consent, the requester's role and credentials are not verified, time is applied only at the delivery layer, and there is no formal assurance.</w:t>
            </w:r>
          </w:p>
        </w:tc>
      </w:tr>
      <w:tr w:rsidR="009262C4" w14:paraId="68A56B0D"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6F3FCD4"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3964" w:type="dxa"/>
            <w:tcBorders>
              <w:top w:val="nil"/>
              <w:left w:val="nil"/>
              <w:bottom w:val="nil"/>
              <w:right w:val="nil"/>
              <w:insideH w:val="nil"/>
              <w:insideV w:val="nil"/>
            </w:tcBorders>
            <w:tcMar>
              <w:top w:w="40" w:type="dxa"/>
              <w:left w:w="80" w:type="dxa"/>
              <w:bottom w:w="40" w:type="dxa"/>
              <w:right w:w="80" w:type="dxa"/>
            </w:tcMar>
          </w:tcPr>
          <w:p w14:paraId="693742AE" w14:textId="77777777" w:rsidR="009262C4" w:rsidRDefault="00000000">
            <w:pPr>
              <w:spacing w:after="40" w:line="240" w:lineRule="auto"/>
              <w:jc w:val="left"/>
            </w:pPr>
            <w:r>
              <w:rPr>
                <w:rFonts w:ascii="Palatino Linotype" w:hAnsi="Palatino Linotype" w:cs="Palatino Linotype"/>
                <w:color w:val="000000"/>
                <w:sz w:val="19"/>
                <w:szCs w:val="17"/>
              </w:rPr>
              <w:t>Informed consent is modelled as a patient-driven policy object with hash integrity, which an authorisation module conjoins with other policies inside a smart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0805FC1C" w14:textId="77777777" w:rsidR="009262C4" w:rsidRDefault="00000000">
            <w:pPr>
              <w:spacing w:after="40" w:line="240" w:lineRule="auto"/>
              <w:jc w:val="left"/>
            </w:pPr>
            <w:r>
              <w:rPr>
                <w:rFonts w:ascii="Palatino Linotype" w:hAnsi="Palatino Linotype" w:cs="Palatino Linotype"/>
                <w:color w:val="000000"/>
                <w:sz w:val="19"/>
                <w:szCs w:val="17"/>
              </w:rPr>
              <w:t xml:space="preserve">Purpose is not a condition, the time and expiry conditions are specified but not enforced, the only multi-party element is a 2-of-2 co-signature at registration, and the Goerli evaluation reports no measured results.</w:t>
            </w:r>
          </w:p>
        </w:tc>
      </w:tr>
      <w:tr w:rsidR="009262C4" w14:paraId="7095D8BF"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D08CA5C"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4547EFD5" w14:textId="77777777" w:rsidR="009262C4" w:rsidRDefault="00000000">
            <w:pPr>
              <w:spacing w:after="40" w:line="240" w:lineRule="auto"/>
              <w:jc w:val="left"/>
            </w:pPr>
            <w:r>
              <w:rPr>
                <w:rFonts w:ascii="Palatino Linotype" w:hAnsi="Palatino Linotype" w:cs="Palatino Linotype"/>
                <w:color w:val="000000"/>
                <w:sz w:val="19"/>
                <w:szCs w:val="17"/>
              </w:rPr>
              <w:t>A deployed electronic informed consent platform for rare disease genomics, in which a minor's consent is valid only when all legal guardians sign, and guardianship is verified against the Swedish Population Register.</w:t>
            </w:r>
          </w:p>
        </w:tc>
        <w:tc>
          <w:tcPr>
            <w:tcW w:w="3964" w:type="dxa"/>
            <w:tcBorders>
              <w:top w:val="nil"/>
              <w:left w:val="nil"/>
              <w:bottom w:val="nil"/>
              <w:right w:val="nil"/>
              <w:insideH w:val="nil"/>
              <w:insideV w:val="nil"/>
            </w:tcBorders>
            <w:tcMar>
              <w:top w:w="40" w:type="dxa"/>
              <w:left w:w="80" w:type="dxa"/>
              <w:bottom w:w="40" w:type="dxa"/>
              <w:right w:w="80" w:type="dxa"/>
            </w:tcMar>
          </w:tcPr>
          <w:p w14:paraId="73C891FF" w14:textId="77777777" w:rsidR="009262C4" w:rsidRDefault="00000000">
            <w:pPr>
              <w:spacing w:after="40" w:line="240" w:lineRule="auto"/>
              <w:jc w:val="left"/>
            </w:pPr>
            <w:r>
              <w:rPr>
                <w:rFonts w:ascii="Palatino Linotype" w:hAnsi="Palatino Linotype" w:cs="Palatino Linotype"/>
                <w:color w:val="000000"/>
                <w:sz w:val="19"/>
                <w:szCs w:val="17"/>
              </w:rPr>
              <w:t>The guardian co-consent applies at registration rather than at each access request, the platform is centralised and described with little technical detail, and there is no temporal, purpose, or formal assurance condition.</w:t>
            </w:r>
          </w:p>
        </w:tc>
      </w:tr>
      <w:tr w:rsidR="009262C4" w14:paraId="045509B6"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FA913FE"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470D3CF" w14:textId="77777777" w:rsidR="009262C4" w:rsidRDefault="00000000">
            <w:pPr>
              <w:spacing w:after="40" w:line="240" w:lineRule="auto"/>
              <w:jc w:val="left"/>
            </w:pPr>
            <w:r>
              <w:rPr>
                <w:rFonts w:ascii="Palatino Linotype" w:hAnsi="Palatino Linotype" w:cs="Palatino Linotype"/>
                <w:color w:val="000000"/>
                <w:sz w:val="19"/>
                <w:szCs w:val="17"/>
              </w:rPr>
              <w:t xml:space="preserve">EdgeConsent, a demonstration of on-chain attribute-based access control in which consent rules with purpose, data category, and notBefore and notAfter bounds are evaluated at decision time.</w:t>
            </w:r>
          </w:p>
        </w:tc>
        <w:tc>
          <w:tcPr>
            <w:tcW w:w="3964" w:type="dxa"/>
            <w:tcBorders>
              <w:top w:val="nil"/>
              <w:left w:val="nil"/>
              <w:bottom w:val="nil"/>
              <w:right w:val="nil"/>
              <w:insideH w:val="nil"/>
              <w:insideV w:val="nil"/>
            </w:tcBorders>
            <w:tcMar>
              <w:top w:w="40" w:type="dxa"/>
              <w:left w:w="80" w:type="dxa"/>
              <w:bottom w:w="40" w:type="dxa"/>
              <w:right w:w="80" w:type="dxa"/>
            </w:tcMar>
          </w:tcPr>
          <w:p w14:paraId="077A928E" w14:textId="77777777" w:rsidR="009262C4" w:rsidRDefault="00000000">
            <w:pPr>
              <w:spacing w:after="40" w:line="240" w:lineRule="auto"/>
              <w:jc w:val="left"/>
            </w:pPr>
            <w:r>
              <w:rPr>
                <w:rFonts w:ascii="Palatino Linotype" w:hAnsi="Palatino Linotype" w:cs="Palatino Linotype"/>
                <w:color w:val="000000"/>
                <w:sz w:val="19"/>
                <w:szCs w:val="17"/>
              </w:rPr>
              <w:t>A two-page demonstration with weak identity and authority trust and no DID or VC, no multi-party approval, a lifecycle that is only an active flag, and preliminary local evaluation without formal assurance.</w:t>
            </w:r>
          </w:p>
        </w:tc>
      </w:tr>
      <w:tr w:rsidR="009262C4" w14:paraId="23BB09A4"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D624077"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3964" w:type="dxa"/>
            <w:tcBorders>
              <w:top w:val="nil"/>
              <w:left w:val="nil"/>
              <w:bottom w:val="nil"/>
              <w:right w:val="nil"/>
              <w:insideH w:val="nil"/>
              <w:insideV w:val="nil"/>
            </w:tcBorders>
            <w:tcMar>
              <w:top w:w="40" w:type="dxa"/>
              <w:left w:w="80" w:type="dxa"/>
              <w:bottom w:w="40" w:type="dxa"/>
              <w:right w:w="80" w:type="dxa"/>
            </w:tcMar>
          </w:tcPr>
          <w:p w14:paraId="4D4FFBA8" w14:textId="77777777" w:rsidR="009262C4" w:rsidRDefault="00000000">
            <w:pPr>
              <w:spacing w:after="40" w:line="240" w:lineRule="auto"/>
              <w:jc w:val="left"/>
            </w:pPr>
            <w:r>
              <w:rPr>
                <w:rFonts w:ascii="Palatino Linotype" w:hAnsi="Palatino Linotype" w:cs="Palatino Linotype"/>
                <w:color w:val="000000"/>
                <w:sz w:val="19"/>
                <w:szCs w:val="17"/>
              </w:rPr>
              <w:t>A comparative case study of national patient portals, in which a clinician's capacity assessment and the minor's consent jointly gate guardian access, with register-verified guardianship and enforced age windows.</w:t>
            </w:r>
          </w:p>
        </w:tc>
        <w:tc>
          <w:tcPr>
            <w:tcW w:w="3964" w:type="dxa"/>
            <w:tcBorders>
              <w:top w:val="nil"/>
              <w:left w:val="nil"/>
              <w:bottom w:val="nil"/>
              <w:right w:val="nil"/>
              <w:insideH w:val="nil"/>
              <w:insideV w:val="nil"/>
            </w:tcBorders>
            <w:tcMar>
              <w:top w:w="40" w:type="dxa"/>
              <w:left w:w="80" w:type="dxa"/>
              <w:bottom w:w="40" w:type="dxa"/>
              <w:right w:w="80" w:type="dxa"/>
            </w:tcMar>
          </w:tcPr>
          <w:p w14:paraId="1076417D" w14:textId="77777777" w:rsidR="009262C4" w:rsidRDefault="00000000">
            <w:pPr>
              <w:spacing w:after="40" w:line="240" w:lineRule="auto"/>
              <w:jc w:val="left"/>
            </w:pPr>
            <w:r>
              <w:rPr>
                <w:rFonts w:ascii="Palatino Linotype" w:hAnsi="Palatino Linotype" w:cs="Palatino Linotype"/>
                <w:color w:val="000000"/>
                <w:sz w:val="19"/>
                <w:szCs w:val="17"/>
              </w:rPr>
              <w:t>The mechanism is centralised and applied at documentation time, and the guardian is the party whose proxy access is gated rather than a co-authoriser of the patient's access decision.</w:t>
            </w:r>
          </w:p>
        </w:tc>
      </w:tr>
      <w:tr w:rsidR="009262C4" w14:paraId="7CD81AF3"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96D9904"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3964" w:type="dxa"/>
            <w:tcBorders>
              <w:top w:val="nil"/>
              <w:left w:val="nil"/>
              <w:bottom w:val="nil"/>
              <w:right w:val="nil"/>
              <w:insideH w:val="nil"/>
              <w:insideV w:val="nil"/>
            </w:tcBorders>
            <w:tcMar>
              <w:top w:w="40" w:type="dxa"/>
              <w:left w:w="80" w:type="dxa"/>
              <w:bottom w:w="40" w:type="dxa"/>
              <w:right w:w="80" w:type="dxa"/>
            </w:tcMar>
          </w:tcPr>
          <w:p w14:paraId="5C941062" w14:textId="77777777" w:rsidR="009262C4" w:rsidRDefault="00000000">
            <w:pPr>
              <w:spacing w:after="40" w:line="240" w:lineRule="auto"/>
              <w:jc w:val="left"/>
            </w:pPr>
            <w:r>
              <w:rPr>
                <w:rFonts w:ascii="Palatino Linotype" w:hAnsi="Palatino Linotype" w:cs="Palatino Linotype"/>
                <w:color w:val="000000"/>
                <w:sz w:val="19"/>
                <w:szCs w:val="17"/>
              </w:rPr>
              <w:t>A consent model in which ontology terms requested by a data requester are matched against the patient's consent inside the smart contract, with denial tested across requester profiles.</w:t>
            </w:r>
          </w:p>
        </w:tc>
        <w:tc>
          <w:tcPr>
            <w:tcW w:w="3964" w:type="dxa"/>
            <w:tcBorders>
              <w:top w:val="nil"/>
              <w:left w:val="nil"/>
              <w:bottom w:val="nil"/>
              <w:right w:val="nil"/>
              <w:insideH w:val="nil"/>
              <w:insideV w:val="nil"/>
            </w:tcBorders>
            <w:tcMar>
              <w:top w:w="40" w:type="dxa"/>
              <w:left w:w="80" w:type="dxa"/>
              <w:bottom w:w="40" w:type="dxa"/>
              <w:right w:w="80" w:type="dxa"/>
            </w:tcMar>
          </w:tcPr>
          <w:p w14:paraId="374568F4" w14:textId="77777777" w:rsidR="009262C4" w:rsidRDefault="00000000">
            <w:pPr>
              <w:spacing w:after="40" w:line="240" w:lineRule="auto"/>
              <w:jc w:val="left"/>
            </w:pPr>
            <w:r>
              <w:rPr>
                <w:rFonts w:ascii="Palatino Linotype" w:hAnsi="Palatino Linotype" w:cs="Palatino Linotype"/>
                <w:color w:val="000000"/>
                <w:sz w:val="19"/>
                <w:szCs w:val="17"/>
              </w:rPr>
              <w:t>Security assurance is explicitly outside its scope, and there is no multi-party approval.</w:t>
            </w:r>
          </w:p>
        </w:tc>
      </w:tr>
      <w:tr w:rsidR="009262C4" w14:paraId="7CBCD83F"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98ED2F8"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3964" w:type="dxa"/>
            <w:tcBorders>
              <w:top w:val="nil"/>
              <w:left w:val="nil"/>
              <w:bottom w:val="nil"/>
              <w:right w:val="nil"/>
              <w:insideH w:val="nil"/>
              <w:insideV w:val="nil"/>
            </w:tcBorders>
            <w:tcMar>
              <w:top w:w="40" w:type="dxa"/>
              <w:left w:w="80" w:type="dxa"/>
              <w:bottom w:w="40" w:type="dxa"/>
              <w:right w:w="80" w:type="dxa"/>
            </w:tcMar>
          </w:tcPr>
          <w:p w14:paraId="47401CC8"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scheme in which the patient delegates a threshold of l already-authorised users, who must jointly authorise an out-of-policy requester, with unforgeability argued under DBDH.</w:t>
            </w:r>
          </w:p>
        </w:tc>
        <w:tc>
          <w:tcPr>
            <w:tcW w:w="3964" w:type="dxa"/>
            <w:tcBorders>
              <w:top w:val="nil"/>
              <w:left w:val="nil"/>
              <w:bottom w:val="nil"/>
              <w:right w:val="nil"/>
              <w:insideH w:val="nil"/>
              <w:insideV w:val="nil"/>
            </w:tcBorders>
            <w:tcMar>
              <w:top w:w="40" w:type="dxa"/>
              <w:left w:w="80" w:type="dxa"/>
              <w:bottom w:w="40" w:type="dxa"/>
              <w:right w:w="80" w:type="dxa"/>
            </w:tcMar>
          </w:tcPr>
          <w:p w14:paraId="019CF057" w14:textId="77777777" w:rsidR="009262C4" w:rsidRDefault="00000000">
            <w:pPr>
              <w:spacing w:after="40" w:line="240" w:lineRule="auto"/>
              <w:jc w:val="left"/>
            </w:pPr>
            <w:r>
              <w:rPr>
                <w:rFonts w:ascii="Palatino Linotype" w:hAnsi="Palatino Linotype" w:cs="Palatino Linotype"/>
                <w:color w:val="000000"/>
                <w:sz w:val="19"/>
                <w:szCs w:val="17"/>
              </w:rPr>
              <w:t>The authorisers are consumer-side delegates rather than patient-side stakeholders, the patient's own decision is unilateral, a trusted authority escrows keys, and there is no temporal, lifecycle, or purpose condition.</w:t>
            </w:r>
          </w:p>
        </w:tc>
      </w:tr>
      <w:tr w:rsidR="009262C4" w14:paraId="42CA024B"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3C0F440"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3964" w:type="dxa"/>
            <w:tcBorders>
              <w:top w:val="nil"/>
              <w:left w:val="nil"/>
              <w:bottom w:val="nil"/>
              <w:right w:val="nil"/>
              <w:insideH w:val="nil"/>
              <w:insideV w:val="nil"/>
            </w:tcBorders>
            <w:tcMar>
              <w:top w:w="40" w:type="dxa"/>
              <w:left w:w="80" w:type="dxa"/>
              <w:bottom w:w="40" w:type="dxa"/>
              <w:right w:w="80" w:type="dxa"/>
            </w:tcMar>
          </w:tcPr>
          <w:p w14:paraId="4C67414C" w14:textId="77777777" w:rsidR="009262C4" w:rsidRDefault="00000000">
            <w:pPr>
              <w:spacing w:after="40" w:line="240" w:lineRule="auto"/>
              <w:jc w:val="left"/>
            </w:pPr>
            <w:r>
              <w:rPr>
                <w:rFonts w:ascii="Palatino Linotype" w:hAnsi="Palatino Linotype" w:cs="Palatino Linotype"/>
                <w:color w:val="000000"/>
                <w:sz w:val="19"/>
                <w:szCs w:val="17"/>
              </w:rPr>
              <w:t>A hybrid RBAC and smart contract scheme with attribute-based authentication for fine-grained EMR access in IoMT, which enforces credential expiry at every sharing interaction.</w:t>
            </w:r>
          </w:p>
        </w:tc>
        <w:tc>
          <w:tcPr>
            <w:tcW w:w="3964" w:type="dxa"/>
            <w:tcBorders>
              <w:top w:val="nil"/>
              <w:left w:val="nil"/>
              <w:bottom w:val="nil"/>
              <w:right w:val="nil"/>
              <w:insideH w:val="nil"/>
              <w:insideV w:val="nil"/>
            </w:tcBorders>
            <w:tcMar>
              <w:top w:w="40" w:type="dxa"/>
              <w:left w:w="80" w:type="dxa"/>
              <w:bottom w:w="40" w:type="dxa"/>
              <w:right w:w="80" w:type="dxa"/>
            </w:tcMar>
          </w:tcPr>
          <w:p w14:paraId="3040D8CD" w14:textId="77777777" w:rsidR="009262C4" w:rsidRDefault="00000000">
            <w:pPr>
              <w:spacing w:after="40" w:line="240" w:lineRule="auto"/>
              <w:jc w:val="left"/>
            </w:pPr>
            <w:r>
              <w:rPr>
                <w:rFonts w:ascii="Palatino Linotype" w:hAnsi="Palatino Linotype" w:cs="Palatino Linotype"/>
                <w:color w:val="000000"/>
                <w:sz w:val="19"/>
                <w:szCs w:val="17"/>
              </w:rPr>
              <w:t>Time is enforced in the decision through the credential rather than the consent, which is why Req 5 is graded Yes, but the consent itself carries no enforced validity window, and there is no multi-party approval.</w:t>
            </w:r>
          </w:p>
        </w:tc>
      </w:tr>
      <w:tr w:rsidR="009262C4" w14:paraId="1E32E588"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AC6DE92"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3964" w:type="dxa"/>
            <w:tcBorders>
              <w:top w:val="nil"/>
              <w:left w:val="nil"/>
              <w:bottom w:val="nil"/>
              <w:right w:val="nil"/>
              <w:insideH w:val="nil"/>
              <w:insideV w:val="nil"/>
            </w:tcBorders>
            <w:tcMar>
              <w:top w:w="40" w:type="dxa"/>
              <w:left w:w="80" w:type="dxa"/>
              <w:bottom w:w="40" w:type="dxa"/>
              <w:right w:w="80" w:type="dxa"/>
            </w:tcMar>
          </w:tcPr>
          <w:p w14:paraId="1A557363" w14:textId="77777777" w:rsidR="009262C4" w:rsidRDefault="00000000">
            <w:pPr>
              <w:spacing w:after="40" w:line="240" w:lineRule="auto"/>
              <w:jc w:val="left"/>
            </w:pPr>
            <w:r>
              <w:rPr>
                <w:rFonts w:ascii="Palatino Linotype" w:hAnsi="Palatino Linotype" w:cs="Palatino Linotype"/>
                <w:color w:val="000000"/>
                <w:sz w:val="19"/>
                <w:szCs w:val="17"/>
              </w:rPr>
              <w:t>Fully decentralised multi-party consent management in which, on the incapacitated path, approvals from a regulator and a guardian threshold are required on one access request, and stale attestations stop counting.</w:t>
            </w:r>
          </w:p>
        </w:tc>
        <w:tc>
          <w:tcPr>
            <w:tcW w:w="3964" w:type="dxa"/>
            <w:tcBorders>
              <w:top w:val="nil"/>
              <w:left w:val="nil"/>
              <w:bottom w:val="nil"/>
              <w:right w:val="nil"/>
              <w:insideH w:val="nil"/>
              <w:insideV w:val="nil"/>
            </w:tcBorders>
            <w:tcMar>
              <w:top w:w="40" w:type="dxa"/>
              <w:left w:w="80" w:type="dxa"/>
              <w:bottom w:w="40" w:type="dxa"/>
              <w:right w:w="80" w:type="dxa"/>
            </w:tcMar>
          </w:tcPr>
          <w:p w14:paraId="5B386977" w14:textId="77777777" w:rsidR="009262C4" w:rsidRDefault="00000000">
            <w:pPr>
              <w:spacing w:after="40" w:line="240" w:lineRule="auto"/>
              <w:jc w:val="left"/>
            </w:pPr>
            <w:r>
              <w:rPr>
                <w:rFonts w:ascii="Palatino Linotype" w:hAnsi="Palatino Linotype" w:cs="Palatino Linotype"/>
                <w:color w:val="000000"/>
                <w:sz w:val="19"/>
                <w:szCs w:val="17"/>
              </w:rPr>
              <w:t>On the normal path a single patient key authorises, so multi-party approval is a contingency. Purpose and data-category policy are absent, revocation after delivery is not possible, and there is no formal assurance.</w:t>
            </w:r>
          </w:p>
        </w:tc>
      </w:tr>
      <w:tr w:rsidR="009262C4" w14:paraId="7ECAB45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19C4A15"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3964" w:type="dxa"/>
            <w:tcBorders>
              <w:top w:val="nil"/>
              <w:left w:val="nil"/>
              <w:bottom w:val="nil"/>
              <w:right w:val="nil"/>
              <w:insideH w:val="nil"/>
              <w:insideV w:val="nil"/>
            </w:tcBorders>
            <w:tcMar>
              <w:top w:w="40" w:type="dxa"/>
              <w:left w:w="80" w:type="dxa"/>
              <w:bottom w:w="40" w:type="dxa"/>
              <w:right w:w="80" w:type="dxa"/>
            </w:tcMar>
          </w:tcPr>
          <w:p w14:paraId="03D2B989" w14:textId="77777777" w:rsidR="009262C4" w:rsidRDefault="00000000">
            <w:pPr>
              <w:spacing w:after="40" w:line="240" w:lineRule="auto"/>
              <w:jc w:val="left"/>
            </w:pPr>
            <w:r>
              <w:rPr>
                <w:rFonts w:ascii="Palatino Linotype" w:hAnsi="Palatino Linotype" w:cs="Palatino Linotype"/>
                <w:color w:val="000000"/>
                <w:sz w:val="19"/>
                <w:szCs w:val="17"/>
              </w:rPr>
              <w:t>Protection of IoMT data for unconscious patients, in which t-of-n patient-designated relatives release access through threshold proxy re-encryption, and the hospital and relatives are authenticated on chain.</w:t>
            </w:r>
          </w:p>
        </w:tc>
        <w:tc>
          <w:tcPr>
            <w:tcW w:w="3964" w:type="dxa"/>
            <w:tcBorders>
              <w:top w:val="nil"/>
              <w:left w:val="nil"/>
              <w:bottom w:val="nil"/>
              <w:right w:val="nil"/>
              <w:insideH w:val="nil"/>
              <w:insideV w:val="nil"/>
            </w:tcBorders>
            <w:tcMar>
              <w:top w:w="40" w:type="dxa"/>
              <w:left w:w="80" w:type="dxa"/>
              <w:bottom w:w="40" w:type="dxa"/>
              <w:right w:w="80" w:type="dxa"/>
            </w:tcMar>
          </w:tcPr>
          <w:p w14:paraId="46246F32" w14:textId="77777777" w:rsidR="009262C4" w:rsidRDefault="00000000">
            <w:pPr>
              <w:spacing w:after="40" w:line="240" w:lineRule="auto"/>
              <w:jc w:val="left"/>
            </w:pPr>
            <w:r>
              <w:rPr>
                <w:rFonts w:ascii="Palatino Linotype" w:hAnsi="Palatino Linotype" w:cs="Palatino Linotype"/>
                <w:color w:val="000000"/>
                <w:sz w:val="19"/>
                <w:szCs w:val="17"/>
              </w:rPr>
              <w:t>Policy and temporal conditions are not evaluated, and the proofs cover the threshold gate in isolation rather than the complete decision.</w:t>
            </w:r>
          </w:p>
        </w:tc>
      </w:tr>
      <w:tr w:rsidR="009262C4" w14:paraId="5206E4A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17666DF" w14:textId="77777777" w:rsidR="009262C4" w:rsidRDefault="00000000">
            <w:pPr>
              <w:spacing w:after="40" w:line="240" w:lineRule="auto"/>
              <w:jc w:val="left"/>
            </w:pPr>
            <w:r>
              <w:rPr>
                <w:rFonts w:ascii="Palatino Linotype" w:hAnsi="Palatino Linotype" w:cs="Palatino Linotype"/>
                <w:color w:val="000000"/>
                <w:sz w:val="19"/>
                <w:szCs w:val="17"/>
              </w:rPr>
              <w:lastRenderedPageBreak/>
              <w:t>S12 Mei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76554210" w14:textId="77777777" w:rsidR="009262C4" w:rsidRDefault="00000000">
            <w:pPr>
              <w:spacing w:after="40" w:line="240" w:lineRule="auto"/>
              <w:jc w:val="left"/>
            </w:pPr>
            <w:r>
              <w:rPr>
                <w:rFonts w:ascii="Palatino Linotype" w:hAnsi="Palatino Linotype" w:cs="Palatino Linotype"/>
                <w:color w:val="000000"/>
                <w:sz w:val="19"/>
                <w:szCs w:val="17"/>
              </w:rPr>
              <w:t>An efficient dual-revocation CP-ABE scheme for IoMT that terminates access immediately through ciphertext update, motivated by consent withdrawal, with a security reduction under q-BDHE.</w:t>
            </w:r>
          </w:p>
        </w:tc>
        <w:tc>
          <w:tcPr>
            <w:tcW w:w="3964" w:type="dxa"/>
            <w:tcBorders>
              <w:top w:val="nil"/>
              <w:left w:val="nil"/>
              <w:bottom w:val="nil"/>
              <w:right w:val="nil"/>
              <w:insideH w:val="nil"/>
              <w:insideV w:val="nil"/>
            </w:tcBorders>
            <w:tcMar>
              <w:top w:w="40" w:type="dxa"/>
              <w:left w:w="80" w:type="dxa"/>
              <w:bottom w:w="40" w:type="dxa"/>
              <w:right w:w="80" w:type="dxa"/>
            </w:tcMar>
          </w:tcPr>
          <w:p w14:paraId="3FD463D6" w14:textId="77777777" w:rsidR="009262C4" w:rsidRDefault="00000000">
            <w:pPr>
              <w:spacing w:after="40" w:line="240" w:lineRule="auto"/>
              <w:jc w:val="left"/>
            </w:pPr>
            <w:r>
              <w:rPr>
                <w:rFonts w:ascii="Palatino Linotype" w:hAnsi="Palatino Linotype" w:cs="Palatino Linotype"/>
                <w:color w:val="000000"/>
                <w:sz w:val="19"/>
                <w:szCs w:val="17"/>
              </w:rPr>
              <w:t>The proof covers a static encryption predicate, revocation operates at scheme level rather than on a consent object, and there is no multi-party approval.</w:t>
            </w:r>
          </w:p>
        </w:tc>
      </w:tr>
      <w:tr w:rsidR="009262C4" w14:paraId="2BD7AB8C"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6D7FBC2D"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86309CD"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in which an Allow predicate over time, revocation, role, and purpose is evaluated before execution and denials are recorded, verified across simulated attempts with zero consent drift.</w:t>
            </w:r>
          </w:p>
        </w:tc>
        <w:tc>
          <w:tcPr>
            <w:tcW w:w="3964" w:type="dxa"/>
            <w:tcBorders>
              <w:top w:val="nil"/>
              <w:left w:val="nil"/>
              <w:bottom w:val="nil"/>
              <w:right w:val="nil"/>
              <w:insideH w:val="nil"/>
              <w:insideV w:val="nil"/>
            </w:tcBorders>
            <w:tcMar>
              <w:top w:w="40" w:type="dxa"/>
              <w:left w:w="80" w:type="dxa"/>
              <w:bottom w:w="40" w:type="dxa"/>
              <w:right w:w="80" w:type="dxa"/>
            </w:tcMar>
          </w:tcPr>
          <w:p w14:paraId="6A7BD643" w14:textId="77777777" w:rsidR="009262C4" w:rsidRDefault="00000000">
            <w:pPr>
              <w:spacing w:after="40" w:line="240" w:lineRule="auto"/>
              <w:jc w:val="left"/>
            </w:pPr>
            <w:r>
              <w:rPr>
                <w:rFonts w:ascii="Palatino Linotype" w:hAnsi="Palatino Linotype" w:cs="Palatino Linotype"/>
                <w:color w:val="000000"/>
                <w:sz w:val="19"/>
                <w:szCs w:val="17"/>
              </w:rPr>
              <w:t>A simulated single-node prototype with set-membership policy and aggregate deny attribution, without multi-party approval or identity depth, and the authors declare no formal assurance.</w:t>
            </w:r>
          </w:p>
        </w:tc>
      </w:tr>
      <w:tr w:rsidR="009262C4" w14:paraId="16E96161"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BDCE038"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3964" w:type="dxa"/>
            <w:tcBorders>
              <w:top w:val="nil"/>
              <w:left w:val="nil"/>
              <w:bottom w:val="nil"/>
              <w:right w:val="nil"/>
              <w:insideH w:val="nil"/>
              <w:insideV w:val="nil"/>
            </w:tcBorders>
            <w:tcMar>
              <w:top w:w="40" w:type="dxa"/>
              <w:left w:w="80" w:type="dxa"/>
              <w:bottom w:w="40" w:type="dxa"/>
              <w:right w:w="80" w:type="dxa"/>
            </w:tcMar>
          </w:tcPr>
          <w:p w14:paraId="33928D53" w14:textId="77777777" w:rsidR="009262C4" w:rsidRDefault="00000000">
            <w:pPr>
              <w:spacing w:after="40" w:line="240" w:lineRule="auto"/>
              <w:jc w:val="left"/>
            </w:pPr>
            <w:r>
              <w:rPr>
                <w:rFonts w:ascii="Palatino Linotype" w:hAnsi="Palatino Linotype" w:cs="Palatino Linotype"/>
                <w:color w:val="000000"/>
                <w:sz w:val="19"/>
                <w:szCs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w="3964" w:type="dxa"/>
            <w:tcBorders>
              <w:top w:val="nil"/>
              <w:left w:val="nil"/>
              <w:bottom w:val="nil"/>
              <w:right w:val="nil"/>
              <w:insideH w:val="nil"/>
              <w:insideV w:val="nil"/>
            </w:tcBorders>
            <w:tcMar>
              <w:top w:w="40" w:type="dxa"/>
              <w:left w:w="80" w:type="dxa"/>
              <w:bottom w:w="40" w:type="dxa"/>
              <w:right w:w="80" w:type="dxa"/>
            </w:tcMar>
          </w:tcPr>
          <w:p w14:paraId="18447FD9" w14:textId="77777777" w:rsidR="009262C4" w:rsidRDefault="00000000">
            <w:pPr>
              <w:spacing w:after="40" w:line="240" w:lineRule="auto"/>
              <w:jc w:val="left"/>
            </w:pPr>
            <w:r>
              <w:rPr>
                <w:rFonts w:ascii="Palatino Linotype" w:hAnsi="Palatino Linotype" w:cs="Palatino Linotype"/>
                <w:color w:val="000000"/>
                <w:sz w:val="19"/>
                <w:szCs w:val="17"/>
              </w:rPr>
              <w:t>A single patient grants consent, the stored expiry is not checked, purpose is handled only at the interface, and there is no threat model.</w:t>
            </w:r>
          </w:p>
        </w:tc>
      </w:tr>
      <w:tr w:rsidR="009262C4" w14:paraId="4AD8C81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12498CE6"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3964" w:type="dxa"/>
            <w:tcBorders>
              <w:top w:val="nil"/>
              <w:left w:val="nil"/>
              <w:bottom w:val="nil"/>
              <w:right w:val="nil"/>
              <w:insideH w:val="nil"/>
              <w:insideV w:val="nil"/>
            </w:tcBorders>
            <w:tcMar>
              <w:top w:w="40" w:type="dxa"/>
              <w:left w:w="80" w:type="dxa"/>
              <w:bottom w:w="40" w:type="dxa"/>
              <w:right w:w="80" w:type="dxa"/>
            </w:tcMar>
          </w:tcPr>
          <w:p w14:paraId="2AAF120C" w14:textId="77777777" w:rsidR="009262C4" w:rsidRDefault="00000000">
            <w:pPr>
              <w:spacing w:after="40" w:line="240" w:lineRule="auto"/>
              <w:jc w:val="left"/>
            </w:pPr>
            <w:r>
              <w:rPr>
                <w:rFonts w:ascii="Palatino Linotype" w:hAnsi="Palatino Linotype" w:cs="Palatino Linotype"/>
                <w:color w:val="000000"/>
                <w:sz w:val="19"/>
                <w:szCs w:val="17"/>
              </w:rPr>
              <w:t>A design-science architecture for dynamic and auditable patient consent in secondary use, using FHIR Consent with purpose, scope, actors, and validity period, anchored on chain, with conceptual VC validation at a gateway.</w:t>
            </w:r>
          </w:p>
        </w:tc>
        <w:tc>
          <w:tcPr>
            <w:tcW w:w="3964" w:type="dxa"/>
            <w:tcBorders>
              <w:top w:val="nil"/>
              <w:left w:val="nil"/>
              <w:bottom w:val="nil"/>
              <w:right w:val="nil"/>
              <w:insideH w:val="nil"/>
              <w:insideV w:val="nil"/>
            </w:tcBorders>
            <w:tcMar>
              <w:top w:w="40" w:type="dxa"/>
              <w:left w:w="80" w:type="dxa"/>
              <w:bottom w:w="40" w:type="dxa"/>
              <w:right w:w="80" w:type="dxa"/>
            </w:tcMar>
          </w:tcPr>
          <w:p w14:paraId="19541C92" w14:textId="77777777" w:rsidR="009262C4" w:rsidRDefault="00000000">
            <w:pPr>
              <w:spacing w:after="40" w:line="240" w:lineRule="auto"/>
              <w:jc w:val="left"/>
            </w:pPr>
            <w:r>
              <w:rPr>
                <w:rFonts w:ascii="Palatino Linotype" w:hAnsi="Palatino Linotype" w:cs="Palatino Linotype"/>
                <w:color w:val="000000"/>
                <w:sz w:val="19"/>
                <w:szCs w:val="17"/>
              </w:rPr>
              <w:t>The architecture is design-only and is neither implemented nor evaluated, and delegation through VCs is not joint multi-party approval.</w:t>
            </w:r>
          </w:p>
        </w:tc>
      </w:tr>
      <w:tr w:rsidR="009262C4" w14:paraId="40B94E79"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980AC8F"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5868EF78" w14:textId="77777777" w:rsidR="009262C4" w:rsidRDefault="00000000">
            <w:pPr>
              <w:spacing w:after="40" w:line="240" w:lineRule="auto"/>
              <w:jc w:val="left"/>
            </w:pPr>
            <w:r>
              <w:rPr>
                <w:rFonts w:ascii="Palatino Linotype" w:hAnsi="Palatino Linotype" w:cs="Palatino Linotype"/>
                <w:color w:val="000000"/>
                <w:sz w:val="19"/>
                <w:szCs w:val="17"/>
              </w:rPr>
              <w:t>MedXBlock, a blockchain-driven access control system for cloud healthcare that combines an institutional M-of-N multi-signature with a conjunctive role and attribute policy evaluated with deny-by-default.</w:t>
            </w:r>
          </w:p>
        </w:tc>
        <w:tc>
          <w:tcPr>
            <w:tcW w:w="3964" w:type="dxa"/>
            <w:tcBorders>
              <w:top w:val="nil"/>
              <w:left w:val="nil"/>
              <w:bottom w:val="nil"/>
              <w:right w:val="nil"/>
              <w:insideH w:val="nil"/>
              <w:insideV w:val="nil"/>
            </w:tcBorders>
            <w:tcMar>
              <w:top w:w="40" w:type="dxa"/>
              <w:left w:w="80" w:type="dxa"/>
              <w:bottom w:w="40" w:type="dxa"/>
              <w:right w:w="80" w:type="dxa"/>
            </w:tcMar>
          </w:tcPr>
          <w:p w14:paraId="4CB7C2CF" w14:textId="77777777" w:rsidR="009262C4" w:rsidRDefault="00000000">
            <w:pPr>
              <w:spacing w:after="40" w:line="240" w:lineRule="auto"/>
              <w:jc w:val="left"/>
            </w:pPr>
            <w:r>
              <w:rPr>
                <w:rFonts w:ascii="Palatino Linotype" w:hAnsi="Palatino Linotype" w:cs="Palatino Linotype"/>
                <w:color w:val="000000"/>
                <w:sz w:val="19"/>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rsidR="009262C4" w14:paraId="7A2266D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004588B"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3964" w:type="dxa"/>
            <w:tcBorders>
              <w:top w:val="nil"/>
              <w:left w:val="nil"/>
              <w:bottom w:val="nil"/>
              <w:right w:val="nil"/>
              <w:insideH w:val="nil"/>
              <w:insideV w:val="nil"/>
            </w:tcBorders>
            <w:tcMar>
              <w:top w:w="40" w:type="dxa"/>
              <w:left w:w="80" w:type="dxa"/>
              <w:bottom w:w="40" w:type="dxa"/>
              <w:right w:w="80" w:type="dxa"/>
            </w:tcMar>
          </w:tcPr>
          <w:p w14:paraId="61C58524" w14:textId="77777777" w:rsidR="009262C4" w:rsidRDefault="00000000">
            <w:pPr>
              <w:spacing w:after="40" w:line="240" w:lineRule="auto"/>
              <w:jc w:val="left"/>
            </w:pPr>
            <w:r>
              <w:rPr>
                <w:rFonts w:ascii="Palatino Linotype" w:hAnsi="Palatino Linotype" w:cs="Palatino Linotype"/>
                <w:color w:val="000000"/>
                <w:sz w:val="19"/>
                <w:szCs w:val="17"/>
              </w:rPr>
              <w:t>A blockchain-based service-oriented architecture on Hyperledger Fabric for consent management, access control, and auditing, in which FHIR purpose-of-use limits are evaluated per resource through XACML.</w:t>
            </w:r>
          </w:p>
        </w:tc>
        <w:tc>
          <w:tcPr>
            <w:tcW w:w="3964" w:type="dxa"/>
            <w:tcBorders>
              <w:top w:val="nil"/>
              <w:left w:val="nil"/>
              <w:bottom w:val="nil"/>
              <w:right w:val="nil"/>
              <w:insideH w:val="nil"/>
              <w:insideV w:val="nil"/>
            </w:tcBorders>
            <w:tcMar>
              <w:top w:w="40" w:type="dxa"/>
              <w:left w:w="80" w:type="dxa"/>
              <w:bottom w:w="40" w:type="dxa"/>
              <w:right w:w="80" w:type="dxa"/>
            </w:tcMar>
          </w:tcPr>
          <w:p w14:paraId="71919C34" w14:textId="77777777" w:rsidR="009262C4" w:rsidRDefault="00000000">
            <w:pPr>
              <w:spacing w:after="40" w:line="240" w:lineRule="auto"/>
              <w:jc w:val="left"/>
            </w:pPr>
            <w:r>
              <w:rPr>
                <w:rFonts w:ascii="Palatino Linotype" w:hAnsi="Palatino Linotype" w:cs="Palatino Linotype"/>
                <w:color w:val="000000"/>
                <w:sz w:val="19"/>
                <w:szCs w:val="17"/>
              </w:rPr>
              <w:t>There is no withdrawal or expiry path, and the experiments validate only the blockchain component.</w:t>
            </w:r>
          </w:p>
        </w:tc>
      </w:tr>
      <w:tr w:rsidR="009262C4" w14:paraId="39EAAC84"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14CFE19B"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060EC444" w14:textId="77777777" w:rsidR="009262C4" w:rsidRDefault="00000000">
            <w:pPr>
              <w:spacing w:after="40" w:line="240" w:lineRule="auto"/>
              <w:jc w:val="left"/>
            </w:pPr>
            <w:r>
              <w:rPr>
                <w:rFonts w:ascii="Palatino Linotype" w:hAnsi="Palatino Linotype" w:cs="Palatino Linotype"/>
                <w:color w:val="000000"/>
                <w:sz w:val="19"/>
                <w:szCs w:val="17"/>
              </w:rPr>
              <w:t>Patient-centric cryptographic protection of cloud EHRs, in which a signed consent token, role, and expiry are inputs to key derivation, so that access becomes a cryptographic precondition and role-scoped keys separate authority from identity.</w:t>
            </w:r>
          </w:p>
        </w:tc>
        <w:tc>
          <w:tcPr>
            <w:tcW w:w="3964" w:type="dxa"/>
            <w:tcBorders>
              <w:top w:val="nil"/>
              <w:left w:val="nil"/>
              <w:bottom w:val="nil"/>
              <w:right w:val="nil"/>
              <w:insideH w:val="nil"/>
              <w:insideV w:val="nil"/>
            </w:tcBorders>
            <w:tcMar>
              <w:top w:w="40" w:type="dxa"/>
              <w:left w:w="80" w:type="dxa"/>
              <w:bottom w:w="40" w:type="dxa"/>
              <w:right w:w="80" w:type="dxa"/>
            </w:tcMar>
          </w:tcPr>
          <w:p w14:paraId="7F8C06B8" w14:textId="77777777" w:rsidR="009262C4" w:rsidRDefault="00000000">
            <w:pPr>
              <w:spacing w:after="40" w:line="240" w:lineRule="auto"/>
              <w:jc w:val="left"/>
            </w:pPr>
            <w:r>
              <w:rPr>
                <w:rFonts w:ascii="Palatino Linotype" w:hAnsi="Palatino Linotype" w:cs="Palatino Linotype"/>
                <w:color w:val="000000"/>
                <w:sz w:val="19"/>
                <w:szCs w:val="17"/>
              </w:rPr>
              <w:t>Consent is issued from a single patient key, identity relies on a cloud authentication service without DID or VC, and assurance is limited to an adversary model.</w:t>
            </w:r>
          </w:p>
        </w:tc>
      </w:tr>
      <w:tr w:rsidR="009262C4" w14:paraId="0F4D8A99"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7AE91E8A"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5C458520" w14:textId="77777777" w:rsidR="009262C4" w:rsidRDefault="00000000">
            <w:pPr>
              <w:spacing w:after="40" w:line="240" w:lineRule="auto"/>
              <w:jc w:val="left"/>
            </w:pPr>
            <w:r>
              <w:rPr>
                <w:rFonts w:ascii="Palatino Linotype" w:hAnsi="Palatino Linotype" w:cs="Palatino Linotype"/>
                <w:color w:val="000000"/>
                <w:sz w:val="19"/>
                <w:szCs w:val="17"/>
              </w:rPr>
              <w:t xml:space="preserve">The authentication and authorisation processes of the iAgree portal across three United States health systems, using OAuth2, SMART on FHIR, and one-time passwords, with a permissioned Ethereum audit contract.</w:t>
            </w:r>
          </w:p>
        </w:tc>
        <w:tc>
          <w:tcPr>
            <w:tcW w:w="3964" w:type="dxa"/>
            <w:tcBorders>
              <w:top w:val="nil"/>
              <w:left w:val="nil"/>
              <w:bottom w:val="nil"/>
              <w:right w:val="nil"/>
              <w:insideH w:val="nil"/>
              <w:insideV w:val="nil"/>
            </w:tcBorders>
            <w:tcMar>
              <w:top w:w="40" w:type="dxa"/>
              <w:left w:w="80" w:type="dxa"/>
              <w:bottom w:w="40" w:type="dxa"/>
              <w:right w:w="80" w:type="dxa"/>
            </w:tcMar>
          </w:tcPr>
          <w:p w14:paraId="7210F32A" w14:textId="77777777" w:rsidR="009262C4" w:rsidRDefault="00000000">
            <w:pPr>
              <w:spacing w:after="40" w:line="240" w:lineRule="auto"/>
              <w:jc w:val="left"/>
            </w:pPr>
            <w:r>
              <w:rPr>
                <w:rFonts w:ascii="Palatino Linotype" w:hAnsi="Palatino Linotype" w:cs="Palatino Linotype"/>
                <w:color w:val="000000"/>
                <w:sz w:val="19"/>
                <w:szCs w:val="17"/>
              </w:rPr>
              <w:t>Consent enforcement is outside its scope, a single patient decides, identity and authority are not separated, revocation is claimed but not tested, and there are no formal methods.</w:t>
            </w:r>
          </w:p>
        </w:tc>
      </w:tr>
      <w:tr w:rsidR="009262C4" w14:paraId="3CF6A5C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2CCAB845"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3964" w:type="dxa"/>
            <w:tcBorders>
              <w:top w:val="nil"/>
              <w:left w:val="nil"/>
              <w:bottom w:val="nil"/>
              <w:right w:val="nil"/>
              <w:insideH w:val="nil"/>
              <w:insideV w:val="nil"/>
            </w:tcBorders>
            <w:tcMar>
              <w:top w:w="40" w:type="dxa"/>
              <w:left w:w="80" w:type="dxa"/>
              <w:bottom w:w="40" w:type="dxa"/>
              <w:right w:w="80" w:type="dxa"/>
            </w:tcMar>
          </w:tcPr>
          <w:p w14:paraId="780BFABE" w14:textId="77777777" w:rsidR="009262C4" w:rsidRDefault="00000000">
            <w:pPr>
              <w:spacing w:after="40" w:line="240" w:lineRule="auto"/>
              <w:jc w:val="left"/>
            </w:pPr>
            <w:r>
              <w:rPr>
                <w:rFonts w:ascii="Palatino Linotype" w:hAnsi="Palatino Linotype" w:cs="Palatino Linotype"/>
                <w:color w:val="000000"/>
                <w:sz w:val="19"/>
                <w:szCs w:val="17"/>
              </w:rPr>
              <w:t>Sharing of personal health records with multi-party pre-authorisation verification, in which a (t, n) threshold of patient-appointed verifiers each validate the grant, its expiry, and the revocation list before releasing a key share.</w:t>
            </w:r>
          </w:p>
        </w:tc>
        <w:tc>
          <w:tcPr>
            <w:tcW w:w="3964" w:type="dxa"/>
            <w:tcBorders>
              <w:top w:val="nil"/>
              <w:left w:val="nil"/>
              <w:bottom w:val="nil"/>
              <w:right w:val="nil"/>
              <w:insideH w:val="nil"/>
              <w:insideV w:val="nil"/>
            </w:tcBorders>
            <w:tcMar>
              <w:top w:w="40" w:type="dxa"/>
              <w:left w:w="80" w:type="dxa"/>
              <w:bottom w:w="40" w:type="dxa"/>
              <w:right w:w="80" w:type="dxa"/>
            </w:tcMar>
          </w:tcPr>
          <w:p w14:paraId="7E9F3664" w14:textId="77777777" w:rsidR="009262C4" w:rsidRDefault="00000000">
            <w:pPr>
              <w:spacing w:after="40" w:line="240" w:lineRule="auto"/>
              <w:jc w:val="left"/>
            </w:pPr>
            <w:r>
              <w:rPr>
                <w:rFonts w:ascii="Palatino Linotype" w:hAnsi="Palatino Linotype" w:cs="Palatino Linotype"/>
                <w:color w:val="000000"/>
                <w:sz w:val="19"/>
                <w:szCs w:val="17"/>
              </w:rPr>
              <w:t>The joint approval is a pre-delegated contingency for an unconscious patient rather than a standing condition, purpose and data scope are not evaluated, and the gate is not evaluated empirically as an authorisation decision.</w:t>
            </w:r>
          </w:p>
        </w:tc>
      </w:tr>
      <w:tr w:rsidR="009262C4" w14:paraId="585FB148"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5D4251C1"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3964" w:type="dxa"/>
            <w:tcBorders>
              <w:top w:val="nil"/>
              <w:left w:val="nil"/>
              <w:bottom w:val="nil"/>
              <w:right w:val="nil"/>
              <w:insideH w:val="nil"/>
              <w:insideV w:val="nil"/>
            </w:tcBorders>
            <w:tcMar>
              <w:top w:w="40" w:type="dxa"/>
              <w:left w:w="80" w:type="dxa"/>
              <w:bottom w:w="40" w:type="dxa"/>
              <w:right w:w="80" w:type="dxa"/>
            </w:tcMar>
          </w:tcPr>
          <w:p w14:paraId="54473520" w14:textId="77777777" w:rsidR="009262C4" w:rsidRDefault="00000000">
            <w:pPr>
              <w:spacing w:after="40" w:line="240" w:lineRule="auto"/>
              <w:jc w:val="left"/>
            </w:pPr>
            <w:r>
              <w:rPr>
                <w:rFonts w:ascii="Palatino Linotype" w:hAnsi="Palatino Linotype" w:cs="Palatino Linotype"/>
                <w:color w:val="000000"/>
                <w:sz w:val="19"/>
                <w:szCs w:val="17"/>
              </w:rPr>
              <w:t xml:space="preserve">A purpose-based consent model on Hyperledger Fabric, in which a consent tuple of role, doctor identifiers, action, and intended purpose is matched against a purpose tree in chaincode at request time.</w:t>
            </w:r>
          </w:p>
        </w:tc>
        <w:tc>
          <w:tcPr>
            <w:tcW w:w="3964" w:type="dxa"/>
            <w:tcBorders>
              <w:top w:val="nil"/>
              <w:left w:val="nil"/>
              <w:bottom w:val="nil"/>
              <w:right w:val="nil"/>
              <w:insideH w:val="nil"/>
              <w:insideV w:val="nil"/>
            </w:tcBorders>
            <w:tcMar>
              <w:top w:w="40" w:type="dxa"/>
              <w:left w:w="80" w:type="dxa"/>
              <w:bottom w:w="40" w:type="dxa"/>
              <w:right w:w="80" w:type="dxa"/>
            </w:tcMar>
          </w:tcPr>
          <w:p w14:paraId="4ACDE890" w14:textId="77777777" w:rsidR="009262C4" w:rsidRDefault="00000000">
            <w:pPr>
              <w:spacing w:after="40" w:line="240" w:lineRule="auto"/>
              <w:jc w:val="left"/>
            </w:pPr>
            <w:r>
              <w:rPr>
                <w:rFonts w:ascii="Palatino Linotype" w:hAnsi="Palatino Linotype" w:cs="Palatino Linotype"/>
                <w:color w:val="000000"/>
                <w:sz w:val="19"/>
                <w:szCs w:val="17"/>
              </w:rPr>
              <w:t>Consent is given by a single patient, the tuple has no temporal element, the effect of withdrawal is not tested, identity uses Fabric certificates without DID or VC, and there is no formal verification.</w:t>
            </w:r>
          </w:p>
        </w:tc>
      </w:tr>
      <w:tr w:rsidR="009262C4" w14:paraId="1A4B068E"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6A20F03E"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3964" w:type="dxa"/>
            <w:tcBorders>
              <w:top w:val="nil"/>
              <w:left w:val="nil"/>
              <w:bottom w:val="nil"/>
              <w:right w:val="nil"/>
              <w:insideH w:val="nil"/>
              <w:insideV w:val="nil"/>
            </w:tcBorders>
            <w:tcMar>
              <w:top w:w="40" w:type="dxa"/>
              <w:left w:w="80" w:type="dxa"/>
              <w:bottom w:w="40" w:type="dxa"/>
              <w:right w:w="80" w:type="dxa"/>
            </w:tcMar>
          </w:tcPr>
          <w:p w14:paraId="0CAD799B" w14:textId="77777777" w:rsidR="009262C4" w:rsidRDefault="00000000">
            <w:pPr>
              <w:spacing w:after="40" w:line="240" w:lineRule="auto"/>
              <w:jc w:val="left"/>
            </w:pPr>
            <w:r>
              <w:rPr>
                <w:rFonts w:ascii="Palatino Linotype" w:hAnsi="Palatino Linotype" w:cs="Palatino Linotype"/>
                <w:color w:val="000000"/>
                <w:sz w:val="19"/>
                <w:szCs w:val="17"/>
              </w:rPr>
              <w:t xml:space="preserve">Ten years of the Mainzelliste production service for pseudonymisation, record linkage, and informed consent management, with purpose-scoped FHIR consent directives and automated consent checks.</w:t>
            </w:r>
          </w:p>
        </w:tc>
        <w:tc>
          <w:tcPr>
            <w:tcW w:w="3964" w:type="dxa"/>
            <w:tcBorders>
              <w:top w:val="nil"/>
              <w:left w:val="nil"/>
              <w:bottom w:val="nil"/>
              <w:right w:val="nil"/>
              <w:insideH w:val="nil"/>
              <w:insideV w:val="nil"/>
            </w:tcBorders>
            <w:tcMar>
              <w:top w:w="40" w:type="dxa"/>
              <w:left w:w="80" w:type="dxa"/>
              <w:bottom w:w="40" w:type="dxa"/>
              <w:right w:w="80" w:type="dxa"/>
            </w:tcMar>
          </w:tcPr>
          <w:p w14:paraId="761EE52E" w14:textId="77777777" w:rsidR="009262C4" w:rsidRDefault="00000000">
            <w:pPr>
              <w:spacing w:after="40" w:line="240" w:lineRule="auto"/>
              <w:jc w:val="left"/>
            </w:pPr>
            <w:r>
              <w:rPr>
                <w:rFonts w:ascii="Palatino Linotype" w:hAnsi="Palatino Linotype" w:cs="Palatino Linotype"/>
                <w:color w:val="000000"/>
                <w:sz w:val="19"/>
                <w:szCs w:val="17"/>
              </w:rPr>
              <w:t>The consent checks have no specified semantics and no demonstrated enforcement of withdrawal, its multi-party computation parties are linkage units rather than authorisers, and no consent decision is verified.</w:t>
            </w:r>
          </w:p>
        </w:tc>
      </w:tr>
      <w:tr w:rsidR="009262C4" w14:paraId="277E8280"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4B473E57"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3964" w:type="dxa"/>
            <w:tcBorders>
              <w:top w:val="nil"/>
              <w:left w:val="nil"/>
              <w:bottom w:val="nil"/>
              <w:right w:val="nil"/>
              <w:insideH w:val="nil"/>
              <w:insideV w:val="nil"/>
            </w:tcBorders>
            <w:tcMar>
              <w:top w:w="40" w:type="dxa"/>
              <w:left w:w="80" w:type="dxa"/>
              <w:bottom w:w="40" w:type="dxa"/>
              <w:right w:w="80" w:type="dxa"/>
            </w:tcMar>
          </w:tcPr>
          <w:p w14:paraId="072F77C2" w14:textId="77777777" w:rsidR="009262C4" w:rsidRDefault="00000000">
            <w:pPr>
              <w:spacing w:after="40" w:line="240" w:lineRule="auto"/>
              <w:jc w:val="left"/>
            </w:pPr>
            <w:r>
              <w:rPr>
                <w:rFonts w:ascii="Palatino Linotype" w:hAnsi="Palatino Linotype" w:cs="Palatino Linotype"/>
                <w:color w:val="000000"/>
                <w:sz w:val="19"/>
                <w:szCs w:val="17"/>
              </w:rPr>
              <w:t>EMR-Chain, a decentralised electronic medical record exchange that verifies authority-issued roles separately from X.509 identities and enforces token expiry at the validator.</w:t>
            </w:r>
          </w:p>
        </w:tc>
        <w:tc>
          <w:tcPr>
            <w:tcW w:w="3964" w:type="dxa"/>
            <w:tcBorders>
              <w:top w:val="nil"/>
              <w:left w:val="nil"/>
              <w:bottom w:val="nil"/>
              <w:right w:val="nil"/>
              <w:insideH w:val="nil"/>
              <w:insideV w:val="nil"/>
            </w:tcBorders>
            <w:tcMar>
              <w:top w:w="40" w:type="dxa"/>
              <w:left w:w="80" w:type="dxa"/>
              <w:bottom w:w="40" w:type="dxa"/>
              <w:right w:w="80" w:type="dxa"/>
            </w:tcMar>
          </w:tcPr>
          <w:p w14:paraId="43121363" w14:textId="77777777" w:rsidR="009262C4" w:rsidRDefault="00000000">
            <w:pPr>
              <w:spacing w:after="40" w:line="240" w:lineRule="auto"/>
              <w:jc w:val="left"/>
            </w:pPr>
            <w:r>
              <w:rPr>
                <w:rFonts w:ascii="Palatino Linotype" w:hAnsi="Palatino Linotype" w:cs="Palatino Linotype"/>
                <w:color w:val="000000"/>
                <w:sz w:val="19"/>
                <w:szCs w:val="17"/>
              </w:rPr>
              <w:t>It has no W3C identifiers, purpose is logged but never evaluated, scope is hospital-level only, the patient and requester signatures authenticate the request rather than add an independent authoriser, and revocation does not invalidate issued tokens.</w:t>
            </w:r>
          </w:p>
        </w:tc>
      </w:tr>
      <w:tr w:rsidR="009262C4" w14:paraId="59D651E1"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3B61318E"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3964" w:type="dxa"/>
            <w:tcBorders>
              <w:top w:val="nil"/>
              <w:left w:val="nil"/>
              <w:bottom w:val="nil"/>
              <w:right w:val="nil"/>
              <w:insideH w:val="nil"/>
              <w:insideV w:val="nil"/>
            </w:tcBorders>
            <w:tcMar>
              <w:top w:w="40" w:type="dxa"/>
              <w:left w:w="80" w:type="dxa"/>
              <w:bottom w:w="40" w:type="dxa"/>
              <w:right w:w="80" w:type="dxa"/>
            </w:tcMar>
          </w:tcPr>
          <w:p w14:paraId="1AB6F240" w14:textId="77777777" w:rsidR="009262C4" w:rsidRDefault="00000000">
            <w:pPr>
              <w:spacing w:after="40" w:line="240" w:lineRule="auto"/>
              <w:jc w:val="left"/>
            </w:pPr>
            <w:r>
              <w:rPr>
                <w:rFonts w:ascii="Palatino Linotype" w:hAnsi="Palatino Linotype" w:cs="Palatino Linotype"/>
                <w:color w:val="000000"/>
                <w:sz w:val="19"/>
                <w:szCs w:val="17"/>
              </w:rPr>
              <w:t>Trust computing and privacy-preserving smart contracts for multi-site clinical trial data, in which a (t, n) investigator threshold signature governs trial admission to the ledger and consent revocation.</w:t>
            </w:r>
          </w:p>
        </w:tc>
        <w:tc>
          <w:tcPr>
            <w:tcW w:w="3964" w:type="dxa"/>
            <w:tcBorders>
              <w:top w:val="nil"/>
              <w:left w:val="nil"/>
              <w:bottom w:val="nil"/>
              <w:right w:val="nil"/>
              <w:insideH w:val="nil"/>
              <w:insideV w:val="nil"/>
            </w:tcBorders>
            <w:tcMar>
              <w:top w:w="40" w:type="dxa"/>
              <w:left w:w="80" w:type="dxa"/>
              <w:bottom w:w="40" w:type="dxa"/>
              <w:right w:w="80" w:type="dxa"/>
            </w:tcMar>
          </w:tcPr>
          <w:p w14:paraId="777836AC" w14:textId="77777777" w:rsidR="009262C4" w:rsidRDefault="00000000">
            <w:pPr>
              <w:spacing w:after="40" w:line="240" w:lineRule="auto"/>
              <w:jc w:val="left"/>
            </w:pPr>
            <w:r>
              <w:rPr>
                <w:rFonts w:ascii="Palatino Linotype" w:hAnsi="Palatino Linotype" w:cs="Palatino Linotype"/>
                <w:color w:val="000000"/>
                <w:sz w:val="19"/>
                <w:szCs w:val="17"/>
              </w:rPr>
              <w:t>The consent grant is unilateral, the voters are institution-side investigators, the vote reduces to a hash-integrity check, there is no policy engine, and there is no formal assurance.</w:t>
            </w:r>
          </w:p>
        </w:tc>
      </w:tr>
      <w:tr w:rsidR="009262C4" w14:paraId="292C28C5" w14:textId="77777777">
        <w:trPr>
          <w:cantSplit/>
        </w:trPr>
        <w:tc>
          <w:tcPr>
            <w:tcW w:w="1200" w:type="dxa"/>
            <w:tcBorders>
              <w:top w:val="nil"/>
              <w:left w:val="nil"/>
              <w:bottom w:val="nil"/>
              <w:right w:val="nil"/>
              <w:insideH w:val="nil"/>
              <w:insideV w:val="nil"/>
            </w:tcBorders>
            <w:tcMar>
              <w:top w:w="40" w:type="dxa"/>
              <w:left w:w="80" w:type="dxa"/>
              <w:bottom w:w="40" w:type="dxa"/>
              <w:right w:w="80" w:type="dxa"/>
            </w:tcMar>
          </w:tcPr>
          <w:p w14:paraId="0E100613" w14:textId="77777777" w:rsidR="009262C4" w:rsidRDefault="00000000">
            <w:pPr>
              <w:spacing w:after="40" w:line="240" w:lineRule="auto"/>
              <w:jc w:val="left"/>
            </w:pPr>
            <w:r>
              <w:rPr>
                <w:rFonts w:ascii="Palatino Linotype" w:hAnsi="Palatino Linotype" w:cs="Palatino Linotype"/>
                <w:color w:val="000000"/>
                <w:sz w:val="19"/>
                <w:szCs w:val="17"/>
              </w:rPr>
              <w:lastRenderedPageBreak/>
              <w:t>S25 Wu and Zhang (2025)</w:t>
            </w:r>
          </w:p>
        </w:tc>
        <w:tc>
          <w:tcPr>
            <w:tcW w:w="3964" w:type="dxa"/>
            <w:tcBorders>
              <w:top w:val="nil"/>
              <w:left w:val="nil"/>
              <w:bottom w:val="nil"/>
              <w:right w:val="nil"/>
              <w:insideH w:val="nil"/>
              <w:insideV w:val="nil"/>
            </w:tcBorders>
            <w:tcMar>
              <w:top w:w="40" w:type="dxa"/>
              <w:left w:w="80" w:type="dxa"/>
              <w:bottom w:w="40" w:type="dxa"/>
              <w:right w:w="80" w:type="dxa"/>
            </w:tcMar>
          </w:tcPr>
          <w:p w14:paraId="17C5B882" w14:textId="77777777" w:rsidR="009262C4" w:rsidRDefault="00000000">
            <w:pPr>
              <w:spacing w:after="40" w:line="240" w:lineRule="auto"/>
              <w:jc w:val="left"/>
            </w:pPr>
            <w:r>
              <w:rPr>
                <w:rFonts w:ascii="Palatino Linotype" w:hAnsi="Palatino Linotype" w:cs="Palatino Linotype"/>
                <w:color w:val="000000"/>
                <w:sz w:val="19"/>
                <w:szCs w:val="17"/>
              </w:rPr>
              <w:t>HealthDID, a DID-based privacy-preserving EMR sharing system with three game-based definitions and three theorems proved by reduction, in which a zero-knowledge proof binds the authorisation to a specific requester.</w:t>
            </w:r>
          </w:p>
        </w:tc>
        <w:tc>
          <w:tcPr>
            <w:tcW w:w="3964" w:type="dxa"/>
            <w:tcBorders>
              <w:top w:val="nil"/>
              <w:left w:val="nil"/>
              <w:bottom w:val="nil"/>
              <w:right w:val="nil"/>
              <w:insideH w:val="nil"/>
              <w:insideV w:val="nil"/>
            </w:tcBorders>
            <w:tcMar>
              <w:top w:w="40" w:type="dxa"/>
              <w:left w:w="80" w:type="dxa"/>
              <w:bottom w:w="40" w:type="dxa"/>
              <w:right w:w="80" w:type="dxa"/>
            </w:tcMar>
          </w:tcPr>
          <w:p w14:paraId="17441025" w14:textId="77777777" w:rsidR="009262C4" w:rsidRDefault="00000000">
            <w:pPr>
              <w:spacing w:after="40" w:line="240" w:lineRule="auto"/>
              <w:jc w:val="left"/>
            </w:pPr>
            <w:r>
              <w:rPr>
                <w:rFonts w:ascii="Palatino Linotype" w:hAnsi="Palatino Linotype" w:cs="Palatino Linotype"/>
                <w:color w:val="000000"/>
                <w:sz w:val="19"/>
                <w:szCs w:val="17"/>
              </w:rPr>
              <w:t>The proofs cover only the identity and authority fragment, multi-party refers to the privacy requirements of several stakeholders rather than joint approval, and there are no policy, temporal, or lifecycle conditions.</w:t>
            </w:r>
          </w:p>
        </w:tc>
      </w:tr>
    </w:tbl>
    <w:p w14:paraId="1E24D26E" w14:textId="77777777" w:rsidR="009262C4" w:rsidRDefault="009262C4">
      <w:pPr>
        <w:spacing w:after="160"/>
      </w:pPr>
    </w:p>
    <w:p>
      <w:pPr>
        <w:pStyle w:val="3"/>
      </w:pPr>
      <w:r>
        <w:t>2.4.7 Research Gaps in the Existing Studies from the Requirement Perspective</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Table 2.4 summarises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sz w:val="20"/>
          <w:szCs w:val="18"/>
        </w:rPr>
        <w:t xml:space="preserve">Table 2.4: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2340"/>
        <w:gridCol w:w="1131"/>
        <w:gridCol w:w="1131"/>
        <w:gridCol w:w="1131"/>
        <w:gridCol w:w="1131"/>
        <w:gridCol w:w="1131"/>
        <w:gridCol w:w="1133"/>
      </w:tblGrid>
      <w:tr w:rsidR="009262C4" w14:paraId="7BC8D64E" w14:textId="77777777">
        <w:trPr>
          <w:cantSplit/>
          <w:tblHeader/>
        </w:trPr>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spacing w:after="40" w:line="240" w:lineRule="auto"/>
              <w:jc w:val="left"/>
            </w:pPr>
            <w:r>
              <w:rPr>
                <w:rFonts w:ascii="Palatino Linotype" w:hAnsi="Palatino Linotype" w:cs="Palatino Linotype"/>
                <w:b/>
                <w:bCs/>
                <w:color w:val="000000"/>
                <w:sz w:val="19"/>
                <w:szCs w:val="17"/>
              </w:rPr>
              <w:t>Study</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spacing w:after="40" w:line="240" w:lineRule="auto"/>
              <w:jc w:val="left"/>
            </w:pPr>
            <w:r>
              <w:rPr>
                <w:rFonts w:ascii="Palatino Linotype" w:hAnsi="Palatino Linotype" w:cs="Palatino Linotype"/>
                <w:b/>
                <w:bCs/>
                <w:color w:val="000000"/>
                <w:sz w:val="19"/>
                <w:szCs w:val="17"/>
              </w:rPr>
              <w:t>Req 1</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spacing w:after="40" w:line="240" w:lineRule="auto"/>
              <w:jc w:val="left"/>
            </w:pPr>
            <w:r>
              <w:rPr>
                <w:rFonts w:ascii="Palatino Linotype" w:hAnsi="Palatino Linotype" w:cs="Palatino Linotype"/>
                <w:b/>
                <w:bCs/>
                <w:color w:val="000000"/>
                <w:sz w:val="19"/>
                <w:szCs w:val="17"/>
              </w:rPr>
              <w:t>Req 2</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spacing w:after="40" w:line="240" w:lineRule="auto"/>
              <w:jc w:val="left"/>
            </w:pPr>
            <w:r>
              <w:rPr>
                <w:rFonts w:ascii="Palatino Linotype" w:hAnsi="Palatino Linotype" w:cs="Palatino Linotype"/>
                <w:b/>
                <w:bCs/>
                <w:color w:val="000000"/>
                <w:sz w:val="19"/>
                <w:szCs w:val="17"/>
              </w:rPr>
              <w:t>Req 3</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spacing w:after="40" w:line="240" w:lineRule="auto"/>
              <w:jc w:val="left"/>
            </w:pPr>
            <w:r>
              <w:rPr>
                <w:rFonts w:ascii="Palatino Linotype" w:hAnsi="Palatino Linotype" w:cs="Palatino Linotype"/>
                <w:b/>
                <w:bCs/>
                <w:color w:val="000000"/>
                <w:sz w:val="19"/>
                <w:szCs w:val="17"/>
              </w:rPr>
              <w:t>Req 4</w:t>
            </w:r>
          </w:p>
        </w:tc>
        <w:tc>
          <w:tcPr>
            <w:tcW w:w="1131"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spacing w:after="40" w:line="240" w:lineRule="auto"/>
              <w:jc w:val="left"/>
            </w:pPr>
            <w:r>
              <w:rPr>
                <w:rFonts w:ascii="Palatino Linotype" w:hAnsi="Palatino Linotype" w:cs="Palatino Linotype"/>
                <w:b/>
                <w:bCs/>
                <w:color w:val="000000"/>
                <w:sz w:val="19"/>
                <w:szCs w:val="17"/>
              </w:rPr>
              <w:t>Req 5</w:t>
            </w:r>
          </w:p>
        </w:tc>
        <w:tc>
          <w:tcPr>
            <w:tcW w:w="1133"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1131"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1131"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1131"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1131"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1131"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1131"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1131"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3"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1131"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1131"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1131"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1131"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1131"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2340"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1131"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1131"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1"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1133"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Table 2.5 in 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Req 6 in Table 2.4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Synthesis of the review: the conjunction gap and the assurance gap addressed by the proposed framework, with the number of the 25 analysed studies graded Yes for each requirement in Table 2.4.</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in progress or partially completed will be completed in the next stage.</w:t>
      </w:r>
    </w:p>
    <w:p w14:paraId="2F3EC740" w14:textId="77777777" w:rsidR="009262C4" w:rsidRDefault="00000000">
      <w:pPr>
        <w:keepNext/>
        <w:spacing w:before="160" w:after="160"/>
        <w:jc w:val="center"/>
      </w:pPr>
      <w:r>
        <w:rPr>
          <w:b/>
          <w:bCs/>
          <w:sz w:val="20"/>
          <w:szCs w:val="18"/>
        </w:rPr>
        <w:t xml:space="preserve">Table 2.5: </w:t>
      </w:r>
      <w:r>
        <w:rPr>
          <w:sz w:val="20"/>
          <w:szCs w:val="18"/>
        </w:rPr>
        <w:t>How the proposed framework addresses the key requirements</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1350"/>
        <w:gridCol w:w="4478"/>
        <w:gridCol w:w="1500"/>
        <w:gridCol w:w="1800"/>
      </w:tblGrid>
      <w:tr w:rsidR="009262C4" w14:paraId="67BFD570" w14:textId="77777777">
        <w:trPr>
          <w:cantSplit/>
          <w:tblHeader/>
        </w:trPr>
        <w:tc>
          <w:tcPr>
            <w:tcW w:w="1350" w:type="dxa"/>
            <w:tcBorders>
              <w:top w:val="nil"/>
              <w:left w:val="nil"/>
              <w:bottom w:val="single" w:sz="6" w:color="000000" w:space="0"/>
              <w:right w:val="nil"/>
              <w:insideH w:val="nil"/>
              <w:insideV w:val="nil"/>
            </w:tcBorders>
            <w:tcMar>
              <w:top w:w="40" w:type="dxa"/>
              <w:left w:w="80" w:type="dxa"/>
              <w:bottom w:w="40" w:type="dxa"/>
              <w:right w:w="80" w:type="dxa"/>
            </w:tcMar>
          </w:tcPr>
          <w:p w14:paraId="166EBE1D" w14:textId="77777777" w:rsidR="009262C4" w:rsidRDefault="00000000">
            <w:pPr>
              <w:spacing w:after="40" w:line="240" w:lineRule="auto"/>
              <w:jc w:val="left"/>
            </w:pPr>
            <w:r>
              <w:rPr>
                <w:rFonts w:ascii="Palatino Linotype" w:hAnsi="Palatino Linotype" w:cs="Palatino Linotype"/>
                <w:b/>
                <w:bCs/>
                <w:color w:val="000000"/>
                <w:sz w:val="19"/>
                <w:szCs w:val="17"/>
              </w:rPr>
              <w:t>Requirement</w:t>
            </w:r>
          </w:p>
        </w:tc>
        <w:tc>
          <w:tcPr>
            <w:tcW w:w="4478" w:type="dxa"/>
            <w:tcBorders>
              <w:top w:val="nil"/>
              <w:left w:val="nil"/>
              <w:bottom w:val="single" w:sz="6" w:color="000000" w:space="0"/>
              <w:right w:val="nil"/>
              <w:insideH w:val="nil"/>
              <w:insideV w:val="nil"/>
            </w:tcBorders>
            <w:tcMar>
              <w:top w:w="40" w:type="dxa"/>
              <w:left w:w="80" w:type="dxa"/>
              <w:bottom w:w="40" w:type="dxa"/>
              <w:right w:w="80" w:type="dxa"/>
            </w:tcMar>
          </w:tcPr>
          <w:p w14:paraId="31802C89" w14:textId="77777777" w:rsidR="009262C4" w:rsidRDefault="00000000">
            <w:pPr>
              <w:spacing w:after="40" w:line="240" w:lineRule="auto"/>
              <w:jc w:val="left"/>
            </w:pPr>
            <w:r>
              <w:rPr>
                <w:rFonts w:ascii="Palatino Linotype" w:hAnsi="Palatino Linotype" w:cs="Palatino Linotype"/>
                <w:b/>
                <w:bCs/>
                <w:color w:val="000000"/>
                <w:sz w:val="19"/>
                <w:szCs w:val="17"/>
              </w:rPr>
              <w:t>How the proposed framework (HALAH) addresses it</w:t>
            </w:r>
          </w:p>
        </w:tc>
        <w:tc>
          <w:tcPr>
            <w:tcW w:w="1500" w:type="dxa"/>
            <w:tcBorders>
              <w:top w:val="nil"/>
              <w:left w:val="nil"/>
              <w:bottom w:val="single" w:sz="6" w:color="000000" w:space="0"/>
              <w:right w:val="nil"/>
              <w:insideH w:val="nil"/>
              <w:insideV w:val="nil"/>
            </w:tcBorders>
            <w:tcMar>
              <w:top w:w="40" w:type="dxa"/>
              <w:left w:w="80" w:type="dxa"/>
              <w:bottom w:w="40" w:type="dxa"/>
              <w:right w:w="80" w:type="dxa"/>
            </w:tcMar>
          </w:tcPr>
          <w:p w14:paraId="1D3960FC" w14:textId="77777777" w:rsidR="009262C4" w:rsidRDefault="00000000">
            <w:pPr>
              <w:spacing w:after="40" w:line="240" w:lineRule="auto"/>
              <w:jc w:val="left"/>
            </w:pPr>
            <w:r>
              <w:rPr>
                <w:rFonts w:ascii="Palatino Linotype" w:hAnsi="Palatino Linotype" w:cs="Palatino Linotype"/>
                <w:b/>
                <w:bCs/>
                <w:color w:val="000000"/>
                <w:sz w:val="19"/>
                <w:szCs w:val="17"/>
              </w:rPr>
              <w:t>Objective</w:t>
            </w:r>
          </w:p>
        </w:tc>
        <w:tc>
          <w:tcPr>
            <w:tcW w:w="1800" w:type="dxa"/>
            <w:tcBorders>
              <w:top w:val="nil"/>
              <w:left w:val="nil"/>
              <w:bottom w:val="single" w:sz="6" w:color="000000" w:space="0"/>
              <w:right w:val="nil"/>
              <w:insideH w:val="nil"/>
              <w:insideV w:val="nil"/>
            </w:tcBorders>
            <w:tcMar>
              <w:top w:w="40" w:type="dxa"/>
              <w:left w:w="80" w:type="dxa"/>
              <w:bottom w:w="40" w:type="dxa"/>
              <w:right w:w="80" w:type="dxa"/>
            </w:tcMar>
          </w:tcPr>
          <w:p w14:paraId="3D4A5586" w14:textId="77777777" w:rsidR="009262C4" w:rsidRDefault="00000000">
            <w:pPr>
              <w:spacing w:after="40" w:line="240" w:lineRule="auto"/>
              <w:jc w:val="left"/>
            </w:pPr>
            <w:r>
              <w:rPr>
                <w:rFonts w:ascii="Palatino Linotype" w:hAnsi="Palatino Linotype" w:cs="Palatino Linotype"/>
                <w:b/>
                <w:bCs/>
                <w:color w:val="000000"/>
                <w:sz w:val="19"/>
                <w:szCs w:val="17"/>
              </w:rPr>
              <w:t>Status</w:t>
            </w:r>
          </w:p>
        </w:tc>
      </w:tr>
      <w:tr w:rsidR="009262C4" w14:paraId="6F4964BE"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456C08C6" w14:textId="77777777" w:rsidR="009262C4" w:rsidRDefault="00000000">
            <w:pPr>
              <w:spacing w:after="40" w:line="240" w:lineRule="auto"/>
              <w:jc w:val="left"/>
            </w:pPr>
            <w:r>
              <w:rPr>
                <w:rFonts w:ascii="Palatino Linotype" w:hAnsi="Palatino Linotype" w:cs="Palatino Linotype"/>
                <w:color w:val="000000"/>
                <w:sz w:val="19"/>
                <w:szCs w:val="17"/>
              </w:rPr>
              <w:t>Req 1</w:t>
            </w:r>
          </w:p>
        </w:tc>
        <w:tc>
          <w:tcPr>
            <w:tcW w:w="4478" w:type="dxa"/>
            <w:tcBorders>
              <w:top w:val="nil"/>
              <w:left w:val="nil"/>
              <w:bottom w:val="nil"/>
              <w:right w:val="nil"/>
              <w:insideH w:val="nil"/>
              <w:insideV w:val="nil"/>
            </w:tcBorders>
            <w:tcMar>
              <w:top w:w="40" w:type="dxa"/>
              <w:left w:w="80" w:type="dxa"/>
              <w:bottom w:w="40" w:type="dxa"/>
              <w:right w:w="80" w:type="dxa"/>
            </w:tcMar>
          </w:tcPr>
          <w:p w14:paraId="5C995AA9" w14:textId="77777777" w:rsidR="009262C4" w:rsidRDefault="00000000">
            <w:pPr>
              <w:spacing w:after="40" w:line="240" w:lineRule="auto"/>
              <w:jc w:val="left"/>
            </w:pPr>
            <w:r>
              <w:rPr>
                <w:rFonts w:ascii="Palatino Linotype" w:hAnsi="Palatino Linotype" w:cs="Palatino Linotype"/>
                <w:color w:val="000000"/>
                <w:sz w:val="19"/>
                <w:szCs w:val="17"/>
              </w:rPr>
              <w:t>Consent is represented as the evaluable object C = (I, A, P, T, L, E), created through Algorithm 1 and evaluated at every access request.</w:t>
            </w:r>
          </w:p>
        </w:tc>
        <w:tc>
          <w:tcPr>
            <w:tcW w:w="1500" w:type="dxa"/>
            <w:tcBorders>
              <w:top w:val="nil"/>
              <w:left w:val="nil"/>
              <w:bottom w:val="nil"/>
              <w:right w:val="nil"/>
              <w:insideH w:val="nil"/>
              <w:insideV w:val="nil"/>
            </w:tcBorders>
            <w:tcMar>
              <w:top w:w="40" w:type="dxa"/>
              <w:left w:w="80" w:type="dxa"/>
              <w:bottom w:w="40" w:type="dxa"/>
              <w:right w:w="80" w:type="dxa"/>
            </w:tcMar>
          </w:tcPr>
          <w:p w14:paraId="0237F138" w14:textId="77777777" w:rsidR="009262C4" w:rsidRDefault="00000000">
            <w:pPr>
              <w:spacing w:after="40" w:line="240" w:lineRule="auto"/>
              <w:jc w:val="left"/>
            </w:pPr>
            <w:r>
              <w:rPr>
                <w:rFonts w:ascii="Palatino Linotype" w:hAnsi="Palatino Linotype" w:cs="Palatino Linotype"/>
                <w:color w:val="000000"/>
                <w:sz w:val="19"/>
                <w:szCs w:val="17"/>
              </w:rPr>
              <w:t>RO1 (Section 6)</w:t>
            </w:r>
          </w:p>
        </w:tc>
        <w:tc>
          <w:tcPr>
            <w:tcW w:w="1800" w:type="dxa"/>
            <w:tcBorders>
              <w:top w:val="nil"/>
              <w:left w:val="nil"/>
              <w:bottom w:val="nil"/>
              <w:right w:val="nil"/>
              <w:insideH w:val="nil"/>
              <w:insideV w:val="nil"/>
            </w:tcBorders>
            <w:tcMar>
              <w:top w:w="40" w:type="dxa"/>
              <w:left w:w="80" w:type="dxa"/>
              <w:bottom w:w="40" w:type="dxa"/>
              <w:right w:w="80" w:type="dxa"/>
            </w:tcMar>
          </w:tcPr>
          <w:p w14:paraId="372DB36E"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43901F3F"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6DAABF70" w14:textId="77777777" w:rsidR="009262C4" w:rsidRDefault="00000000">
            <w:pPr>
              <w:spacing w:after="40" w:line="240" w:lineRule="auto"/>
              <w:jc w:val="left"/>
            </w:pPr>
            <w:r>
              <w:rPr>
                <w:rFonts w:ascii="Palatino Linotype" w:hAnsi="Palatino Linotype" w:cs="Palatino Linotype"/>
                <w:color w:val="000000"/>
                <w:sz w:val="19"/>
                <w:szCs w:val="17"/>
              </w:rPr>
              <w:t>Req 2</w:t>
            </w:r>
          </w:p>
        </w:tc>
        <w:tc>
          <w:tcPr>
            <w:tcW w:w="4478" w:type="dxa"/>
            <w:tcBorders>
              <w:top w:val="nil"/>
              <w:left w:val="nil"/>
              <w:bottom w:val="nil"/>
              <w:right w:val="nil"/>
              <w:insideH w:val="nil"/>
              <w:insideV w:val="nil"/>
            </w:tcBorders>
            <w:tcMar>
              <w:top w:w="40" w:type="dxa"/>
              <w:left w:w="80" w:type="dxa"/>
              <w:bottom w:w="40" w:type="dxa"/>
              <w:right w:w="80" w:type="dxa"/>
            </w:tcMar>
          </w:tcPr>
          <w:p w14:paraId="4A7F139D" w14:textId="77777777" w:rsidR="009262C4" w:rsidRDefault="00000000">
            <w:pPr>
              <w:spacing w:after="40" w:line="240" w:lineRule="auto"/>
              <w:jc w:val="left"/>
            </w:pPr>
            <w:r>
              <w:rPr>
                <w:rFonts w:ascii="Palatino Linotype" w:hAnsi="Palatino Linotype" w:cs="Palatino Linotype"/>
                <w:color w:val="000000"/>
                <w:sz w:val="19"/>
                <w:szCs w:val="17"/>
              </w:rPr>
              <w:t>DID and VC verification separates identity from authority and is evaluated as V</w:t>
            </w:r>
            <w:r>
              <w:rPr>
                <w:rFonts w:ascii="Palatino Linotype" w:hAnsi="Palatino Linotype" w:cs="Palatino Linotype"/>
                <w:color w:val="000000"/>
                <w:sz w:val="19"/>
                <w:szCs w:val="17"/>
                <w:vertAlign w:val="subscript"/>
              </w:rPr>
              <w:t>I</w:t>
            </w:r>
            <w:r>
              <w:rPr>
                <w:rFonts w:ascii="Palatino Linotype" w:hAnsi="Palatino Linotype" w:cs="Palatino Linotype"/>
                <w:color w:val="000000"/>
                <w:sz w:val="19"/>
                <w:szCs w:val="17"/>
              </w:rPr>
              <w:t xml:space="preserve"> through Algorithm 2. The prototype checks the DID format, verifies each guardian's credential before the signature is added, and verifies the requesting doctor's credential at every access request. Full DID resolution is planned for the next stage.</w:t>
            </w:r>
          </w:p>
        </w:tc>
        <w:tc>
          <w:tcPr>
            <w:tcW w:w="1500" w:type="dxa"/>
            <w:tcBorders>
              <w:top w:val="nil"/>
              <w:left w:val="nil"/>
              <w:bottom w:val="nil"/>
              <w:right w:val="nil"/>
              <w:insideH w:val="nil"/>
              <w:insideV w:val="nil"/>
            </w:tcBorders>
            <w:tcMar>
              <w:top w:w="40" w:type="dxa"/>
              <w:left w:w="80" w:type="dxa"/>
              <w:bottom w:w="40" w:type="dxa"/>
              <w:right w:w="80" w:type="dxa"/>
            </w:tcMar>
          </w:tcPr>
          <w:p w14:paraId="0820457B" w14:textId="77777777" w:rsidR="009262C4" w:rsidRDefault="00000000">
            <w:pPr>
              <w:spacing w:after="40" w:line="240" w:lineRule="auto"/>
              <w:jc w:val="left"/>
            </w:pPr>
            <w:r>
              <w:rPr>
                <w:rFonts w:ascii="Palatino Linotype" w:hAnsi="Palatino Linotype" w:cs="Palatino Linotype"/>
                <w:color w:val="000000"/>
                <w:sz w:val="19"/>
                <w:szCs w:val="17"/>
              </w:rPr>
              <w:t>RO2 (Section 7)</w:t>
            </w:r>
          </w:p>
        </w:tc>
        <w:tc>
          <w:tcPr>
            <w:tcW w:w="1800" w:type="dxa"/>
            <w:tcBorders>
              <w:top w:val="nil"/>
              <w:left w:val="nil"/>
              <w:bottom w:val="nil"/>
              <w:right w:val="nil"/>
              <w:insideH w:val="nil"/>
              <w:insideV w:val="nil"/>
            </w:tcBorders>
            <w:tcMar>
              <w:top w:w="40" w:type="dxa"/>
              <w:left w:w="80" w:type="dxa"/>
              <w:bottom w:w="40" w:type="dxa"/>
              <w:right w:w="80" w:type="dxa"/>
            </w:tcMar>
          </w:tcPr>
          <w:p w14:paraId="5916322F"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68CE953D"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0B0B9C7D" w14:textId="77777777" w:rsidR="009262C4" w:rsidRDefault="00000000">
            <w:pPr>
              <w:spacing w:after="40" w:line="240" w:lineRule="auto"/>
              <w:jc w:val="left"/>
            </w:pPr>
            <w:r>
              <w:rPr>
                <w:rFonts w:ascii="Palatino Linotype" w:hAnsi="Palatino Linotype" w:cs="Palatino Linotype"/>
                <w:color w:val="000000"/>
                <w:sz w:val="19"/>
                <w:szCs w:val="17"/>
              </w:rPr>
              <w:t>Req 3</w:t>
            </w:r>
          </w:p>
        </w:tc>
        <w:tc>
          <w:tcPr>
            <w:tcW w:w="4478" w:type="dxa"/>
            <w:tcBorders>
              <w:top w:val="nil"/>
              <w:left w:val="nil"/>
              <w:bottom w:val="nil"/>
              <w:right w:val="nil"/>
              <w:insideH w:val="nil"/>
              <w:insideV w:val="nil"/>
            </w:tcBorders>
            <w:tcMar>
              <w:top w:w="40" w:type="dxa"/>
              <w:left w:w="80" w:type="dxa"/>
              <w:bottom w:w="40" w:type="dxa"/>
              <w:right w:w="80" w:type="dxa"/>
            </w:tcMar>
          </w:tcPr>
          <w:p w14:paraId="577F30C4" w14:textId="77777777" w:rsidR="009262C4" w:rsidRDefault="00000000">
            <w:pPr>
              <w:spacing w:after="40" w:line="240" w:lineRule="auto"/>
              <w:jc w:val="left"/>
            </w:pPr>
            <w:r>
              <w:rPr>
                <w:rFonts w:ascii="Palatino Linotype" w:hAnsi="Palatino Linotype" w:cs="Palatino Linotype"/>
                <w:color w:val="000000"/>
                <w:sz w:val="19"/>
                <w:szCs w:val="17"/>
              </w:rPr>
              <w:t xml:space="preserve">N-of-N approval by the guardian set G with EIP-712 guardian signatures (Bloemen, Logvinov &amp; Evans 2017), evaluated as V</w:t>
            </w:r>
            <w:r>
              <w:rPr>
                <w:rFonts w:ascii="Palatino Linotype" w:hAnsi="Palatino Linotype" w:cs="Palatino Linotype"/>
                <w:color w:val="000000"/>
                <w:sz w:val="19"/>
                <w:szCs w:val="17"/>
                <w:vertAlign w:val="subscript"/>
              </w:rPr>
              <w:t>A</w:t>
            </w:r>
            <w:r>
              <w:rPr>
                <w:rFonts w:ascii="Palatino Linotype" w:hAnsi="Palatino Linotype" w:cs="Palatino Linotype"/>
                <w:color w:val="000000"/>
                <w:sz w:val="19"/>
                <w:szCs w:val="17"/>
              </w:rPr>
              <w:t xml:space="preserve"> through Algorithm 3.</w:t>
            </w:r>
          </w:p>
        </w:tc>
        <w:tc>
          <w:tcPr>
            <w:tcW w:w="1500" w:type="dxa"/>
            <w:tcBorders>
              <w:top w:val="nil"/>
              <w:left w:val="nil"/>
              <w:bottom w:val="nil"/>
              <w:right w:val="nil"/>
              <w:insideH w:val="nil"/>
              <w:insideV w:val="nil"/>
            </w:tcBorders>
            <w:tcMar>
              <w:top w:w="40" w:type="dxa"/>
              <w:left w:w="80" w:type="dxa"/>
              <w:bottom w:w="40" w:type="dxa"/>
              <w:right w:w="80" w:type="dxa"/>
            </w:tcMar>
          </w:tcPr>
          <w:p w14:paraId="457EA260" w14:textId="77777777" w:rsidR="009262C4" w:rsidRDefault="00000000">
            <w:pPr>
              <w:spacing w:after="40" w:line="240" w:lineRule="auto"/>
              <w:jc w:val="left"/>
            </w:pPr>
            <w:r>
              <w:rPr>
                <w:rFonts w:ascii="Palatino Linotype" w:hAnsi="Palatino Linotype" w:cs="Palatino Linotype"/>
                <w:color w:val="000000"/>
                <w:sz w:val="19"/>
                <w:szCs w:val="17"/>
              </w:rPr>
              <w:t>RO3 (Section 8)</w:t>
            </w:r>
          </w:p>
        </w:tc>
        <w:tc>
          <w:tcPr>
            <w:tcW w:w="1800" w:type="dxa"/>
            <w:tcBorders>
              <w:top w:val="nil"/>
              <w:left w:val="nil"/>
              <w:bottom w:val="nil"/>
              <w:right w:val="nil"/>
              <w:insideH w:val="nil"/>
              <w:insideV w:val="nil"/>
            </w:tcBorders>
            <w:tcMar>
              <w:top w:w="40" w:type="dxa"/>
              <w:left w:w="80" w:type="dxa"/>
              <w:bottom w:w="40" w:type="dxa"/>
              <w:right w:w="80" w:type="dxa"/>
            </w:tcMar>
          </w:tcPr>
          <w:p w14:paraId="2628082E"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538B5227"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58403EC5" w14:textId="77777777" w:rsidR="009262C4" w:rsidRDefault="00000000">
            <w:pPr>
              <w:spacing w:after="40" w:line="240" w:lineRule="auto"/>
              <w:jc w:val="left"/>
            </w:pPr>
            <w:r>
              <w:rPr>
                <w:rFonts w:ascii="Palatino Linotype" w:hAnsi="Palatino Linotype" w:cs="Palatino Linotype"/>
                <w:color w:val="000000"/>
                <w:sz w:val="19"/>
                <w:szCs w:val="17"/>
              </w:rPr>
              <w:t>Req 4</w:t>
            </w:r>
          </w:p>
        </w:tc>
        <w:tc>
          <w:tcPr>
            <w:tcW w:w="4478" w:type="dxa"/>
            <w:tcBorders>
              <w:top w:val="nil"/>
              <w:left w:val="nil"/>
              <w:bottom w:val="nil"/>
              <w:right w:val="nil"/>
              <w:insideH w:val="nil"/>
              <w:insideV w:val="nil"/>
            </w:tcBorders>
            <w:tcMar>
              <w:top w:w="40" w:type="dxa"/>
              <w:left w:w="80" w:type="dxa"/>
              <w:bottom w:w="40" w:type="dxa"/>
              <w:right w:w="80" w:type="dxa"/>
            </w:tcMar>
          </w:tcPr>
          <w:p w14:paraId="33B4DDD7" w14:textId="77777777" w:rsidR="009262C4" w:rsidRDefault="00000000">
            <w:pPr>
              <w:spacing w:after="40" w:line="240" w:lineRule="auto"/>
              <w:jc w:val="left"/>
            </w:pPr>
            <w:r>
              <w:rPr>
                <w:rFonts w:ascii="Palatino Linotype" w:hAnsi="Palatino Linotype" w:cs="Palatino Linotype"/>
                <w:color w:val="000000"/>
                <w:sz w:val="19"/>
                <w:szCs w:val="17"/>
              </w:rPr>
              <w:t>Purpose and a non-empty data scope within the consent are evaluated as V</w:t>
            </w:r>
            <w:r>
              <w:rPr>
                <w:rFonts w:ascii="Palatino Linotype" w:hAnsi="Palatino Linotype" w:cs="Palatino Linotype"/>
                <w:color w:val="000000"/>
                <w:sz w:val="19"/>
                <w:szCs w:val="17"/>
                <w:vertAlign w:val="subscript"/>
              </w:rPr>
              <w:t>P</w:t>
            </w:r>
            <w:r>
              <w:rPr>
                <w:rFonts w:ascii="Palatino Linotype" w:hAnsi="Palatino Linotype" w:cs="Palatino Linotype"/>
                <w:color w:val="000000"/>
                <w:sz w:val="19"/>
                <w:szCs w:val="17"/>
              </w:rPr>
              <w:t xml:space="preserve"> through Algorithm 4.</w:t>
            </w:r>
          </w:p>
        </w:tc>
        <w:tc>
          <w:tcPr>
            <w:tcW w:w="1500" w:type="dxa"/>
            <w:tcBorders>
              <w:top w:val="nil"/>
              <w:left w:val="nil"/>
              <w:bottom w:val="nil"/>
              <w:right w:val="nil"/>
              <w:insideH w:val="nil"/>
              <w:insideV w:val="nil"/>
            </w:tcBorders>
            <w:tcMar>
              <w:top w:w="40" w:type="dxa"/>
              <w:left w:w="80" w:type="dxa"/>
              <w:bottom w:w="40" w:type="dxa"/>
              <w:right w:w="80" w:type="dxa"/>
            </w:tcMar>
          </w:tcPr>
          <w:p w14:paraId="3CAF4584" w14:textId="77777777" w:rsidR="009262C4" w:rsidRDefault="00000000">
            <w:pPr>
              <w:spacing w:after="40" w:line="240" w:lineRule="auto"/>
              <w:jc w:val="left"/>
            </w:pPr>
            <w:r>
              <w:rPr>
                <w:rFonts w:ascii="Palatino Linotype" w:hAnsi="Palatino Linotype" w:cs="Palatino Linotype"/>
                <w:color w:val="000000"/>
                <w:sz w:val="19"/>
                <w:szCs w:val="17"/>
              </w:rPr>
              <w:t>RO4 (Section 9)</w:t>
            </w:r>
          </w:p>
        </w:tc>
        <w:tc>
          <w:tcPr>
            <w:tcW w:w="1800" w:type="dxa"/>
            <w:tcBorders>
              <w:top w:val="nil"/>
              <w:left w:val="nil"/>
              <w:bottom w:val="nil"/>
              <w:right w:val="nil"/>
              <w:insideH w:val="nil"/>
              <w:insideV w:val="nil"/>
            </w:tcBorders>
            <w:tcMar>
              <w:top w:w="40" w:type="dxa"/>
              <w:left w:w="80" w:type="dxa"/>
              <w:bottom w:w="40" w:type="dxa"/>
              <w:right w:w="80" w:type="dxa"/>
            </w:tcMar>
          </w:tcPr>
          <w:p w14:paraId="2B0AAC93" w14:textId="77777777" w:rsidR="009262C4" w:rsidRDefault="00000000">
            <w:pPr>
              <w:spacing w:after="40" w:line="240" w:lineRule="auto"/>
              <w:jc w:val="left"/>
            </w:pPr>
            <w:r>
              <w:rPr>
                <w:rFonts w:ascii="Palatino Linotype" w:hAnsi="Palatino Linotype" w:cs="Palatino Linotype"/>
                <w:color w:val="000000"/>
                <w:sz w:val="19"/>
                <w:szCs w:val="17"/>
              </w:rPr>
              <w:t>Done</w:t>
            </w:r>
          </w:p>
        </w:tc>
      </w:tr>
      <w:tr w:rsidR="009262C4" w14:paraId="50E02140"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22DB7856" w14:textId="77777777" w:rsidR="009262C4" w:rsidRDefault="00000000">
            <w:pPr>
              <w:spacing w:after="40" w:line="240" w:lineRule="auto"/>
              <w:jc w:val="left"/>
            </w:pPr>
            <w:r>
              <w:rPr>
                <w:rFonts w:ascii="Palatino Linotype" w:hAnsi="Palatino Linotype" w:cs="Palatino Linotype"/>
                <w:color w:val="000000"/>
                <w:sz w:val="19"/>
                <w:szCs w:val="17"/>
              </w:rPr>
              <w:t>Req 5</w:t>
            </w:r>
          </w:p>
        </w:tc>
        <w:tc>
          <w:tcPr>
            <w:tcW w:w="4478" w:type="dxa"/>
            <w:tcBorders>
              <w:top w:val="nil"/>
              <w:left w:val="nil"/>
              <w:bottom w:val="nil"/>
              <w:right w:val="nil"/>
              <w:insideH w:val="nil"/>
              <w:insideV w:val="nil"/>
            </w:tcBorders>
            <w:tcMar>
              <w:top w:w="40" w:type="dxa"/>
              <w:left w:w="80" w:type="dxa"/>
              <w:bottom w:w="40" w:type="dxa"/>
              <w:right w:w="80" w:type="dxa"/>
            </w:tcMar>
          </w:tcPr>
          <w:p w14:paraId="58A450BC" w14:textId="77777777" w:rsidR="009262C4" w:rsidRDefault="00000000">
            <w:pPr>
              <w:spacing w:after="40" w:line="240" w:lineRule="auto"/>
              <w:jc w:val="left"/>
            </w:pPr>
            <w:r>
              <w:rPr>
                <w:rFonts w:ascii="Palatino Linotype" w:hAnsi="Palatino Linotype" w:cs="Palatino Linotype"/>
                <w:color w:val="000000"/>
                <w:sz w:val="19"/>
                <w:szCs w:val="17"/>
              </w:rPr>
              <w:t>The validity window V</w:t>
            </w:r>
            <w:r>
              <w:rPr>
                <w:rFonts w:ascii="Palatino Linotype" w:hAnsi="Palatino Linotype" w:cs="Palatino Linotype"/>
                <w:color w:val="000000"/>
                <w:sz w:val="19"/>
                <w:szCs w:val="17"/>
                <w:vertAlign w:val="subscript"/>
              </w:rPr>
              <w:t>T</w:t>
            </w:r>
            <w:r>
              <w:rPr>
                <w:rFonts w:ascii="Palatino Linotype" w:hAnsi="Palatino Linotype" w:cs="Palatino Linotype"/>
                <w:color w:val="000000"/>
                <w:sz w:val="19"/>
                <w:szCs w:val="17"/>
              </w:rPr>
              <w:t xml:space="preserve">, revocation, the lifecycle states, and the on-chain revocation on Sepolia are implemented, as specified in Algorithm 5. The SUSPENDED state and the lifecycle transition check are not yet implemented.</w:t>
            </w:r>
          </w:p>
        </w:tc>
        <w:tc>
          <w:tcPr>
            <w:tcW w:w="1500" w:type="dxa"/>
            <w:tcBorders>
              <w:top w:val="nil"/>
              <w:left w:val="nil"/>
              <w:bottom w:val="nil"/>
              <w:right w:val="nil"/>
              <w:insideH w:val="nil"/>
              <w:insideV w:val="nil"/>
            </w:tcBorders>
            <w:tcMar>
              <w:top w:w="40" w:type="dxa"/>
              <w:left w:w="80" w:type="dxa"/>
              <w:bottom w:w="40" w:type="dxa"/>
              <w:right w:w="80" w:type="dxa"/>
            </w:tcMar>
          </w:tcPr>
          <w:p w14:paraId="32BA1FCE" w14:textId="77777777" w:rsidR="009262C4" w:rsidRDefault="00000000">
            <w:pPr>
              <w:spacing w:after="40" w:line="240" w:lineRule="auto"/>
              <w:jc w:val="left"/>
            </w:pPr>
            <w:r>
              <w:rPr>
                <w:rFonts w:ascii="Palatino Linotype" w:hAnsi="Palatino Linotype" w:cs="Palatino Linotype"/>
                <w:color w:val="000000"/>
                <w:sz w:val="19"/>
                <w:szCs w:val="17"/>
              </w:rPr>
              <w:t>RO5 (Section 10)</w:t>
            </w:r>
          </w:p>
        </w:tc>
        <w:tc>
          <w:tcPr>
            <w:tcW w:w="1800" w:type="dxa"/>
            <w:tcBorders>
              <w:top w:val="nil"/>
              <w:left w:val="nil"/>
              <w:bottom w:val="nil"/>
              <w:right w:val="nil"/>
              <w:insideH w:val="nil"/>
              <w:insideV w:val="nil"/>
            </w:tcBorders>
            <w:tcMar>
              <w:top w:w="40" w:type="dxa"/>
              <w:left w:w="80" w:type="dxa"/>
              <w:bottom w:w="40" w:type="dxa"/>
              <w:right w:w="80" w:type="dxa"/>
            </w:tcMar>
          </w:tcPr>
          <w:p w14:paraId="2962DDB5" w14:textId="77777777" w:rsidR="009262C4" w:rsidRDefault="00000000">
            <w:pPr>
              <w:spacing w:after="40" w:line="240" w:lineRule="auto"/>
              <w:jc w:val="left"/>
            </w:pPr>
            <w:r>
              <w:rPr>
                <w:rFonts w:ascii="Palatino Linotype" w:hAnsi="Palatino Linotype" w:cs="Palatino Linotype"/>
                <w:color w:val="000000"/>
                <w:sz w:val="19"/>
                <w:szCs w:val="17"/>
              </w:rPr>
              <w:t>In Progress</w:t>
            </w:r>
          </w:p>
        </w:tc>
      </w:tr>
      <w:tr w:rsidR="009262C4" w14:paraId="6F6EEE5B" w14:textId="77777777">
        <w:trPr>
          <w:cantSplit/>
        </w:trPr>
        <w:tc>
          <w:tcPr>
            <w:tcW w:w="1350" w:type="dxa"/>
            <w:tcBorders>
              <w:top w:val="nil"/>
              <w:left w:val="nil"/>
              <w:bottom w:val="nil"/>
              <w:right w:val="nil"/>
              <w:insideH w:val="nil"/>
              <w:insideV w:val="nil"/>
            </w:tcBorders>
            <w:tcMar>
              <w:top w:w="40" w:type="dxa"/>
              <w:left w:w="80" w:type="dxa"/>
              <w:bottom w:w="40" w:type="dxa"/>
              <w:right w:w="80" w:type="dxa"/>
            </w:tcMar>
          </w:tcPr>
          <w:p w14:paraId="41686C71" w14:textId="77777777" w:rsidR="009262C4" w:rsidRDefault="00000000">
            <w:pPr>
              <w:spacing w:after="40" w:line="240" w:lineRule="auto"/>
              <w:jc w:val="left"/>
            </w:pPr>
            <w:r>
              <w:rPr>
                <w:rFonts w:ascii="Palatino Linotype" w:hAnsi="Palatino Linotype" w:cs="Palatino Linotype"/>
                <w:color w:val="000000"/>
                <w:sz w:val="19"/>
                <w:szCs w:val="17"/>
              </w:rPr>
              <w:lastRenderedPageBreak/>
              <w:t>Req 6</w:t>
            </w:r>
          </w:p>
        </w:tc>
        <w:tc>
          <w:tcPr>
            <w:tcW w:w="4478" w:type="dxa"/>
            <w:tcBorders>
              <w:top w:val="nil"/>
              <w:left w:val="nil"/>
              <w:bottom w:val="nil"/>
              <w:right w:val="nil"/>
              <w:insideH w:val="nil"/>
              <w:insideV w:val="nil"/>
            </w:tcBorders>
            <w:tcMar>
              <w:top w:w="40" w:type="dxa"/>
              <w:left w:w="80" w:type="dxa"/>
              <w:bottom w:w="40" w:type="dxa"/>
              <w:right w:w="80" w:type="dxa"/>
            </w:tcMar>
          </w:tcPr>
          <w:p w14:paraId="5E14FCDF" w14:textId="77777777" w:rsidR="009262C4" w:rsidRDefault="00000000">
            <w:pPr>
              <w:spacing w:after="40" w:line="240" w:lineRule="auto"/>
              <w:jc w:val="left"/>
            </w:pPr>
            <w:r>
              <w:rPr>
                <w:rFonts w:ascii="Palatino Linotype" w:hAnsi="Palatino Linotype" w:cs="Palatino Linotype"/>
                <w:color w:val="000000"/>
                <w:sz w:val="19"/>
                <w:szCs w:val="17"/>
              </w:rPr>
              <w:t>Audit ledger evidence and 46 automated tests, including twelve attack scenarios A1 to A12. The testing part of Algorithm 6 is done. Formal analysis is left for the next stage.</w:t>
            </w:r>
          </w:p>
        </w:tc>
        <w:tc>
          <w:tcPr>
            <w:tcW w:w="1500" w:type="dxa"/>
            <w:tcBorders>
              <w:top w:val="nil"/>
              <w:left w:val="nil"/>
              <w:bottom w:val="nil"/>
              <w:right w:val="nil"/>
              <w:insideH w:val="nil"/>
              <w:insideV w:val="nil"/>
            </w:tcBorders>
            <w:tcMar>
              <w:top w:w="40" w:type="dxa"/>
              <w:left w:w="80" w:type="dxa"/>
              <w:bottom w:w="40" w:type="dxa"/>
              <w:right w:w="80" w:type="dxa"/>
            </w:tcMar>
          </w:tcPr>
          <w:p w14:paraId="6635DE56" w14:textId="77777777" w:rsidR="009262C4" w:rsidRDefault="00000000">
            <w:pPr>
              <w:spacing w:after="40" w:line="240" w:lineRule="auto"/>
              <w:jc w:val="left"/>
            </w:pPr>
            <w:r>
              <w:rPr>
                <w:rFonts w:ascii="Palatino Linotype" w:hAnsi="Palatino Linotype" w:cs="Palatino Linotype"/>
                <w:color w:val="000000"/>
                <w:sz w:val="19"/>
                <w:szCs w:val="17"/>
              </w:rPr>
              <w:t>RO6 (Section 11)</w:t>
            </w:r>
          </w:p>
        </w:tc>
        <w:tc>
          <w:tcPr>
            <w:tcW w:w="1800" w:type="dxa"/>
            <w:tcBorders>
              <w:top w:val="nil"/>
              <w:left w:val="nil"/>
              <w:bottom w:val="nil"/>
              <w:right w:val="nil"/>
              <w:insideH w:val="nil"/>
              <w:insideV w:val="nil"/>
            </w:tcBorders>
            <w:tcMar>
              <w:top w:w="40" w:type="dxa"/>
              <w:left w:w="80" w:type="dxa"/>
              <w:bottom w:w="40" w:type="dxa"/>
              <w:right w:w="80" w:type="dxa"/>
            </w:tcMar>
          </w:tcPr>
          <w:p w14:paraId="3B9F7597"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0DBB045C" w14:textId="77777777" w:rsidR="009262C4" w:rsidRDefault="009262C4">
      <w:pPr>
        <w:spacing w:after="160"/>
      </w:pPr>
    </w:p>
    <w:p>
      <w:pPr>
        <w:pStyle w:val="3"/>
      </w:pPr>
      <w:r>
        <w:rPr>
          <w:highlight w:val="yellow"/>
        </w:rPr>
        <w:t>2.5.1 Representation of Consent as an Evaluable Authorisation Object (Req 1)</w:t>
      </w:r>
    </w:p>
    <w:p>
      <w:pPr>
        <w:pStyle w:val="3"/>
      </w:pPr>
      <w:r>
        <w:rPr>
          <w:highlight w:val="yellow"/>
        </w:rPr>
        <w:t>2.5.2 Decentralised Verification of Identity and Authority (Req 2)</w:t>
      </w:r>
    </w:p>
    <w:p>
      <w:pPr>
        <w:pStyle w:val="3"/>
      </w:pPr>
      <w:r>
        <w:rPr>
          <w:highlight w:val="yellow"/>
        </w:rPr>
        <w:t>2.5.3 Multi-Party Authorisation through a Verifiable Threshold (Req 3)</w:t>
      </w:r>
    </w:p>
    <w:p>
      <w:pPr>
        <w:pStyle w:val="3"/>
      </w:pPr>
      <w:r>
        <w:rPr>
          <w:highlight w:val="yellow"/>
        </w:rPr>
        <w:t>2.5.4 Policy- and Context-Aware Enforcement at the Time of Access (Req 4)</w:t>
      </w:r>
    </w:p>
    <w:p>
      <w:pPr>
        <w:pStyle w:val="3"/>
      </w:pPr>
      <w:r>
        <w:rPr>
          <w:highlight w:val="yellow"/>
        </w:rPr>
        <w:t>2.5.5 Temporal Validity and Lifecycle Control of Consent (Req 5)</w:t>
      </w:r>
    </w:p>
    <w:p>
      <w:pPr>
        <w:pStyle w:val="3"/>
      </w:pPr>
      <w:r>
        <w:rPr>
          <w:highlight w:val="yellow"/>
        </w:rPr>
        <w:t>2.5.6 Verifiable Auditability and Security Assurance (Req 6)</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assessed for quality,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footerReference w:type="default" r:id="rId34"/>
      <w:headerReference w:type="default" r:id="rId37"/>
      <w:headerReference w:type="even" r:id="rId38"/>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000000"/>
      </w:pBdr>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000000"/>
      </w:pBdr>
    </w:pPr>
    <w:r/>
    <w:r>
      <w:rPr>
        <w:rFonts w:ascii="Palatino Linotype" w:hAnsi="Palatino Linotype"/>
        <w:smallCaps/>
        <w:sz w:val="19"/>
      </w:rPr>
      <w:t xml:space="preserve">CHAPTER 2.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