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Working copy: all corrections aligning this report with the implemented HALAH v1.2 system (companion document: HALAH Implementation v1.3) are inserted in RED at their locations; superseded wording is struck through in grey.</w:t>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4</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4</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5</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7</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11</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11</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11</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17</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25</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27</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27</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28</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29</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34</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37</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37</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37</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38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38</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38</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39</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40</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56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57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94</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3</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3</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3</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3</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spacing w:after="40" w:before="60"/>
      </w:pPr>
      <w:r>
        <w:rPr>
          <w:rFonts w:ascii="Cambria" w:cs="Cambria" w:eastAsia="Cambria" w:hAnsi="Cambria"/>
          <w:b/>
          <w:bCs/>
          <w:color w:val="C00000"/>
          <w:sz w:val="18"/>
          <w:szCs w:val="18"/>
        </w:rPr>
        <w:t xml:space="preserve">[EDIT 3] </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Validity periods and expiration are enforced at evaluation time and mirrored on-chain, revocation is executed as a verifiable blockchain transaction, and consent progresses through controlled state transitions, reflecting the principle that trust cannot be regarded as permanently established at the moment a consent is created.</w:t>
      </w:r>
    </w:p>
    <w:p>
      <w:pPr>
        <w:spacing w:after="40" w:before="60"/>
      </w:pPr>
      <w:r>
        <w:rPr>
          <w:rFonts w:ascii="Cambria" w:cs="Cambria" w:eastAsia="Cambria" w:hAnsi="Cambria"/>
          <w:b/>
          <w:bCs/>
          <w:color w:val="C00000"/>
          <w:sz w:val="18"/>
          <w:szCs w:val="18"/>
        </w:rPr>
        <w:t xml:space="preserve">[EDIT 8] </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stronger formal security assurance remains for the subsequent stage.</w:t>
      </w:r>
    </w:p>
    <w:p>
      <w:pPr>
        <w:spacing w:after="140" w:line="300"/>
        <w:jc w:val="both"/>
      </w:pPr>
      <w:r>
        <w:rPr>
          <w:rFonts w:ascii="Cambria" w:cs="Cambria" w:eastAsia="Cambria" w:hAnsi="Cambria"/>
          <w:sz w:val="24"/>
          <w:szCs w:val="24"/>
        </w:rP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spacing w:after="40" w:before="60"/>
      </w:pPr>
      <w:r>
        <w:rPr>
          <w:rFonts w:ascii="Cambria" w:cs="Cambria" w:eastAsia="Cambria" w:hAnsi="Cambria"/>
          <w:b/>
          <w:bCs/>
          <w:color w:val="C00000"/>
          <w:sz w:val="18"/>
          <w:szCs w:val="18"/>
        </w:rPr>
        <w:t xml:space="preserve">[EDIT 4] </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including per-dimension denial scenarios, signature-rejection tests, and zero-knowledge tamper and expiry tests, together with a live negative evaluation on the Sepolia network. Formal security analysis remains the subject of the next research stage.</w:t>
      </w:r>
    </w:p>
    <w:p>
      <w:pPr>
        <w:spacing w:after="40" w:before="60"/>
      </w:pPr>
      <w:r>
        <w:rPr>
          <w:rFonts w:ascii="Cambria" w:cs="Cambria" w:eastAsia="Cambria" w:hAnsi="Cambria"/>
          <w:b/>
          <w:bCs/>
          <w:color w:val="C00000"/>
          <w:sz w:val="18"/>
          <w:szCs w:val="18"/>
        </w:rPr>
        <w:t xml:space="preserve">[EDIT 5] </w:t>
      </w:r>
    </w:p>
    <w:p>
      <w:pPr>
        <w:spacing w:after="140" w:line="300"/>
        <w:jc w:val="both"/>
      </w:pPr>
      <w:r>
        <w:rPr>
          <w:rFonts w:ascii="Cambria" w:cs="Cambria" w:eastAsia="Cambria" w:hAnsi="Cambria"/>
          <w:color w:val="C00000"/>
          <w:sz w:val="24"/>
          <w:szCs w:val="24"/>
        </w:rPr>
        <w:t xml:space="preserve">The next stage will investigate formal security assurance; empirical validation has now been carried out on the implemented prototype.</w:t>
      </w:r>
    </w:p>
    <w:p>
      <w:pPr>
        <w:spacing w:after="40" w:before="60"/>
      </w:pPr>
      <w:r>
        <w:rPr>
          <w:rFonts w:ascii="Cambria" w:cs="Cambria" w:eastAsia="Cambria" w:hAnsi="Cambria"/>
          <w:b/>
          <w:bCs/>
          <w:color w:val="C00000"/>
          <w:sz w:val="18"/>
          <w:szCs w:val="18"/>
        </w:rPr>
        <w:t xml:space="preserve">[EDIT 9] </w:t>
      </w:r>
    </w:p>
    <w:p>
      <w:pPr>
        <w:spacing w:after="140" w:line="300"/>
        <w:jc w:val="both"/>
      </w:pPr>
      <w:r>
        <w:rPr>
          <w:rFonts w:ascii="Cambria" w:cs="Cambria" w:eastAsia="Cambria" w:hAnsi="Cambria"/>
          <w:color w:val="C00000"/>
          <w:sz w:val="24"/>
          <w:szCs w:val="24"/>
        </w:rPr>
        <w:t xml:space="preserve">Table 1 summarises the research dimensions, indicating those realised in the implemented HALAH prototype and the formal-assurance work that remains for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spacing w:after="40" w:before="60"/>
      </w:pPr>
      <w:r>
        <w:rPr>
          <w:rFonts w:ascii="Cambria" w:cs="Cambria" w:eastAsia="Cambria" w:hAnsi="Cambria"/>
          <w:b/>
          <w:bCs/>
          <w:color w:val="C00000"/>
          <w:sz w:val="18"/>
          <w:szCs w:val="18"/>
        </w:rPr>
        <w:t xml:space="preserve">[EDIT 6] </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40" w:before="60"/>
      </w:pPr>
      <w:r>
        <w:rPr>
          <w:rFonts w:ascii="Cambria" w:cs="Cambria" w:eastAsia="Cambria" w:hAnsi="Cambria"/>
          <w:b/>
          <w:bCs/>
          <w:color w:val="C00000"/>
          <w:sz w:val="18"/>
          <w:szCs w:val="18"/>
        </w:rPr>
        <w:t xml:space="preserve">[EDIT 7] </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the next stage will build upon these foundations by reasoning formally about the model under defined security assumptions.</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sz w:val="24"/>
          <w:szCs w:val="24"/>
        </w:rP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spacing w:after="140" w:line="300"/>
        <w:jc w:val="both"/>
      </w:pPr>
      <w:r>
        <w:rPr>
          <w:rFonts w:ascii="Cambria" w:cs="Cambria" w:eastAsia="Cambria" w:hAnsi="Cambria"/>
          <w:sz w:val="24"/>
          <w:szCs w:val="24"/>
        </w:rP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(SLR) is guided by the following questions</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decentralized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 including 1) IEEE Xplore, 2) ACM Digital Library, 3) ScienceDirect, 4) SpringerLink, 5) PubMed, 6) Scopus; and 7) Web of Science.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keepNext/>
        <w:spacing w:after="60" w:before="140"/>
        <w:jc w:val="center"/>
      </w:pPr>
      <w:r>
        <w:drawing>
          <wp:inline distT="0" distB="0" distL="0" distR="0">
            <wp:extent cx="5715000" cy="3638550"/>
            <wp:effectExtent t="0" r="0" b="0" l="0"/>
            <wp:docPr id="1" name="gfig1.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2022 and 2026. The search was performed on August 2026.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decentralized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2"/>
        <w:spacing w:after="160" w:before="280"/>
      </w:pPr>
      <w:r>
        <w:t xml:space="preserve">2.3  Review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sz w:val="24"/>
          <w:szCs w:val="24"/>
        </w:rP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spacing w:after="40" w:before="60"/>
      </w:pPr>
      <w:r>
        <w:rPr>
          <w:rFonts w:ascii="Cambria" w:cs="Cambria" w:eastAsia="Cambria" w:hAnsi="Cambria"/>
          <w:b/>
          <w:bCs/>
          <w:color w:val="C00000"/>
          <w:sz w:val="18"/>
          <w:szCs w:val="18"/>
        </w:rPr>
        <w:t xml:space="preserve">[EDIT 11] </w:t>
      </w:r>
    </w:p>
    <w:p>
      <w:pPr>
        <w:spacing w:after="140" w:line="300"/>
        <w:jc w:val="both"/>
      </w:pPr>
      <w:r>
        <w:rPr>
          <w:rFonts w:ascii="Cambria" w:cs="Cambria" w:eastAsia="Cambria" w:hAnsi="Cambria"/>
          <w:color w:val="C00000"/>
          <w:sz w:val="24"/>
          <w:szCs w:val="24"/>
        </w:rPr>
        <w:t xml:space="preserve">This research establishes the conceptual foundation for such integration and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spacing w:after="40" w:before="60"/>
      </w:pPr>
      <w:r>
        <w:rPr>
          <w:rFonts w:ascii="Cambria" w:cs="Cambria" w:eastAsia="Cambria" w:hAnsi="Cambria"/>
          <w:b/>
          <w:bCs/>
          <w:color w:val="C00000"/>
          <w:sz w:val="18"/>
          <w:szCs w:val="18"/>
        </w:rPr>
        <w:t xml:space="preserve">[EDIT 12] </w:t>
      </w:r>
    </w:p>
    <w:p>
      <w:pPr>
        <w:spacing w:after="140" w:line="300"/>
        <w:jc w:val="both"/>
      </w:pPr>
      <w:r>
        <w:rPr>
          <w:rFonts w:ascii="Cambria" w:cs="Cambria" w:eastAsia="Cambria" w:hAnsi="Cambria"/>
          <w:color w:val="C00000"/>
          <w:sz w:val="24"/>
          <w:szCs w:val="24"/>
        </w:rPr>
        <w:t xml:space="preserve">(Append) The present prototype addresses this concern empirically through adversarial and negative testing across each verification dimension; formal analysis remains necessary to demonstrate these properties under defined assumptions.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40" w:before="60"/>
      </w:pPr>
      <w:r>
        <w:rPr>
          <w:rFonts w:ascii="Cambria" w:cs="Cambria" w:eastAsia="Cambria" w:hAnsi="Cambria"/>
          <w:b/>
          <w:bCs/>
          <w:color w:val="C00000"/>
          <w:sz w:val="18"/>
          <w:szCs w:val="18"/>
        </w:rPr>
        <w:t xml:space="preserve">[EDIT 10 — place at: Page 20, Table 2, Proposed Framework row] </w:t>
      </w:r>
    </w:p>
    <w:p>
      <w:pPr>
        <w:spacing w:after="140" w:line="300"/>
        <w:jc w:val="both"/>
      </w:pPr>
      <w:r>
        <w:rPr>
          <w:rFonts w:ascii="Cambria" w:cs="Cambria" w:eastAsia="Cambria" w:hAnsi="Cambria"/>
          <w:color w:val="C00000"/>
          <w:sz w:val="24"/>
          <w:szCs w:val="24"/>
        </w:rPr>
        <w:t xml:space="preserve">Lifecycle trust and empirical validation are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spacing w:after="40" w:before="60"/>
      </w:pPr>
      <w:r>
        <w:rPr>
          <w:rFonts w:ascii="Cambria" w:cs="Cambria" w:eastAsia="Cambria" w:hAnsi="Cambria"/>
          <w:b/>
          <w:bCs/>
          <w:color w:val="C00000"/>
          <w:sz w:val="18"/>
          <w:szCs w:val="18"/>
        </w:rPr>
        <w:t xml:space="preserve">[EDIT 13] </w:t>
      </w:r>
    </w:p>
    <w:p>
      <w:pPr>
        <w:spacing w:after="140" w:line="300"/>
        <w:jc w:val="both"/>
      </w:pPr>
      <w:r>
        <w:rPr>
          <w:rFonts w:ascii="Cambria" w:cs="Cambria" w:eastAsia="Cambria" w:hAnsi="Cambria"/>
          <w:color w:val="C00000"/>
          <w:sz w:val="24"/>
          <w:szCs w:val="24"/>
        </w:rPr>
        <w:t xml:space="preserve">Decision(C, R, t) = ALLOW ⟺ VI ∧ VA ∧ VP ∧ VT ∧ VL. 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p>
      <w:pPr>
        <w:spacing w:after="40" w:before="60"/>
      </w:pPr>
      <w:r>
        <w:rPr>
          <w:rFonts w:ascii="Cambria" w:cs="Cambria" w:eastAsia="Cambria" w:hAnsi="Cambria"/>
          <w:b/>
          <w:bCs/>
          <w:color w:val="C00000"/>
          <w:sz w:val="18"/>
          <w:szCs w:val="18"/>
        </w:rPr>
        <w:t xml:space="preserve">[EDIT 16] </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the empirical validation has been partially completed through automated and live negative testing; formal security assurance forms the subsequent research scope and will be developed in CA3.</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(7)</w:t>
      </w:r>
    </w:p>
    <w:p>
      <w:pPr>
        <w:spacing w:after="40" w:before="60"/>
      </w:pPr>
      <w:r>
        <w:rPr>
          <w:rFonts w:ascii="Cambria" w:cs="Cambria" w:eastAsia="Cambria" w:hAnsi="Cambria"/>
          <w:b/>
          <w:bCs/>
          <w:color w:val="C00000"/>
          <w:sz w:val="18"/>
          <w:szCs w:val="18"/>
        </w:rPr>
        <w:t xml:space="preserve">[EDIT 14] </w:t>
      </w:r>
    </w:p>
    <w:p>
      <w:pPr>
        <w:spacing w:after="140" w:line="300"/>
        <w:jc w:val="both"/>
      </w:pPr>
      <w:r>
        <w:rPr>
          <w:rFonts w:ascii="Cambria" w:cs="Cambria" w:eastAsia="Cambria" w:hAnsi="Cambria"/>
          <w:color w:val="C00000"/>
          <w:sz w:val="24"/>
          <w:szCs w:val="24"/>
        </w:rPr>
        <w:t xml:space="preserve">C = (I, A, P, T, L, E), where I represents the participating identities, A the authority and multi-party authorisation evidence, P the purpose and data-scope constraints, T the temporal validity window, L the jurisdictional constraint, and E the enforcement state recording whether the consent remains active or has been revoked.</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Therefore,Identity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spacing w:after="40" w:before="60"/>
      </w:pPr>
      <w:r>
        <w:rPr>
          <w:rFonts w:ascii="Cambria" w:cs="Cambria" w:eastAsia="Cambria" w:hAnsi="Cambria"/>
          <w:b/>
          <w:bCs/>
          <w:color w:val="C00000"/>
          <w:sz w:val="18"/>
          <w:szCs w:val="18"/>
        </w:rPr>
        <w:t xml:space="preserve">[EDIT 15] </w:t>
      </w:r>
    </w:p>
    <w:p>
      <w:pPr>
        <w:spacing w:after="140" w:line="300"/>
        <w:jc w:val="both"/>
      </w:pPr>
      <w:r>
        <w:rPr>
          <w:rFonts w:ascii="Cambria" w:cs="Cambria" w:eastAsia="Cambria" w:hAnsi="Cambria"/>
          <w:color w:val="C00000"/>
          <w:sz w:val="24"/>
          <w:szCs w:val="24"/>
        </w:rPr>
        <w:t xml:space="preserve">(Append) In the implemented framework N is instantiated as |G|, the number of designated guardians, so that activation requires the approval of every listed guardian; configurable k-of-n thresholds are identified as future 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p>
      <w:pPr>
        <w:spacing w:after="40" w:before="60"/>
      </w:pPr>
      <w:r>
        <w:rPr>
          <w:rFonts w:ascii="Cambria" w:cs="Cambria" w:eastAsia="Cambria" w:hAnsi="Cambria"/>
          <w:b/>
          <w:bCs/>
          <w:color w:val="C00000"/>
          <w:sz w:val="18"/>
          <w:szCs w:val="18"/>
        </w:rPr>
        <w:t xml:space="preserve">[EDIT 17] </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is addressed empirically now, with its formal component reserved for the next research programme.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spacing w:after="40" w:before="60"/>
      </w:pPr>
      <w:r>
        <w:rPr>
          <w:rFonts w:ascii="Cambria" w:cs="Cambria" w:eastAsia="Cambria" w:hAnsi="Cambria"/>
          <w:b/>
          <w:bCs/>
          <w:color w:val="C00000"/>
          <w:sz w:val="18"/>
          <w:szCs w:val="18"/>
        </w:rPr>
        <w:t xml:space="preserve">[EDIT 18] </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by signature recovery, and requires a valid signature from every listed guardian: the threshold equals |G|, an N-of-N condition demonstrated as 2-of-2.</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spacing w:after="40" w:before="60"/>
      </w:pPr>
      <w:r>
        <w:rPr>
          <w:rFonts w:ascii="Cambria" w:cs="Cambria" w:eastAsia="Cambria" w:hAnsi="Cambria"/>
          <w:b/>
          <w:bCs/>
          <w:color w:val="C00000"/>
          <w:sz w:val="18"/>
          <w:szCs w:val="18"/>
        </w:rPr>
        <w:t xml:space="preserve">[EDIT 19] </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spacing w:after="140" w:line="300"/>
        <w:jc w:val="both"/>
      </w:pPr>
      <w:r>
        <w:rPr>
          <w:rFonts w:ascii="Cambria" w:cs="Cambria" w:eastAsia="Cambria" w:hAnsi="Cambria"/>
          <w:sz w:val="24"/>
          <w:szCs w:val="24"/>
        </w:rP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p>
      <w:pPr>
        <w:spacing w:after="40" w:before="60"/>
      </w:pPr>
      <w:r>
        <w:rPr>
          <w:rFonts w:ascii="Cambria" w:cs="Cambria" w:eastAsia="Cambria" w:hAnsi="Cambria"/>
          <w:b/>
          <w:bCs/>
          <w:color w:val="C00000"/>
          <w:sz w:val="18"/>
          <w:szCs w:val="18"/>
        </w:rPr>
        <w:t xml:space="preserve">[EDIT 20] </w:t>
      </w:r>
    </w:p>
    <w:p>
      <w:pPr>
        <w:spacing w:after="140" w:line="300"/>
        <w:jc w:val="both"/>
      </w:pPr>
      <w:r>
        <w:rPr>
          <w:rFonts w:ascii="Cambria" w:cs="Cambria" w:eastAsia="Cambria" w:hAnsi="Cambria"/>
          <w:color w:val="C00000"/>
          <w:sz w:val="24"/>
          <w:szCs w:val="24"/>
        </w:rPr>
        <w:t xml:space="preserve">This objective has been substantially realised in the current implementation. The prototype enforces the temporal validity window at every access decision (VT), records notBefore and expiry on-chain within the consent token, implements end-to-end revocation including an on-chain revoke transaction, and manages the consent through an explicit lifecycle state machine. The remaining work concerns hardening these controls rather than introducing them.</w:t>
      </w:r>
    </w:p>
    <w:p>
      <w:pPr>
        <w:pStyle w:val="Heading2"/>
        <w:spacing w:after="160" w:before="280"/>
      </w:pPr>
      <w:r>
        <w:t xml:space="preserve">4.6  RO6 - Formal Security Assurance and Empirical Validation</w:t>
      </w:r>
    </w:p>
    <w:p>
      <w:pPr>
        <w:spacing w:after="40" w:before="60"/>
      </w:pPr>
      <w:r>
        <w:rPr>
          <w:rFonts w:ascii="Cambria" w:cs="Cambria" w:eastAsia="Cambria" w:hAnsi="Cambria"/>
          <w:b/>
          <w:bCs/>
          <w:color w:val="C00000"/>
          <w:sz w:val="18"/>
          <w:szCs w:val="18"/>
        </w:rPr>
        <w:t xml:space="preserve">[EDIT 2] </w:t>
      </w:r>
    </w:p>
    <w:p>
      <w:pPr>
        <w:spacing w:after="140" w:line="300"/>
        <w:jc w:val="both"/>
      </w:pPr>
      <w:r>
        <w:rPr>
          <w:rFonts w:ascii="Cambria" w:cs="Cambria" w:eastAsia="Cambria" w:hAnsi="Cambria"/>
          <w:color w:val="C00000"/>
          <w:sz w:val="24"/>
          <w:szCs w:val="24"/>
        </w:rPr>
        <w:t xml:space="preserve">Stage: Current (empirical) / Next (formal). Objective: Empirically evaluate the HALAH implementation using representative, negative, and adversarial scenarios (delivered through automated testing and live on-chain evaluation), and subsequently define and formally analyse the security properties of the framework.</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p>
      <w:pPr>
        <w:spacing w:after="40" w:before="60"/>
      </w:pPr>
      <w:r>
        <w:rPr>
          <w:rFonts w:ascii="Cambria" w:cs="Cambria" w:eastAsia="Cambria" w:hAnsi="Cambria"/>
          <w:b/>
          <w:bCs/>
          <w:color w:val="C00000"/>
          <w:sz w:val="18"/>
          <w:szCs w:val="18"/>
        </w:rPr>
        <w:t xml:space="preserve">[EDIT 21] </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The complete formal analysis — proofs or model checking of the stated properties — remains next stage work.</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sz w:val="24"/>
          <w:szCs w:val="24"/>
        </w:rP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spacing w:after="40" w:before="60"/>
      </w:pPr>
      <w:r>
        <w:rPr>
          <w:rFonts w:ascii="Cambria" w:cs="Cambria" w:eastAsia="Cambria" w:hAnsi="Cambria"/>
          <w:b/>
          <w:bCs/>
          <w:color w:val="C00000"/>
          <w:sz w:val="18"/>
          <w:szCs w:val="18"/>
        </w:rPr>
        <w:t xml:space="preserve">[EDIT 23] </w:t>
      </w:r>
    </w:p>
    <w:p>
      <w:pPr>
        <w:spacing w:after="140" w:line="300"/>
        <w:jc w:val="both"/>
      </w:pPr>
      <w:r>
        <w:rPr>
          <w:rFonts w:ascii="Cambria" w:cs="Cambria" w:eastAsia="Cambria" w:hAnsi="Cambria"/>
          <w:color w:val="C00000"/>
          <w:sz w:val="24"/>
          <w:szCs w:val="24"/>
        </w:rPr>
        <w:t xml:space="preserve">summarised in Table 3 and Table 4.</w:t>
      </w:r>
    </w:p>
    <w:p>
      <w:pPr>
        <w:spacing w:after="140" w:line="300"/>
        <w:jc w:val="both"/>
      </w:pPr>
      <w:r>
        <w:rPr>
          <w:rFonts w:ascii="Cambria" w:cs="Cambria" w:eastAsia="Cambria" w:hAnsi="Cambria"/>
          <w:sz w:val="24"/>
          <w:szCs w:val="24"/>
        </w:rP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spacing w:after="40" w:before="60"/>
      </w:pPr>
      <w:r>
        <w:rPr>
          <w:rFonts w:ascii="Cambria" w:cs="Cambria" w:eastAsia="Cambria" w:hAnsi="Cambria"/>
          <w:b/>
          <w:bCs/>
          <w:color w:val="C00000"/>
          <w:sz w:val="18"/>
          <w:szCs w:val="18"/>
        </w:rPr>
        <w:t xml:space="preserve">[EDIT 22] </w:t>
      </w:r>
    </w:p>
    <w:p>
      <w:pPr>
        <w:spacing w:after="140" w:line="300"/>
        <w:jc w:val="both"/>
      </w:pPr>
      <w:r>
        <w:rPr>
          <w:rFonts w:ascii="Cambria" w:cs="Cambria" w:eastAsia="Cambria" w:hAnsi="Cambria"/>
          <w:color w:val="C00000"/>
          <w:sz w:val="24"/>
          <w:szCs w:val="24"/>
        </w:rPr>
        <w:t xml:space="preserve">The current stage delivers RO1–RO5 in operational form and the empirical component of RO6, including negative and adversarial testing. The principal remaining agenda for CA3 is the formal component of RO6 — formal specification and analysis of the security properties — together with the identified prototype hardening.</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40" w:before="60"/>
      </w:pPr>
      <w:r>
        <w:rPr>
          <w:rFonts w:ascii="Cambria" w:cs="Cambria" w:eastAsia="Cambria" w:hAnsi="Cambria"/>
          <w:b/>
          <w:bCs/>
          <w:color w:val="C00000"/>
          <w:sz w:val="18"/>
          <w:szCs w:val="18"/>
        </w:rPr>
        <w:t xml:space="preserve">[EDIT 24 — place at: Page 33, Table 4, RO5/RO6 rows] </w:t>
      </w:r>
    </w:p>
    <w:p>
      <w:pPr>
        <w:spacing w:after="140" w:line="300"/>
        <w:jc w:val="both"/>
      </w:pPr>
      <w:r>
        <w:rPr>
          <w:rFonts w:ascii="Cambria" w:cs="Cambria" w:eastAsia="Cambria" w:hAnsi="Cambria"/>
          <w:color w:val="C00000"/>
          <w:sz w:val="24"/>
          <w:szCs w:val="24"/>
        </w:rPr>
        <w:t xml:space="preserve">RO5 scope: Temporal validity, expiration, revocation and controlled state transitions, enforced in the current prototype and anchored on-chain. RO6 scope: Formal analysis of the security properties (CA3), building 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40" w:before="60"/>
      </w:pPr>
      <w:r>
        <w:rPr>
          <w:rFonts w:ascii="Cambria" w:cs="Cambria" w:eastAsia="Cambria" w:hAnsi="Cambria"/>
          <w:b/>
          <w:bCs/>
          <w:color w:val="C00000"/>
          <w:sz w:val="18"/>
          <w:szCs w:val="18"/>
        </w:rPr>
        <w:t xml:space="preserve">[EDIT 25 — place at: Pages 34, 42, 45 — Eqs (29), (35), (42), (43)] </w:t>
      </w:r>
    </w:p>
    <w:p>
      <w:pPr>
        <w:spacing w:after="140" w:line="300"/>
        <w:jc w:val="both"/>
      </w:pPr>
      <w:r>
        <w:rPr>
          <w:rFonts w:ascii="Cambria" w:cs="Cambria" w:eastAsia="Cambria" w:hAnsi="Cambria"/>
          <w:color w:val="C00000"/>
          <w:sz w:val="24"/>
          <w:szCs w:val="24"/>
        </w:rPr>
        <w:t xml:space="preserve">Make ALLOW = VI ∧ VA ∧ VP ∧ VT ∧ VL the decision rule throughout the chapter; delete each three-predicate variant or relabel it explicitly as an early design iteration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40" w:before="60"/>
      </w:pPr>
      <w:r>
        <w:rPr>
          <w:rFonts w:ascii="Cambria" w:cs="Cambria" w:eastAsia="Cambria" w:hAnsi="Cambria"/>
          <w:b/>
          <w:bCs/>
          <w:color w:val="C00000"/>
          <w:sz w:val="18"/>
          <w:szCs w:val="18"/>
        </w:rPr>
        <w:t xml:space="preserve">[EDIT 28 — place at: Page 36, Figures 3–4 (layered MVC)] </w:t>
      </w:r>
    </w:p>
    <w:p>
      <w:pPr>
        <w:spacing w:after="140" w:line="300"/>
        <w:jc w:val="both"/>
      </w:pPr>
      <w:r>
        <w:rPr>
          <w:rFonts w:ascii="Cambria" w:cs="Cambria" w:eastAsia="Cambria" w:hAnsi="Cambria"/>
          <w:color w:val="C00000"/>
          <w:sz w:val="24"/>
          <w:szCs w:val="24"/>
        </w:rPr>
        <w:t xml:space="preserve">FIGURE EDIT — (a) Controller layer: add “ZK Proof Service (Groth16 generation + verification)” feeding the Authorisation Decision, and “On-chain Anchor Service (asynchronous mint/revoke)”; (b) Model layer: add “ConsentSBTv3 (Sepolia)” beside a box relabelled “SQLite Audit Ledger”; (c) add a Revocation arrow from the Patient interface through the Controller to both the ledger and the contract; (d) add an external box “verify_poc (independent verifier)” reading both the ledger and Sepolia.</w:t>
      </w:r>
    </w:p>
    <w:p>
      <w:pPr>
        <w:spacing w:after="40" w:before="60"/>
      </w:pPr>
      <w:r>
        <w:rPr>
          <w:rFonts w:ascii="Cambria" w:cs="Cambria" w:eastAsia="Cambria" w:hAnsi="Cambria"/>
          <w:b/>
          <w:bCs/>
          <w:color w:val="C00000"/>
          <w:sz w:val="18"/>
          <w:szCs w:val="18"/>
        </w:rPr>
        <w:t xml:space="preserve">[EDIT 34 — place at: Pages 36 &amp; 40 — “DID / VC Verification”, “Verifiable Credentials (VCs)”] </w:t>
      </w:r>
    </w:p>
    <w:p>
      <w:pPr>
        <w:spacing w:after="140" w:line="300"/>
        <w:jc w:val="both"/>
      </w:pPr>
      <w:r>
        <w:rPr>
          <w:rFonts w:ascii="Cambria" w:cs="Cambria" w:eastAsia="Cambria" w:hAnsi="Cambria"/>
          <w:color w:val="C00000"/>
          <w:sz w:val="24"/>
          <w:szCs w:val="24"/>
        </w:rPr>
        <w:t xml:space="preserve">(Add limitation sentence in §5.2/§5.5) In the prototype, credential verification is a DID well-formedness check and the requester’s role and jurisdiction are self-declared; wallet-held keys and authenticated credentials are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40" w:before="60"/>
      </w:pPr>
      <w:r>
        <w:rPr>
          <w:rFonts w:ascii="Cambria" w:cs="Cambria" w:eastAsia="Cambria" w:hAnsi="Cambria"/>
          <w:b/>
          <w:bCs/>
          <w:color w:val="C00000"/>
          <w:sz w:val="18"/>
          <w:szCs w:val="18"/>
        </w:rPr>
        <w:t xml:space="preserve">[EDIT 30 — place at: Pages 36–37, §5.1.1 Controller decomposition] </w:t>
      </w:r>
    </w:p>
    <w:p>
      <w:pPr>
        <w:spacing w:after="140" w:line="300"/>
        <w:jc w:val="both"/>
      </w:pPr>
      <w:r>
        <w:rPr>
          <w:rFonts w:ascii="Cambria" w:cs="Cambria" w:eastAsia="Cambria" w:hAnsi="Cambria"/>
          <w:color w:val="C00000"/>
          <w:sz w:val="24"/>
          <w:szCs w:val="24"/>
        </w:rPr>
        <w:t xml:space="preserve">…eight principal functions…, adding “Cryptographic Proof Generation and Verification (Groth16)” and “On-chain Anchoring and State Synchronisation (Sepolia mint/revoke, background)”. Update Figure 4’s Controller row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40" w:before="60"/>
      </w:pPr>
      <w:r>
        <w:rPr>
          <w:rFonts w:ascii="Cambria" w:cs="Cambria" w:eastAsia="Cambria" w:hAnsi="Cambria"/>
          <w:b/>
          <w:bCs/>
          <w:color w:val="C00000"/>
          <w:sz w:val="18"/>
          <w:szCs w:val="18"/>
        </w:rPr>
        <w:t xml:space="preserve">[EDIT 26] </w:t>
      </w:r>
    </w:p>
    <w:p>
      <w:pPr>
        <w:spacing w:after="140" w:line="300"/>
        <w:jc w:val="both"/>
      </w:pPr>
      <w:r>
        <w:rPr>
          <w:rFonts w:ascii="Cambria" w:cs="Cambria" w:eastAsia="Cambria" w:hAnsi="Cambria"/>
          <w:color w:val="C00000"/>
          <w:sz w:val="24"/>
          <w:szCs w:val="24"/>
        </w:rPr>
        <w:t xml:space="preserve">V_L(C, j) verifies that the requester’s declared jurisdiction matches the consent’s jurisdiction L; revocation and lifecycle state are enforced within V_A. Relabel Figure 5’s V_L(C) box as “V_L(C, j) — Jurisdiction”.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 ¬ (VI ∧ VA ∧ VP ∧ VT ∧ VL ) =⇒ Decision(C, R, t) = DEN Y.</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r>
        <w:rPr>
          <w:rFonts w:ascii="Cambria" w:cs="Cambria" w:eastAsia="Cambria" w:hAnsi="Cambria"/>
          <w:sz w:val="22"/>
          <w:szCs w:val="22"/>
        </w:rPr>
        <w:t xml:space="preserve">	(undefined)</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40" w:before="60"/>
      </w:pPr>
      <w:r>
        <w:rPr>
          <w:rFonts w:ascii="Cambria" w:cs="Cambria" w:eastAsia="Cambria" w:hAnsi="Cambria"/>
          <w:b/>
          <w:bCs/>
          <w:color w:val="C00000"/>
          <w:sz w:val="18"/>
          <w:szCs w:val="18"/>
        </w:rPr>
        <w:t xml:space="preserve">[EDIT 29 — place at: Page 41, Figure 6 (end-to-end workflow)] </w:t>
      </w:r>
    </w:p>
    <w:p>
      <w:pPr>
        <w:spacing w:after="140" w:line="300"/>
        <w:jc w:val="both"/>
      </w:pPr>
      <w:r>
        <w:rPr>
          <w:rFonts w:ascii="Cambria" w:cs="Cambria" w:eastAsia="Cambria" w:hAnsi="Cambria"/>
          <w:color w:val="C00000"/>
          <w:sz w:val="24"/>
          <w:szCs w:val="24"/>
        </w:rPr>
        <w:t xml:space="preserve">FIGURE EDIT — after “Threshold Satisfied? Yes” insert “Mint SBT in local ledger” → “Background job anchors mint on Sepolia (async)”; insert V_T and V_L checks before the Authorisation Decision; add “Generate &amp; verify Groth16 proof” on the ALLOW branch; after “Record Audit Evidence” append “Patient revokes → on-chain revoke tx → Auditor review + independent verify_poc”. Rename “Threshold Satisfied?” to “All |G| guardians signed? (N-of-N)”.</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40" w:before="60"/>
      </w:pPr>
      <w:r>
        <w:rPr>
          <w:rFonts w:ascii="Cambria" w:cs="Cambria" w:eastAsia="Cambria" w:hAnsi="Cambria"/>
          <w:b/>
          <w:bCs/>
          <w:color w:val="C00000"/>
          <w:sz w:val="18"/>
          <w:szCs w:val="18"/>
        </w:rPr>
        <w:t xml:space="preserve">[EDIT 33 — place at: Pages 40/42/43, Eqs (33), (37)] </w:t>
      </w:r>
    </w:p>
    <w:p>
      <w:pPr>
        <w:spacing w:after="140" w:line="300"/>
        <w:jc w:val="both"/>
      </w:pPr>
      <w:r>
        <w:rPr>
          <w:rFonts w:ascii="Cambria" w:cs="Cambria" w:eastAsia="Cambria" w:hAnsi="Cambria"/>
          <w:color w:val="C00000"/>
          <w:sz w:val="24"/>
          <w:szCs w:val="24"/>
        </w:rPr>
        <w:t xml:space="preserve">(Append after Eq 37) In the implemented prototype N = |G|: every listed guardian must sign (2-of-2 in the evaluation); configurable k-of-n thresholds are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 edication, a request additionally containing P rocedure should not be authorized because SR ⊈ SC ,</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 Decision(C, R) = ALLOW ⇐⇒ VI (u) ∧ VA (C) ∧ VP (C, R),</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current current stage scope, the core consent object is represented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(36)</w:t>
      </w:r>
    </w:p>
    <w:p>
      <w:pPr>
        <w:spacing w:after="40" w:before="60"/>
      </w:pPr>
      <w:r>
        <w:rPr>
          <w:rFonts w:ascii="Cambria" w:cs="Cambria" w:eastAsia="Cambria" w:hAnsi="Cambria"/>
          <w:b/>
          <w:bCs/>
          <w:color w:val="C00000"/>
          <w:sz w:val="18"/>
          <w:szCs w:val="18"/>
        </w:rPr>
        <w:t xml:space="preserve">[EDIT 27] </w:t>
      </w:r>
    </w:p>
    <w:p>
      <w:pPr>
        <w:spacing w:after="80"/>
        <w:jc w:val="center"/>
      </w:pPr>
      <w:r>
        <w:rPr>
          <w:rFonts w:ascii="Cambria Math" w:cs="Cambria Math" w:eastAsia="Cambria Math" w:hAnsi="Cambria Math"/>
          <w:i/>
          <w:iCs/>
          <w:color w:val="C00000"/>
          <w:sz w:val="22"/>
          <w:szCs w:val="22"/>
        </w:rPr>
        <w:t xml:space="preserve">C = (I, A, P, T, L, E), with T (temporal window) and L (jurisdiction) defined as implemented.</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 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p>
      <w:pPr>
        <w:spacing w:after="40" w:before="60"/>
      </w:pPr>
      <w:r>
        <w:rPr>
          <w:rFonts w:ascii="Cambria" w:cs="Cambria" w:eastAsia="Cambria" w:hAnsi="Cambria"/>
          <w:b/>
          <w:bCs/>
          <w:color w:val="C00000"/>
          <w:sz w:val="18"/>
          <w:szCs w:val="18"/>
        </w:rPr>
        <w:t xml:space="preserve">[EDIT 31] </w:t>
      </w:r>
    </w:p>
    <w:p>
      <w:pPr>
        <w:spacing w:after="140" w:line="300"/>
        <w:jc w:val="both"/>
      </w:pPr>
      <w:r>
        <w:rPr>
          <w:rFonts w:ascii="Cambria" w:cs="Cambria" w:eastAsia="Cambria" w:hAnsi="Cambria"/>
          <w:color w:val="C00000"/>
          <w:sz w:val="24"/>
          <w:szCs w:val="24"/>
        </w:rPr>
        <w:t xml:space="preserve">The implementation realises this representation, including temporal validity, expiration, on-chain revocation and an explicit lifecycle state machine; formal security properties remain future work.</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spacing w:after="40" w:before="60"/>
      </w:pPr>
      <w:r>
        <w:rPr>
          <w:rFonts w:ascii="Cambria" w:cs="Cambria" w:eastAsia="Cambria" w:hAnsi="Cambria"/>
          <w:b/>
          <w:bCs/>
          <w:color w:val="C00000"/>
          <w:sz w:val="18"/>
          <w:szCs w:val="18"/>
        </w:rPr>
        <w:t xml:space="preserve">[EDIT 32] </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via the ConsentSBTv3 soulbound contract; anchoring is asynchronous, and the ledger records each transaction hash and block number.</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user-interface actions from being interpreted directly as trusted authorisation outcomes.</w:t>
            </w:r>
          </w:p>
        </w:tc>
      </w:tr>
    </w:tbl>
    <w:p>
      <w:pPr>
        <w:spacing w:after="180"/>
      </w:pPr>
    </w:p>
    <w:p>
      <w:pPr>
        <w:spacing w:after="40" w:before="60"/>
      </w:pPr>
      <w:r>
        <w:rPr>
          <w:rFonts w:ascii="Cambria" w:cs="Cambria" w:eastAsia="Cambria" w:hAnsi="Cambria"/>
          <w:b/>
          <w:bCs/>
          <w:color w:val="C00000"/>
          <w:sz w:val="18"/>
          <w:szCs w:val="18"/>
        </w:rPr>
        <w:t xml:space="preserve">[EDIT 35 — place at: Page 49, Table 5 (security properties)] </w:t>
      </w:r>
    </w:p>
    <w:p>
      <w:pPr>
        <w:spacing w:after="140" w:line="300"/>
        <w:jc w:val="both"/>
      </w:pPr>
      <w:r>
        <w:rPr>
          <w:rFonts w:ascii="Cambria" w:cs="Cambria" w:eastAsia="Cambria" w:hAnsi="Cambria"/>
          <w:color w:val="C00000"/>
          <w:sz w:val="24"/>
          <w:szCs w:val="24"/>
        </w:rPr>
        <w:t xml:space="preserve">TABLE EDIT — add rows: Temporal validity (VT enforced; on-chain notBefore/expiry); Jurisdictional constraint (VL; live SA-vs-AU denial); Revocability (patient revoke; on-chain revoke; fail-closed VA). Change “future verification” to “independent verification (verify_poc re-checks every transaction against Sepolia: ALL CHECKS PASSED)”.</w:t>
      </w: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formal assurance of the defined trust and authorisation properties and empirically evaluates whether the implemented framework correctly enforces authorised and unauthorised healthcare data-access decisions.</w:t>
            </w:r>
          </w:p>
        </w:tc>
      </w:tr>
    </w:tbl>
    <w:p>
      <w:pPr>
        <w:spacing w:after="180"/>
      </w:pPr>
    </w:p>
    <w:p>
      <w:pPr>
        <w:spacing w:after="40" w:before="60"/>
      </w:pPr>
      <w:r>
        <w:rPr>
          <w:rFonts w:ascii="Cambria" w:cs="Cambria" w:eastAsia="Cambria" w:hAnsi="Cambria"/>
          <w:b/>
          <w:bCs/>
          <w:color w:val="C00000"/>
          <w:sz w:val="18"/>
          <w:szCs w:val="18"/>
        </w:rPr>
        <w:t xml:space="preserve">[EDIT 36 — place at: Page 50, Table 6, RO5/RO6 rows] </w:t>
      </w:r>
    </w:p>
    <w:p>
      <w:pPr>
        <w:spacing w:after="140" w:line="300"/>
        <w:jc w:val="both"/>
      </w:pPr>
      <w:r>
        <w:rPr>
          <w:rFonts w:ascii="Cambria" w:cs="Cambria" w:eastAsia="Cambria" w:hAnsi="Cambria"/>
          <w:color w:val="C00000"/>
          <w:sz w:val="24"/>
          <w:szCs w:val="24"/>
        </w:rPr>
        <w:t xml:space="preserve">TABLE EDIT — RO5 contribution: “Implemented: VT enforcement, lifecycle state machine, end-to-end revocation including on-chain”. RO6 mechanism: “Empirical validation (automated tests, live negative test, independent chain verification); formal proofs remain future work”.</w:t>
      </w: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(51)</w:t>
      </w:r>
    </w:p>
    <w:p>
      <w:pPr>
        <w:spacing w:after="40" w:before="60"/>
      </w:pPr>
      <w:r>
        <w:rPr>
          <w:rFonts w:ascii="Cambria" w:cs="Cambria" w:eastAsia="Cambria" w:hAnsi="Cambria"/>
          <w:b/>
          <w:bCs/>
          <w:color w:val="C00000"/>
          <w:sz w:val="18"/>
          <w:szCs w:val="18"/>
        </w:rPr>
        <w:t xml:space="preserve">[EDIT 37] </w:t>
      </w:r>
    </w:p>
    <w:p>
      <w:pPr>
        <w:spacing w:after="140" w:line="300"/>
        <w:jc w:val="both"/>
      </w:pPr>
      <w:r>
        <w:rPr>
          <w:rFonts w:ascii="Cambria" w:cs="Cambria" w:eastAsia="Cambria" w:hAnsi="Cambria"/>
          <w:color w:val="C00000"/>
          <w:sz w:val="24"/>
          <w:szCs w:val="24"/>
        </w:rPr>
        <w:t xml:space="preserve">C = (I, A, P, T, L, E), 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40" w:before="60"/>
      </w:pPr>
      <w:r>
        <w:rPr>
          <w:rFonts w:ascii="Cambria" w:cs="Cambria" w:eastAsia="Cambria" w:hAnsi="Cambria"/>
          <w:b/>
          <w:bCs/>
          <w:color w:val="C00000"/>
          <w:sz w:val="18"/>
          <w:szCs w:val="18"/>
        </w:rPr>
        <w:t xml:space="preserve">[EDIT 39 — place at: Pages 53–54, Procedure 6.1.2 and closing sequence] </w:t>
      </w:r>
    </w:p>
    <w:p>
      <w:pPr>
        <w:spacing w:after="140" w:line="300"/>
        <w:jc w:val="both"/>
      </w:pPr>
      <w:r>
        <w:rPr>
          <w:rFonts w:ascii="Cambria" w:cs="Cambria" w:eastAsia="Cambria" w:hAnsi="Cambria"/>
          <w:color w:val="C00000"/>
          <w:sz w:val="24"/>
          <w:szCs w:val="24"/>
        </w:rPr>
        <w:t xml:space="preserve">Insert “Step 6a — Validate the Jurisdiction. The declared jurisdiction L is validated as a well-formed ISO alpha-2 territory code (AU in the demonstrated transactions) and bound to the consent object, since the access decision is later evaluated against it.” Sequence: I_p → D → G → P_u → S_C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40" w:before="60"/>
      </w:pPr>
      <w:r>
        <w:rPr>
          <w:rFonts w:ascii="Cambria" w:cs="Cambria" w:eastAsia="Cambria" w:hAnsi="Cambria"/>
          <w:b/>
          <w:bCs/>
          <w:color w:val="C00000"/>
          <w:sz w:val="18"/>
          <w:szCs w:val="18"/>
        </w:rPr>
        <w:t xml:space="preserve">[EDIT 40] </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is a well-formed DID; the doctor is not independently authenticated, and credential-based verification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C = (I, A, P, 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Construct C = (I, A, P, E)</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C00000"/>
          <w:sz w:val="18"/>
          <w:szCs w:val="18"/>
        </w:rPr>
        <w:t xml:space="preserve">16a:  </w:t>
      </w:r>
      <w:r>
        <w:rPr>
          <w:rFonts w:ascii="Cambria" w:cs="Cambria" w:eastAsia="Cambria" w:hAnsi="Cambria"/>
          <w:color w:val="C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 The output of RO2 is not an access-grant decision. It is a verified identity and authority result that can be consumed by RO3 and RO4. This separation prevents a participant from obtaining access merely by presenting a valid identity credential.</w:t>
      </w:r>
    </w:p>
    <w:p>
      <w:pPr>
        <w:spacing w:after="40" w:before="60"/>
      </w:pPr>
      <w:r>
        <w:rPr>
          <w:rFonts w:ascii="Cambria" w:cs="Cambria" w:eastAsia="Cambria" w:hAnsi="Cambria"/>
          <w:b/>
          <w:bCs/>
          <w:color w:val="C00000"/>
          <w:sz w:val="18"/>
          <w:szCs w:val="18"/>
        </w:rPr>
        <w:t xml:space="preserve">[EDIT 42] </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the guardian DID and the Sepolia chain identifier, verified by off-chain signer recovery; the VC check preceding it is presently a DID-format check, with the signing keys derived deterministically from the guardian DIDs in place of wallet-held keys.</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40" w:before="60"/>
      </w:pPr>
      <w:r>
        <w:rPr>
          <w:rFonts w:ascii="Cambria" w:cs="Cambria" w:eastAsia="Cambria" w:hAnsi="Cambria"/>
          <w:b/>
          <w:bCs/>
          <w:color w:val="C00000"/>
          <w:sz w:val="18"/>
          <w:szCs w:val="18"/>
        </w:rPr>
        <w:t xml:space="preserve">[EDIT 41] </w:t>
      </w:r>
    </w:p>
    <w:p>
      <w:pPr>
        <w:spacing w:after="140" w:line="300"/>
        <w:jc w:val="both"/>
      </w:pPr>
      <w:r>
        <w:rPr>
          <w:rFonts w:ascii="Cambria" w:cs="Cambria" w:eastAsia="Cambria" w:hAnsi="Cambria"/>
          <w:color w:val="C00000"/>
          <w:sz w:val="24"/>
          <w:szCs w:val="24"/>
        </w:rPr>
        <w:t xml:space="preserve">This condition defines the target verification model. The present prototype implements V_I(u) as a structural DID-format check and records the outcome; cryptographic VC validation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p>
      <w:pPr>
        <w:spacing w:after="40" w:before="60"/>
      </w:pPr>
      <w:r>
        <w:rPr>
          <w:rFonts w:ascii="Cambria" w:cs="Cambria" w:eastAsia="Cambria" w:hAnsi="Cambria"/>
          <w:b/>
          <w:bCs/>
          <w:color w:val="C00000"/>
          <w:sz w:val="18"/>
          <w:szCs w:val="18"/>
        </w:rPr>
        <w:t xml:space="preserve">[EDIT 43] </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every designated guardian must approve before activation; the demonstrated configuration is therefore 2-of-2. A configurable k-of-n threshold is a direct generalisation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40" w:before="60"/>
      </w:pPr>
      <w:r>
        <w:rPr>
          <w:rFonts w:ascii="Cambria" w:cs="Cambria" w:eastAsia="Cambria" w:hAnsi="Cambria"/>
          <w:b/>
          <w:bCs/>
          <w:color w:val="C00000"/>
          <w:sz w:val="18"/>
          <w:szCs w:val="18"/>
        </w:rPr>
        <w:t xml:space="preserve">[EDIT 44] </w:t>
      </w:r>
    </w:p>
    <w:p>
      <w:pPr>
        <w:spacing w:after="140" w:line="300"/>
        <w:jc w:val="both"/>
      </w:pPr>
      <w:r>
        <w:rPr>
          <w:rFonts w:ascii="Cambria" w:cs="Cambria" w:eastAsia="Cambria" w:hAnsi="Cambria"/>
          <w:color w:val="C00000"/>
          <w:sz w:val="24"/>
          <w:szCs w:val="24"/>
        </w:rPr>
        <w:t xml:space="preserve">Step 2 — Derive the Authorisation Threshold. The system derives the threshold from the guardian set as N = |G|, so that activation requires a valid approval from every designated guardian.</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trike/>
          <w:color w:val="808080"/>
          <w:sz w:val="21"/>
          <w:szCs w:val="21"/>
        </w:rPr>
        <w:t xml:space="preserve">Consent object C, participant approval a, threshold N</w:t>
      </w:r>
    </w:p>
    <w:p>
      <w:pPr>
        <w:spacing w:after="20"/>
      </w:pPr>
      <w:r>
        <w:rPr>
          <w:rFonts w:ascii="Cambria" w:cs="Cambria" w:eastAsia="Cambria" w:hAnsi="Cambria"/>
          <w:b/>
          <w:bCs/>
          <w:color w:val="C00000"/>
          <w:sz w:val="21"/>
          <w:szCs w:val="21"/>
        </w:rPr>
        <w:t xml:space="preserve">Require: </w:t>
      </w:r>
      <w:r>
        <w:rPr>
          <w:rFonts w:ascii="Cambria" w:cs="Cambria" w:eastAsia="Cambria" w:hAnsi="Cambria"/>
          <w:color w:val="C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C00000"/>
          <w:sz w:val="18"/>
          <w:szCs w:val="18"/>
        </w:rPr>
        <w:t xml:space="preserve">1a:  </w:t>
      </w:r>
      <w:r>
        <w:rPr>
          <w:rFonts w:ascii="Cambria" w:cs="Cambria" w:eastAsia="Cambria" w:hAnsi="Cambria"/>
          <w:color w:val="C00000"/>
          <w:sz w:val="21"/>
          <w:szCs w:val="21"/>
        </w:rPr>
        <w:t xml:space="preserve">N ← |G|</w:t>
      </w:r>
    </w:p>
    <w:p>
      <w:pPr>
        <w:spacing w:after="20"/>
        <w:ind w:left="240"/>
      </w:pPr>
      <w:r>
        <w:rPr>
          <w:rFonts w:ascii="Cambria" w:cs="Cambria" w:eastAsia="Cambria" w:hAnsi="Cambria"/>
          <w:color w:val="AAAAAA"/>
          <w:sz w:val="18"/>
          <w:szCs w:val="18"/>
        </w:rPr>
        <w:t xml:space="preserve">2:  </w:t>
      </w:r>
      <w:r>
        <w:rPr>
          <w:rFonts w:ascii="Cambria" w:cs="Cambria" w:eastAsia="Cambria" w:hAnsi="Cambria"/>
          <w:strike/>
          <w:color w:val="808080"/>
          <w:sz w:val="21"/>
          <w:szCs w:val="21"/>
        </w:rPr>
        <w:t xml:space="preserve">Verify identity and authority of participant submitting a</w:t>
      </w:r>
    </w:p>
    <w:p>
      <w:pPr>
        <w:spacing w:after="20"/>
        <w:ind w:left="240"/>
      </w:pPr>
      <w:r>
        <w:rPr>
          <w:rFonts w:ascii="Cambria" w:cs="Cambria" w:eastAsia="Cambria" w:hAnsi="Cambria"/>
          <w:color w:val="C00000"/>
          <w:sz w:val="18"/>
          <w:szCs w:val="18"/>
        </w:rPr>
        <w:t xml:space="preserve">2:  </w:t>
      </w:r>
      <w:r>
        <w:rPr>
          <w:rFonts w:ascii="Cambria" w:cs="Cambria" w:eastAsia="Cambria" w:hAnsi="Cambria"/>
          <w:color w:val="C00000"/>
          <w:sz w:val="21"/>
          <w:szCs w:val="21"/>
        </w:rPr>
        <w:t xml:space="preserve">signer ← RecoverEIP712(domain, {id</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g, APPROVE},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   ▷ off-chain recovery</w:t>
      </w:r>
    </w:p>
    <w:p>
      <w:pPr>
        <w:spacing w:after="20"/>
        <w:ind w:left="240"/>
      </w:pPr>
      <w:r>
        <w:rPr>
          <w:rFonts w:ascii="Cambria" w:cs="Cambria" w:eastAsia="Cambria" w:hAnsi="Cambria"/>
          <w:color w:val="AAAAAA"/>
          <w:sz w:val="18"/>
          <w:szCs w:val="18"/>
        </w:rPr>
        <w:t xml:space="preserve">3: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verification fails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3: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signer ≠ Addr(g), or the signature binds a different consent, guardian, or chain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Record valid approval a</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Record signature_data[g] ← (signer,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AAAAAA"/>
          <w:sz w:val="18"/>
          <w:szCs w:val="18"/>
        </w:rPr>
        <w:t xml:space="preserve">19:  </w:t>
      </w:r>
      <w:r>
        <w:rPr>
          <w:rFonts w:ascii="Cambria" w:cs="Cambria" w:eastAsia="Cambria" w:hAnsi="Cambria"/>
          <w:strike/>
          <w:color w:val="808080"/>
          <w:sz w:val="21"/>
          <w:szCs w:val="21"/>
        </w:rPr>
        <w:t xml:space="preserve">Generate activation or token evidence</w:t>
      </w:r>
    </w:p>
    <w:p>
      <w:pPr>
        <w:spacing w:after="20"/>
        <w:ind w:left="600"/>
      </w:pPr>
      <w:r>
        <w:rPr>
          <w:rFonts w:ascii="Cambria" w:cs="Cambria" w:eastAsia="Cambria" w:hAnsi="Cambria"/>
          <w:color w:val="C00000"/>
          <w:sz w:val="18"/>
          <w:szCs w:val="18"/>
        </w:rPr>
        <w:t xml:space="preserve">19:  </w:t>
      </w:r>
      <w:r>
        <w:rPr>
          <w:rFonts w:ascii="Cambria" w:cs="Cambria" w:eastAsia="Cambria" w:hAnsi="Cambria"/>
          <w:color w:val="C00000"/>
          <w:sz w:val="21"/>
          <w:szCs w:val="21"/>
        </w:rPr>
        <w:t xml:space="preserve">state ← PENDING_TOKEN</w:t>
      </w:r>
    </w:p>
    <w:p>
      <w:pPr>
        <w:spacing w:after="20"/>
        <w:ind w:left="600"/>
      </w:pPr>
      <w:r>
        <w:rPr>
          <w:rFonts w:ascii="Cambria" w:cs="Cambria" w:eastAsia="Cambria" w:hAnsi="Cambria"/>
          <w:color w:val="C00000"/>
          <w:sz w:val="18"/>
          <w:szCs w:val="18"/>
        </w:rPr>
        <w:t xml:space="preserve">19a:  </w:t>
      </w:r>
      <w:r>
        <w:rPr>
          <w:rFonts w:ascii="Cambria" w:cs="Cambria" w:eastAsia="Cambria" w:hAnsi="Cambria"/>
          <w:color w:val="C00000"/>
          <w:sz w:val="21"/>
          <w:szCs w:val="21"/>
        </w:rPr>
        <w:t xml:space="preserve">submit mintConsentV3(addr</w:t>
      </w:r>
      <w:r>
        <w:rPr>
          <w:rFonts w:ascii="Cambria" w:cs="Cambria" w:eastAsia="Cambria" w:hAnsi="Cambria"/>
          <w:color w:val="C00000"/>
          <w:sz w:val="21"/>
          <w:szCs w:val="21"/>
          <w:vertAlign w:val="subscript"/>
        </w:rPr>
        <w:t xml:space="preserve">p</w:t>
      </w:r>
      <w:r>
        <w:rPr>
          <w:rFonts w:ascii="Cambria" w:cs="Cambria" w:eastAsia="Cambria" w:hAnsi="Cambria"/>
          <w:color w:val="C00000"/>
          <w:sz w:val="21"/>
          <w:szCs w:val="21"/>
        </w:rPr>
        <w:t xml:space="preserve">, addr</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keccak(P</w:t>
      </w:r>
      <w:r>
        <w:rPr>
          <w:rFonts w:ascii="Cambria" w:cs="Cambria" w:eastAsia="Cambria" w:hAnsi="Cambria"/>
          <w:color w:val="C00000"/>
          <w:sz w:val="21"/>
          <w:szCs w:val="21"/>
          <w:vertAlign w:val="subscript"/>
        </w:rPr>
        <w:t xml:space="preserve">u</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L, burnAuth) via the owner account   ▷ background job; reconciled on next lookup</w:t>
      </w:r>
    </w:p>
    <w:p>
      <w:pPr>
        <w:spacing w:after="20"/>
        <w:ind w:left="600"/>
      </w:pPr>
      <w:r>
        <w:rPr>
          <w:rFonts w:ascii="Cambria" w:cs="Cambria" w:eastAsia="Cambria" w:hAnsi="Cambria"/>
          <w:color w:val="C00000"/>
          <w:sz w:val="18"/>
          <w:szCs w:val="18"/>
        </w:rPr>
        <w:t xml:space="preserve">19b:  </w:t>
      </w:r>
      <w:r>
        <w:rPr>
          <w:rFonts w:ascii="Cambria" w:cs="Cambria" w:eastAsia="Cambria" w:hAnsi="Cambria"/>
          <w:color w:val="C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AAAAAA"/>
          <w:sz w:val="18"/>
          <w:szCs w:val="18"/>
        </w:rPr>
        <w:t xml:space="preserve">21:  </w:t>
      </w:r>
      <w:r>
        <w:rPr>
          <w:rFonts w:ascii="Cambria" w:cs="Cambria" w:eastAsia="Cambria" w:hAnsi="Cambria"/>
          <w:b/>
          <w:bCs/>
          <w:strike/>
          <w:color w:val="808080"/>
          <w:sz w:val="21"/>
          <w:szCs w:val="21"/>
        </w:rPr>
        <w:t xml:space="preserve">return</w:t>
      </w:r>
      <w:r>
        <w:rPr>
          <w:rFonts w:ascii="Cambria" w:cs="Cambria" w:eastAsia="Cambria" w:hAnsi="Cambria"/>
          <w:strike/>
          <w:color w:val="808080"/>
          <w:sz w:val="21"/>
          <w:szCs w:val="21"/>
        </w:rPr>
        <w:t xml:space="preserve"> ALLOW</w:t>
      </w:r>
    </w:p>
    <w:p>
      <w:pPr>
        <w:spacing w:after="20"/>
        <w:ind w:left="600"/>
      </w:pPr>
      <w:r>
        <w:rPr>
          <w:rFonts w:ascii="Cambria" w:cs="Cambria" w:eastAsia="Cambria" w:hAnsi="Cambria"/>
          <w:color w:val="C00000"/>
          <w:sz w:val="18"/>
          <w:szCs w:val="18"/>
        </w:rPr>
        <w:t xml:space="preserve">21: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tabs>
          <w:tab w:val="right" w:pos="9360"/>
        </w:tabs>
        <w:spacing w:after="40" w:before="60"/>
        <w:jc w:val="center"/>
      </w:pPr>
      <w:r>
        <w:rPr>
          <w:rFonts w:ascii="Cambria Math" w:cs="Cambria Math" w:eastAsia="Cambria Math" w:hAnsi="Cambria Math"/>
          <w:i/>
          <w:iCs/>
          <w:strike/>
          <w:color w:val="808080"/>
          <w:sz w:val="22"/>
          <w:szCs w:val="22"/>
        </w:rPr>
        <w:t xml:space="preserve">Decision(C, R) = ALLOW ⟺ V</w:t>
      </w:r>
      <w:r>
        <w:rPr>
          <w:rFonts w:ascii="Cambria Math" w:cs="Cambria Math" w:eastAsia="Cambria Math" w:hAnsi="Cambria Math"/>
          <w:i/>
          <w:iCs/>
          <w:strike/>
          <w:color w:val="808080"/>
          <w:sz w:val="22"/>
          <w:szCs w:val="22"/>
          <w:vertAlign w:val="subscript"/>
        </w:rPr>
        <w:t xml:space="preserve">I</w:t>
      </w:r>
      <w:r>
        <w:rPr>
          <w:rFonts w:ascii="Cambria Math" w:cs="Cambria Math" w:eastAsia="Cambria Math" w:hAnsi="Cambria Math"/>
          <w:i/>
          <w:iCs/>
          <w:strike/>
          <w:color w:val="808080"/>
          <w:sz w:val="22"/>
          <w:szCs w:val="22"/>
        </w:rPr>
        <w:t xml:space="preserve">(u) ∧ V</w:t>
      </w:r>
      <w:r>
        <w:rPr>
          <w:rFonts w:ascii="Cambria Math" w:cs="Cambria Math" w:eastAsia="Cambria Math" w:hAnsi="Cambria Math"/>
          <w:i/>
          <w:iCs/>
          <w:strike/>
          <w:color w:val="808080"/>
          <w:sz w:val="22"/>
          <w:szCs w:val="22"/>
          <w:vertAlign w:val="subscript"/>
        </w:rPr>
        <w:t xml:space="preserve">A</w:t>
      </w:r>
      <w:r>
        <w:rPr>
          <w:rFonts w:ascii="Cambria Math" w:cs="Cambria Math" w:eastAsia="Cambria Math" w:hAnsi="Cambria Math"/>
          <w:i/>
          <w:iCs/>
          <w:strike/>
          <w:color w:val="808080"/>
          <w:sz w:val="22"/>
          <w:szCs w:val="22"/>
        </w:rPr>
        <w:t xml:space="preserve">(C) ∧ V</w:t>
      </w:r>
      <w:r>
        <w:rPr>
          <w:rFonts w:ascii="Cambria Math" w:cs="Cambria Math" w:eastAsia="Cambria Math" w:hAnsi="Cambria Math"/>
          <w:i/>
          <w:iCs/>
          <w:strike/>
          <w:color w:val="808080"/>
          <w:sz w:val="22"/>
          <w:szCs w:val="22"/>
          <w:vertAlign w:val="subscript"/>
        </w:rPr>
        <w:t xml:space="preserve">P</w:t>
      </w:r>
      <w:r>
        <w:rPr>
          <w:rFonts w:ascii="Cambria Math" w:cs="Cambria Math" w:eastAsia="Cambria Math" w:hAnsi="Cambria Math"/>
          <w:i/>
          <w:iCs/>
          <w:strike/>
          <w:color w:val="808080"/>
          <w:sz w:val="22"/>
          <w:szCs w:val="22"/>
        </w:rPr>
        <w:t xml:space="preserve">(C, R).</w:t>
      </w:r>
      <w:r>
        <w:rPr>
          <w:rFonts w:ascii="Cambria" w:cs="Cambria" w:eastAsia="Cambria" w:hAnsi="Cambria"/>
          <w:color w:val="808080"/>
          <w:sz w:val="22"/>
          <w:szCs w:val="22"/>
        </w:rPr>
        <w:t xml:space="preserve">	(59)</w:t>
      </w:r>
    </w:p>
    <w:p>
      <w:pPr>
        <w:spacing w:after="40" w:before="60"/>
      </w:pPr>
      <w:r>
        <w:rPr>
          <w:rFonts w:ascii="Cambria" w:cs="Cambria" w:eastAsia="Cambria" w:hAnsi="Cambria"/>
          <w:b/>
          <w:bCs/>
          <w:color w:val="C00000"/>
          <w:sz w:val="18"/>
          <w:szCs w:val="18"/>
        </w:rPr>
        <w:t xml:space="preserve">[EDIT 50] </w:t>
      </w:r>
    </w:p>
    <w:p>
      <w:pPr>
        <w:spacing w:after="140" w:line="300"/>
        <w:jc w:val="both"/>
      </w:pPr>
      <w:r>
        <w:rPr>
          <w:rFonts w:ascii="Cambria" w:cs="Cambria" w:eastAsia="Cambria" w:hAnsi="Cambria"/>
          <w:color w:val="C00000"/>
          <w:sz w:val="24"/>
          <w:szCs w:val="24"/>
        </w:rPr>
        <w:t xml:space="preserve">Decision(C, R, t) = ALLOW ⟺ V_I ∧ V_A ∧ V_P ∧ V_T ∧ V_L, evaluated at every access request; the decision matrix is recorded in the audit ledger with each GRANTED or DENIED result.</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40" w:before="60"/>
      </w:pPr>
      <w:r>
        <w:rPr>
          <w:rFonts w:ascii="Cambria" w:cs="Cambria" w:eastAsia="Cambria" w:hAnsi="Cambria"/>
          <w:b/>
          <w:bCs/>
          <w:color w:val="C00000"/>
          <w:sz w:val="18"/>
          <w:szCs w:val="18"/>
        </w:rPr>
        <w:t xml:space="preserve">[EDIT 57] </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40" w:before="60"/>
      </w:pPr>
      <w:r>
        <w:rPr>
          <w:rFonts w:ascii="Cambria" w:cs="Cambria" w:eastAsia="Cambria" w:hAnsi="Cambria"/>
          <w:b/>
          <w:bCs/>
          <w:color w:val="C00000"/>
          <w:sz w:val="18"/>
          <w:szCs w:val="18"/>
        </w:rPr>
        <w:t xml:space="preserve">[EDIT 56] </w:t>
      </w:r>
    </w:p>
    <w:p>
      <w:pPr>
        <w:spacing w:after="140" w:line="300"/>
        <w:jc w:val="both"/>
      </w:pPr>
      <w:r>
        <w:rPr>
          <w:rFonts w:ascii="Cambria" w:cs="Cambria" w:eastAsia="Cambria" w:hAnsi="Cambria"/>
          <w:color w:val="C00000"/>
          <w:sz w:val="24"/>
          <w:szCs w:val="24"/>
        </w:rPr>
        <w:t xml:space="preserve">a per-request validity layer: validity is re-established at each evaluated access request and recorded as a STATE_CHECK event, rather than assumed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AAAAAA"/>
          <w:sz w:val="18"/>
          <w:szCs w:val="18"/>
        </w:rPr>
        <w:t xml:space="preserve">22: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S</w:t>
      </w:r>
      <w:r>
        <w:rPr>
          <w:rFonts w:ascii="Cambria" w:cs="Cambria" w:eastAsia="Cambria" w:hAnsi="Cambria"/>
          <w:strike/>
          <w:color w:val="808080"/>
          <w:sz w:val="21"/>
          <w:szCs w:val="21"/>
          <w:vertAlign w:val="subscript"/>
        </w:rPr>
        <w:t xml:space="preserve">R</w:t>
      </w:r>
      <w:r>
        <w:rPr>
          <w:rFonts w:ascii="Cambria" w:cs="Cambria" w:eastAsia="Cambria" w:hAnsi="Cambria"/>
          <w:strike/>
          <w:color w:val="808080"/>
          <w:sz w:val="21"/>
          <w:szCs w:val="21"/>
        </w:rPr>
        <w:t xml:space="preserve"> ⊈ S</w:t>
      </w:r>
      <w:r>
        <w:rPr>
          <w:rFonts w:ascii="Cambria" w:cs="Cambria" w:eastAsia="Cambria" w:hAnsi="Cambria"/>
          <w:strike/>
          <w:color w:val="808080"/>
          <w:sz w:val="21"/>
          <w:szCs w:val="21"/>
          <w:vertAlign w:val="subscript"/>
        </w:rPr>
        <w:t xml:space="preserve">C</w:t>
      </w:r>
      <w:r>
        <w:rPr>
          <w:rFonts w:ascii="Cambria" w:cs="Cambria" w:eastAsia="Cambria" w:hAnsi="Cambria"/>
          <w:strike/>
          <w:color w:val="808080"/>
          <w:sz w:val="21"/>
          <w:szCs w:val="21"/>
        </w:rPr>
        <w:t xml:space="preserve">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22: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 or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S</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25a: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t &lt;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or t &gt;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25b: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Jur(R) ≠ Jur(C)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AAAAAA"/>
          <w:sz w:val="18"/>
          <w:szCs w:val="18"/>
        </w:rPr>
        <w:t xml:space="preserve">26:  </w:t>
      </w:r>
      <w:r>
        <w:rPr>
          <w:rFonts w:ascii="Cambria" w:cs="Cambria" w:eastAsia="Cambria" w:hAnsi="Cambria"/>
          <w:strike/>
          <w:color w:val="808080"/>
          <w:sz w:val="21"/>
          <w:szCs w:val="21"/>
        </w:rPr>
        <w:t xml:space="preserve">Generate or verify access evidence</w:t>
      </w:r>
    </w:p>
    <w:p>
      <w:pPr>
        <w:spacing w:after="20"/>
        <w:ind w:left="240"/>
      </w:pPr>
      <w:r>
        <w:rPr>
          <w:rFonts w:ascii="Cambria" w:cs="Cambria" w:eastAsia="Cambria" w:hAnsi="Cambria"/>
          <w:color w:val="C00000"/>
          <w:sz w:val="18"/>
          <w:szCs w:val="18"/>
        </w:rPr>
        <w:t xml:space="preserve">26:  </w:t>
      </w:r>
      <w:r>
        <w:rPr>
          <w:rFonts w:ascii="Cambria" w:cs="Cambria" w:eastAsia="Cambria" w:hAnsi="Cambria"/>
          <w:color w:val="C00000"/>
          <w:sz w:val="21"/>
          <w:szCs w:val="21"/>
        </w:rPr>
        <w:t xml:space="preserve">Generate and verify a Groth16 proof that Poseidon(secret, expiry) equals the public commitment and that t ≤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which means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guarantees, satisfies, and complies with the privacy constraint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There is no execution path where the system can violate the privacy policy.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40" w:before="60"/>
      </w:pPr>
      <w:r>
        <w:rPr>
          <w:rFonts w:ascii="Cambria" w:cs="Cambria" w:eastAsia="Cambria" w:hAnsi="Cambria"/>
          <w:b/>
          <w:bCs/>
          <w:color w:val="C00000"/>
          <w:sz w:val="18"/>
          <w:szCs w:val="18"/>
        </w:rPr>
        <w:t xml:space="preserve">[EDIT 54] </w:t>
      </w:r>
    </w:p>
    <w:p>
      <w:pPr>
        <w:spacing w:after="140" w:line="300"/>
        <w:jc w:val="both"/>
      </w:pPr>
      <w:r>
        <w:rPr>
          <w:rFonts w:ascii="Cambria" w:cs="Cambria" w:eastAsia="Cambria" w:hAnsi="Cambria"/>
          <w:color w:val="C00000"/>
          <w:sz w:val="24"/>
          <w:szCs w:val="24"/>
        </w:rPr>
        <w:t xml:space="preserve">In the implementation the threshold is N-of-N: N = |G|, every designated guardian must sign (2-of-2 in the evaluated configuration); a configurable k-of-n threshold remains future work.</w:t>
      </w:r>
    </w:p>
    <w:p>
      <w:pPr>
        <w:spacing w:after="40" w:before="60"/>
      </w:pPr>
      <w:r>
        <w:rPr>
          <w:rFonts w:ascii="Cambria" w:cs="Cambria" w:eastAsia="Cambria" w:hAnsi="Cambria"/>
          <w:b/>
          <w:bCs/>
          <w:color w:val="C00000"/>
          <w:sz w:val="18"/>
          <w:szCs w:val="18"/>
        </w:rPr>
        <w:t xml:space="preserve">[EDIT 55] </w:t>
      </w:r>
    </w:p>
    <w:p>
      <w:pPr>
        <w:spacing w:after="140" w:line="300"/>
        <w:jc w:val="both"/>
      </w:pPr>
      <w:r>
        <w:rPr>
          <w:rFonts w:ascii="Cambria" w:cs="Cambria" w:eastAsia="Cambria" w:hAnsi="Cambria"/>
          <w:color w:val="C00000"/>
          <w:sz w:val="24"/>
          <w:szCs w:val="24"/>
        </w:rPr>
        <w:t xml:space="preserve">In the prototype, purpose compatibility is an exact match against the consent purpose (stored on-chain as keccak256(purpose)); a formal no-violation proof is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r>
        <w:rPr>
          <w:rFonts w:ascii="Cambria" w:cs="Cambria" w:eastAsia="Cambria" w:hAnsi="Cambria"/>
          <w:sz w:val="22"/>
          <w:szCs w:val="22"/>
        </w:rPr>
        <w:t xml:space="preserve">	(undefined)</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V</w:t>
      </w:r>
      <w:r>
        <w:rPr>
          <w:rFonts w:ascii="Cambria Math" w:cs="Cambria Math" w:eastAsia="Cambria Math" w:hAnsi="Cambria Math"/>
          <w:i/>
          <w:iCs/>
          <w:strike/>
          <w:color w:val="808080"/>
          <w:sz w:val="22"/>
          <w:szCs w:val="22"/>
          <w:vertAlign w:val="subscript"/>
        </w:rPr>
        <w:t xml:space="preserve">L</w:t>
      </w:r>
      <w:r>
        <w:rPr>
          <w:rFonts w:ascii="Cambria Math" w:cs="Cambria Math" w:eastAsia="Cambria Math" w:hAnsi="Cambria Math"/>
          <w:i/>
          <w:iCs/>
          <w:strike/>
          <w:color w:val="808080"/>
          <w:sz w:val="22"/>
          <w:szCs w:val="22"/>
        </w:rPr>
        <w:t xml:space="preserve">(C) = ValidState(C) ∧ ValidTransition(C).</w:t>
      </w:r>
      <w:r>
        <w:rPr>
          <w:rFonts w:ascii="Cambria" w:cs="Cambria" w:eastAsia="Cambria" w:hAnsi="Cambria"/>
          <w:color w:val="808080"/>
          <w:sz w:val="22"/>
          <w:szCs w:val="22"/>
        </w:rPr>
        <w:t xml:space="preserve">	(64)</w:t>
      </w:r>
    </w:p>
    <w:p>
      <w:pPr>
        <w:spacing w:after="40" w:before="60"/>
      </w:pPr>
      <w:r>
        <w:rPr>
          <w:rFonts w:ascii="Cambria" w:cs="Cambria" w:eastAsia="Cambria" w:hAnsi="Cambria"/>
          <w:b/>
          <w:bCs/>
          <w:color w:val="C00000"/>
          <w:sz w:val="18"/>
          <w:szCs w:val="18"/>
        </w:rPr>
        <w:t xml:space="preserve">[EDIT 51] </w:t>
      </w:r>
    </w:p>
    <w:p>
      <w:pPr>
        <w:spacing w:after="140" w:line="300"/>
        <w:jc w:val="both"/>
      </w:pPr>
      <w:r>
        <w:rPr>
          <w:rFonts w:ascii="Cambria" w:cs="Cambria" w:eastAsia="Cambria" w:hAnsi="Cambria"/>
          <w:color w:val="C00000"/>
          <w:sz w:val="24"/>
          <w:szCs w:val="24"/>
        </w:rPr>
        <w:t xml:space="preserve">V_L(C, R) = 1 ⟺ Jur(R) = Jur(C) ∨ Jur(C) = ∅, where the jurisdiction is a two-letter ISO code stored on-chain; lifecycle state and revocation are evaluated within V_A. This check produced the demonstrated denial for jurisdiction SA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sz w:val="24"/>
          <w:szCs w:val="24"/>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The current HALAH code already collects a start time and expiry time during consent creation, but the complete temporal and lifecycle enforcement mechanism remains part of the planned CA3 extension.</w:t>
      </w:r>
    </w:p>
    <w:p>
      <w:pPr>
        <w:spacing w:after="40" w:before="60"/>
      </w:pPr>
      <w:r>
        <w:rPr>
          <w:rFonts w:ascii="Cambria" w:cs="Cambria" w:eastAsia="Cambria" w:hAnsi="Cambria"/>
          <w:b/>
          <w:bCs/>
          <w:color w:val="C00000"/>
          <w:sz w:val="18"/>
          <w:szCs w:val="18"/>
        </w:rPr>
        <w:t xml:space="preserve">[EDIT 58] </w:t>
      </w:r>
    </w:p>
    <w:p>
      <w:pPr>
        <w:spacing w:after="140" w:line="300"/>
        <w:jc w:val="both"/>
      </w:pPr>
      <w:r>
        <w:rPr>
          <w:rFonts w:ascii="Cambria" w:cs="Cambria" w:eastAsia="Cambria" w:hAnsi="Cambria"/>
          <w:color w:val="C00000"/>
          <w:sz w:val="24"/>
          <w:szCs w:val="24"/>
        </w:rPr>
        <w:t xml:space="preserve">Temporal and lifecycle enforcement is implemented: the Consent Engine evaluates t_s ≤ t ≤ t_e at every request, the contract stores notBefore and expiry and exposes checkValid and checkValidAt, and revocation is executed both locally and as an on-chain revoke transaction (block 11,771,307).</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140" w:line="300"/>
        <w:jc w:val="both"/>
      </w:pPr>
      <w:r>
        <w:rPr>
          <w:rFonts w:ascii="Cambria" w:cs="Cambria" w:eastAsia="Cambria" w:hAnsi="Cambria"/>
          <w:sz w:val="24"/>
          <w:szCs w:val="24"/>
        </w:rP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p>
      <w:pPr>
        <w:spacing w:after="40" w:before="60"/>
      </w:pPr>
      <w:r>
        <w:rPr>
          <w:rFonts w:ascii="Cambria" w:cs="Cambria" w:eastAsia="Cambria" w:hAnsi="Cambria"/>
          <w:b/>
          <w:bCs/>
          <w:color w:val="C00000"/>
          <w:sz w:val="18"/>
          <w:szCs w:val="18"/>
        </w:rPr>
        <w:t xml:space="preserve">[EDIT 59] </w:t>
      </w: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expiration, revocation and state transitions already condition the demonstrated access decisions.</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40" w:before="60"/>
      </w:pPr>
      <w:r>
        <w:rPr>
          <w:rFonts w:ascii="Cambria" w:cs="Cambria" w:eastAsia="Cambria" w:hAnsi="Cambria"/>
          <w:b/>
          <w:bCs/>
          <w:color w:val="C00000"/>
          <w:sz w:val="18"/>
          <w:szCs w:val="18"/>
        </w:rPr>
        <w:t xml:space="preserve">[EDIT 62] </w:t>
      </w:r>
    </w:p>
    <w:p>
      <w:pPr>
        <w:spacing w:after="140" w:line="300"/>
        <w:jc w:val="both"/>
      </w:pPr>
      <w:r>
        <w:rPr>
          <w:rFonts w:ascii="Cambria" w:cs="Cambria" w:eastAsia="Cambria" w:hAnsi="Cambria"/>
          <w:color w:val="C00000"/>
          <w:sz w:val="24"/>
          <w:szCs w:val="24"/>
        </w:rPr>
        <w:t xml:space="preserve">The empirical half of this objective has been carried out on the prototype; formal proofs and model checking of the authorisation properties remain future work. Caption: “RO6 workflow for security assurance; the empirical branch has been executed,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strike/>
          <w:color w:val="808080"/>
          <w:sz w:val="24"/>
          <w:szCs w:val="24"/>
        </w:rPr>
        <w:t xml:space="preserve">For current stage, the primary validation conditions are</w:t>
      </w:r>
    </w:p>
    <w:p>
      <w:pPr>
        <w:spacing w:after="40" w:before="60"/>
      </w:pPr>
      <w:r>
        <w:rPr>
          <w:rFonts w:ascii="Cambria" w:cs="Cambria" w:eastAsia="Cambria" w:hAnsi="Cambria"/>
          <w:b/>
          <w:bCs/>
          <w:color w:val="C00000"/>
          <w:sz w:val="18"/>
          <w:szCs w:val="18"/>
        </w:rPr>
        <w:t xml:space="preserve">[EDIT 61] </w:t>
      </w:r>
    </w:p>
    <w:p>
      <w:pPr>
        <w:spacing w:after="80"/>
        <w:jc w:val="center"/>
      </w:pPr>
      <w:r>
        <w:rPr>
          <w:rFonts w:ascii="Cambria Math" w:cs="Cambria Math" w:eastAsia="Cambria Math" w:hAnsi="Cambria Math"/>
          <w:i/>
          <w:iCs/>
          <w:color w:val="C00000"/>
          <w:sz w:val="22"/>
          <w:szCs w:val="22"/>
        </w:rPr>
        <w:t xml:space="preserve">The validated soundness property is Decision = ALLOW ⇒ V_I ∧ V_A ∧ V_P ∧ V_T ∧ V_L, exercised by per-dimension failure tests for each conjunct.</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 The HALAH prototype provides the implementation basis for this evaluation. The current system includes separate patient, guardian, doctor, and auditor interfaces. It also records consent creation, guardian approval, token minting, state checks, and data-access events.</w:t>
      </w:r>
    </w:p>
    <w:p>
      <w:pPr>
        <w:spacing w:after="40" w:before="60"/>
      </w:pPr>
      <w:r>
        <w:rPr>
          <w:rFonts w:ascii="Cambria" w:cs="Cambria" w:eastAsia="Cambria" w:hAnsi="Cambria"/>
          <w:b/>
          <w:bCs/>
          <w:color w:val="C00000"/>
          <w:sz w:val="18"/>
          <w:szCs w:val="18"/>
        </w:rPr>
        <w:t xml:space="preserve">[EDIT 60] </w:t>
      </w:r>
    </w:p>
    <w:p>
      <w:pPr>
        <w:spacing w:after="140" w:line="300"/>
        <w:jc w:val="both"/>
      </w:pPr>
      <w:r>
        <w:rPr>
          <w:rFonts w:ascii="Cambria" w:cs="Cambria" w:eastAsia="Cambria" w:hAnsi="Cambria"/>
          <w:color w:val="C00000"/>
          <w:sz w:val="24"/>
          <w:szCs w:val="24"/>
        </w:rPr>
        <w:t xml:space="preserve">The empirical component has been executed against the prototype: 23 automated tests cover per-dimension matrix failures, EIP-712 signature rejection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r>
        <w:rPr>
          <w:rFonts w:ascii="Cambria" w:cs="Cambria" w:eastAsia="Cambria" w:hAnsi="Cambria"/>
          <w:sz w:val="22"/>
          <w:szCs w:val="22"/>
        </w:rPr>
        <w:t xml:space="preserve">	(undefined)</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40" w:before="60"/>
      </w:pPr>
      <w:r>
        <w:rPr>
          <w:rFonts w:ascii="Cambria" w:cs="Cambria" w:eastAsia="Cambria" w:hAnsi="Cambria"/>
          <w:b/>
          <w:bCs/>
          <w:color w:val="C00000"/>
          <w:sz w:val="18"/>
          <w:szCs w:val="18"/>
        </w:rPr>
        <w:t xml:space="preserve">[EDIT 63] </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only the formal-assurance branch, together with k-of-n thresholds and authenticated requesters, remains for the next stage.</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40" w:before="60"/>
      </w:pPr>
      <w:r>
        <w:rPr>
          <w:rFonts w:ascii="Cambria" w:cs="Cambria" w:eastAsia="Cambria" w:hAnsi="Cambria"/>
          <w:b/>
          <w:bCs/>
          <w:color w:val="C00000"/>
          <w:sz w:val="18"/>
          <w:szCs w:val="18"/>
        </w:rPr>
        <w:t xml:space="preserve">[EDIT 64] </w:t>
      </w:r>
    </w:p>
    <w:p>
      <w:pPr>
        <w:spacing w:after="140" w:line="300"/>
        <w:jc w:val="both"/>
      </w:pPr>
      <w:r>
        <w:rPr>
          <w:rFonts w:ascii="Cambria" w:cs="Cambria" w:eastAsia="Cambria" w:hAnsi="Cambria"/>
          <w:color w:val="C00000"/>
          <w:sz w:val="24"/>
          <w:szCs w:val="24"/>
        </w:rPr>
        <w:t xml:space="preserve">The implemented system enforces the complete rule of Equation (70): access is granted only when VI, VA, VP, VT and VL all hold, with revocation evaluated within VA, and every decision — granted or denied — is logged with the full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spacing w:after="40" w:before="60"/>
      </w:pPr>
      <w:r>
        <w:rPr>
          <w:rFonts w:ascii="Cambria" w:cs="Cambria" w:eastAsia="Cambria" w:hAnsi="Cambria"/>
          <w:b/>
          <w:bCs/>
          <w:color w:val="C00000"/>
          <w:sz w:val="18"/>
          <w:szCs w:val="18"/>
        </w:rPr>
        <w:t xml:space="preserve">[EDIT 65] </w:t>
      </w:r>
    </w:p>
    <w:p>
      <w:pPr>
        <w:spacing w:after="140" w:line="300"/>
        <w:jc w:val="both"/>
      </w:pPr>
      <w:r>
        <w:rPr>
          <w:rFonts w:ascii="Cambria" w:cs="Cambria" w:eastAsia="Cambria" w:hAnsi="Cambria"/>
          <w:color w:val="C00000"/>
          <w:sz w:val="24"/>
          <w:szCs w:val="24"/>
        </w:rPr>
        <w:t xml:space="preserve">(Append to §7.3) In the current prototype the threshold is fixed at N-of-N: every listed guardian must approve, each through an EIP-712 typed-data signature verified by cryptographic recovery, with the two-guardian case evaluated end-to-end. Configurable k-of-n thresholds remain future work. (Append to §7.2) In the prototype, VI performs identifier- and credential-format validation; cryptographic DID resolution against a registry and requester authentication are acknowledged limitations reserved for the next stage.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{Observation, Medic the request should be rejected because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spacing w:after="40" w:before="60"/>
      </w:pPr>
      <w:r>
        <w:rPr>
          <w:rFonts w:ascii="Cambria" w:cs="Cambria" w:eastAsia="Cambria" w:hAnsi="Cambria"/>
          <w:b/>
          <w:bCs/>
          <w:color w:val="C00000"/>
          <w:sz w:val="18"/>
          <w:szCs w:val="18"/>
        </w:rPr>
        <w:t xml:space="preserve">[EDIT 66] </w:t>
      </w:r>
    </w:p>
    <w:p>
      <w:pPr>
        <w:spacing w:after="140" w:line="300"/>
        <w:jc w:val="both"/>
      </w:pPr>
      <w:r>
        <w:rPr>
          <w:rFonts w:ascii="Cambria" w:cs="Cambria" w:eastAsia="Cambria" w:hAnsi="Cambria"/>
          <w:color w:val="C00000"/>
          <w:sz w:val="24"/>
          <w:szCs w:val="24"/>
        </w:rPr>
        <w:t xml:space="preserve">Status: Completed at the prototype level. The policy predicate VP is implemented: each access request declares a purpose and a requested data scope S_R, and the request is rejected whenever S_R is not a subset of the authorised scope S_C. The predicate is evaluated as one term of the complete decision matrix VI ∧ VA ∧ VP ∧ VT ∧ VL, and every denial names the failed checks explicitly in both the interface and the audit ledger. Input validation on consent creation and access requests prevents malformed identifiers, scopes and jurisdictions from reaching the decision logic. Policy-aware access control is therefore an enforced property of the running system rather than an expected outcome.</w:t>
      </w:r>
    </w:p>
    <w:p>
      <w:pPr>
        <w:pStyle w:val="Heading2"/>
        <w:spacing w:after="160" w:before="280"/>
      </w:pPr>
      <w:r>
        <w:t xml:space="preserve">7.5  Progress of RO5: Temporal and Lifecycle Trust</w:t>
      </w:r>
    </w:p>
    <w:p>
      <w:pPr>
        <w:spacing w:after="40" w:before="60"/>
      </w:pPr>
      <w:r>
        <w:rPr>
          <w:rFonts w:ascii="Cambria" w:cs="Cambria" w:eastAsia="Cambria" w:hAnsi="Cambria"/>
          <w:b/>
          <w:bCs/>
          <w:color w:val="C00000"/>
          <w:sz w:val="18"/>
          <w:szCs w:val="18"/>
        </w:rPr>
        <w:t xml:space="preserve">[EDIT 1] </w:t>
      </w:r>
    </w:p>
    <w:p>
      <w:pPr>
        <w:spacing w:after="140" w:line="300"/>
        <w:jc w:val="both"/>
      </w:pPr>
      <w:r>
        <w:rPr>
          <w:rFonts w:ascii="Cambria" w:cs="Cambria" w:eastAsia="Cambria" w:hAnsi="Cambria"/>
          <w:color w:val="C00000"/>
          <w:sz w:val="24"/>
          <w:szCs w:val="24"/>
        </w:rPr>
        <w:t xml:space="preserve">Stage: Current. Objective: Extend the authorisation model with validity periods, expiration, revocation, and controlled consent-state transitions. Implemented in the current prototype: temporal windows are enforced locally and mirrored on-chain, and revocation is executed as a verifiable Sepolia transaction.</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RO5 is reserved primarily for next stage. The objective is to introduce temporal and lifecycle trust so that consent is not considered permanently valid after creation or approval. A future consent validity interval will be represented as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with temporal validity defined as</w:t>
      </w:r>
    </w:p>
    <w:p>
      <w:pPr>
        <w:spacing w:after="40" w:before="60"/>
      </w:pPr>
      <w:r>
        <w:rPr>
          <w:rFonts w:ascii="Cambria" w:cs="Cambria" w:eastAsia="Cambria" w:hAnsi="Cambria"/>
          <w:b/>
          <w:bCs/>
          <w:color w:val="C00000"/>
          <w:sz w:val="18"/>
          <w:szCs w:val="18"/>
        </w:rPr>
        <w:t xml:space="preserve">[EDIT 67] </w:t>
      </w:r>
    </w:p>
    <w:p>
      <w:pPr>
        <w:spacing w:after="140" w:line="300"/>
        <w:jc w:val="both"/>
      </w:pPr>
      <w:r>
        <w:rPr>
          <w:rFonts w:ascii="Cambria" w:cs="Cambria" w:eastAsia="Cambria" w:hAnsi="Cambria"/>
          <w:color w:val="C00000"/>
          <w:sz w:val="24"/>
          <w:szCs w:val="24"/>
        </w:rPr>
        <w:t xml:space="preserve">Status: Largely Completed. RO5 has moved from planned work to implemented capability. The consent validity interval [t_s, t_e] is now enforced by the temporal predicate VT at every access request and is additionally stored on-chain in the SBT as the notBefore and expiry fields, so temporal validity can be verified independently of the application. The consent lifecycle is implemented as an explicit state machine (PENDING_SIGNATURE, PENDING_TOKEN, NOT_STARTED, ACTIVE, EXPIRED,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spacing w:after="40" w:before="60"/>
      </w:pPr>
      <w:r>
        <w:rPr>
          <w:rFonts w:ascii="Cambria" w:cs="Cambria" w:eastAsia="Cambria" w:hAnsi="Cambria"/>
          <w:b/>
          <w:bCs/>
          <w:color w:val="C00000"/>
          <w:sz w:val="18"/>
          <w:szCs w:val="18"/>
        </w:rPr>
        <w:t xml:space="preserve">[EDIT 68] </w:t>
      </w:r>
    </w:p>
    <w:p>
      <w:pPr>
        <w:spacing w:after="140" w:line="300"/>
        <w:jc w:val="both"/>
      </w:pPr>
      <w:r>
        <w:rPr>
          <w:rFonts w:ascii="Cambria" w:cs="Cambria" w:eastAsia="Cambria" w:hAnsi="Cambria"/>
          <w:color w:val="C00000"/>
          <w:sz w:val="24"/>
          <w:szCs w:val="24"/>
        </w:rPr>
        <w:t xml:space="preserve">Status: Partially Completed. Empirical validation now covers all six trust dimensions. A suite of 23 automated tests exercises per-dimension failures of the decision matrix, rejection of invalid EIP-712 guardian signatures, and tampered or expired zero-knowledge proofs. Live validation on Sepolia includes a negative demonstration in which a request declaring jurisdiction SA against a consent issued for AU is denied with VL named as the failed check, and a revocation scenario in which the same consent, once revoked on-chain, is subsequently denied through VA. An independent verification tool re-checks every ledger transaction hash against Sepolia receipts and reads each token back from the contract, reporting that all checks passed, and every granted access is accompanied by a real Groth16 proof generated and verified at request time. The implemented decision rule is Decision(C, R, t) = ALLOW iff VI ∧ VA ∧ VP ∧ VT ∧ VL. Formal security analysis and a systematic performance study remain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strike/>
          <w:color w:val="808080"/>
          <w:sz w:val="24"/>
          <w:szCs w:val="24"/>
        </w:rP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p>
      <w:pPr>
        <w:spacing w:after="40" w:before="60"/>
      </w:pPr>
      <w:r>
        <w:rPr>
          <w:rFonts w:ascii="Cambria" w:cs="Cambria" w:eastAsia="Cambria" w:hAnsi="Cambria"/>
          <w:b/>
          <w:bCs/>
          <w:color w:val="C00000"/>
          <w:sz w:val="18"/>
          <w:szCs w:val="18"/>
        </w:rPr>
        <w:t xml:space="preserve">[EDIT 69] </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narrower: formal definition and verification of the security properties, a systematic performance and overhead study, and the removal of prototype limitations such as N-of-N approval,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40" w:before="60"/>
      </w:pPr>
      <w:r>
        <w:rPr>
          <w:rFonts w:ascii="Cambria" w:cs="Cambria" w:eastAsia="Cambria" w:hAnsi="Cambria"/>
          <w:b/>
          <w:bCs/>
          <w:color w:val="C00000"/>
          <w:sz w:val="18"/>
          <w:szCs w:val="18"/>
        </w:rPr>
        <w:t xml:space="preserve">[EDIT 70 — place at: Page 90, §8, Table 7] </w:t>
      </w:r>
    </w:p>
    <w:p>
      <w:pPr>
        <w:spacing w:after="140" w:line="300"/>
        <w:jc w:val="both"/>
      </w:pPr>
      <w:r>
        <w:rPr>
          <w:rFonts w:ascii="Cambria" w:cs="Cambria" w:eastAsia="Cambria" w:hAnsi="Cambria"/>
          <w:color w:val="C00000"/>
          <w:sz w:val="24"/>
          <w:szCs w:val="24"/>
        </w:rPr>
        <w:t xml:space="preserve">TABLE EDIT — status: “Decentralised implementation and scenario-based validation complete on the Sepolia public testnet; performance evaluation outstanding.” The paper’s empirical section can now draw 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The progression is RO1, RO2, RO3 and then RO4, in which RO1, RO2, and RO3 have been implemented and initially validated through the HALAH prototype. RO4 represents the current transition towards policy-aware access control.</w:t>
      </w:r>
    </w:p>
    <w:p>
      <w:pPr>
        <w:spacing w:after="40" w:before="60"/>
      </w:pPr>
      <w:r>
        <w:rPr>
          <w:rFonts w:ascii="Cambria" w:cs="Cambria" w:eastAsia="Cambria" w:hAnsi="Cambria"/>
          <w:b/>
          <w:bCs/>
          <w:color w:val="C00000"/>
          <w:sz w:val="18"/>
          <w:szCs w:val="18"/>
        </w:rPr>
        <w:t xml:space="preserve">[EDIT 71] </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publicly inspectable on Etherscan.</w:t>
      </w:r>
    </w:p>
    <w:p>
      <w:pPr>
        <w:pStyle w:val="Heading2"/>
        <w:spacing w:after="160" w:before="280"/>
      </w:pPr>
      <w:r>
        <w:t xml:space="preserve">9.2  Next Stage: Planned Work</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first major focus of next stageis the introduction of temporal and lifecycle trust.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spacing w:after="40" w:before="60"/>
      </w:pPr>
      <w:r>
        <w:rPr>
          <w:rFonts w:ascii="Cambria" w:cs="Cambria" w:eastAsia="Cambria" w:hAnsi="Cambria"/>
          <w:b/>
          <w:bCs/>
          <w:color w:val="C00000"/>
          <w:sz w:val="18"/>
          <w:szCs w:val="18"/>
        </w:rPr>
        <w:t xml:space="preserve">[EDIT 72] </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The next stage accordingly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Trust Computing framework providing secure, multi-party patient consent and decentralised healthcare data sharing.</w:t>
            </w:r>
          </w:p>
        </w:tc>
      </w:tr>
    </w:tbl>
    <w:p>
      <w:pPr>
        <w:spacing w:after="180"/>
      </w:pPr>
    </w:p>
    <w:p>
      <w:pPr>
        <w:spacing w:after="40" w:before="60"/>
      </w:pPr>
      <w:r>
        <w:rPr>
          <w:rFonts w:ascii="Cambria" w:cs="Cambria" w:eastAsia="Cambria" w:hAnsi="Cambria"/>
          <w:b/>
          <w:bCs/>
          <w:color w:val="C00000"/>
          <w:sz w:val="18"/>
          <w:szCs w:val="18"/>
        </w:rPr>
        <w:t xml:space="preserve">[EDIT 73 — place at: Page 92, Table 8] </w:t>
      </w:r>
    </w:p>
    <w:p>
      <w:pPr>
        <w:spacing w:after="140" w:line="300"/>
        <w:jc w:val="both"/>
      </w:pPr>
      <w:r>
        <w:rPr>
          <w:rFonts w:ascii="Cambria" w:cs="Cambria" w:eastAsia="Cambria" w:hAnsi="Cambria"/>
          <w:color w:val="C00000"/>
          <w:sz w:val="24"/>
          <w:szCs w:val="24"/>
        </w:rPr>
        <w:t xml:space="preserve">TABLE EDIT — mark Temporal and Lifecycle Trust as Completed (evidence: on-chain notBefore/expiry; revoke transaction in block 11,771,307; state machine); annotate Comprehensive Empirical Validation as partially delivered (23 automated tests; live jurisdiction denial and revocation-then-denial on Sepolia; independent chain verification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IEEE communications surveys &amp; tutorials, 25(1):386–424, 2022.</w:t>
      </w:r>
    </w:p>
    <w:p>
      <w:pPr>
        <w:spacing w:after="140" w:line="300"/>
        <w:jc w:val="both"/>
      </w:pPr>
      <w:r>
        <w:rPr>
          <w:rFonts w:ascii="Cambria" w:cs="Cambria" w:eastAsia="Cambria" w:hAnsi="Cambria"/>
          <w:sz w:val="24"/>
          <w:szCs w:val="24"/>
        </w:rPr>
        <w:t xml:space="preserve">[4] Haotian Deng, Jinwen Liang, Chuan Zhang, Ximeng Liu, Liehuang Zhu, and Song Guo. Futuredid: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xinjiang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IEEe Access, 10:28545–28563, 2022.</w:t>
      </w:r>
    </w:p>
    <w:p>
      <w:pPr>
        <w:spacing w:after="140" w:line="300"/>
        <w:jc w:val="both"/>
      </w:pPr>
      <w:r>
        <w:rPr>
          <w:rFonts w:ascii="Cambria" w:cs="Cambria" w:eastAsia="Cambria" w:hAnsi="Cambria"/>
          <w:sz w:val="24"/>
          <w:szCs w:val="24"/>
        </w:rPr>
        <w:t xml:space="preserve">[11] Rong Jiang, Xue Chen, Yimin Yu, Ying Zhang, and Weiping Ding. Risk and ucon-based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Glann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iot: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pages 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2025.</w:t>
      </w:r>
    </w:p>
    <w:p>
      <w:pPr>
        <w:spacing w:after="140" w:line="300"/>
        <w:jc w:val="both"/>
      </w:pPr>
      <w:r>
        <w:rPr>
          <w:rFonts w:ascii="Cambria" w:cs="Cambria" w:eastAsia="Cambria" w:hAnsi="Cambria"/>
          <w:sz w:val="24"/>
          <w:szCs w:val="24"/>
        </w:rPr>
        <w:t xml:space="preserve">[21] Andrei McCall. Privacy-preserving interoperability in healthcare data ecosystems: balancing data sharing with individual autonomy. IEEE J. Biomed. Health Inform, 28(3):1234–1245, 2024.</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European journal of health law, 30(4):469–480, 2022.</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pages 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iot: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2022.</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Journal of systems architecture, 148:103081, 2024.</w:t>
      </w:r>
    </w:p>
    <w:p>
      <w:pPr>
        <w:spacing w:after="140" w:line="300"/>
        <w:jc w:val="both"/>
      </w:pPr>
      <w:r>
        <w:rPr>
          <w:rFonts w:ascii="Cambria" w:cs="Cambria" w:eastAsia="Cambria" w:hAnsi="Cambria"/>
          <w:sz w:val="24"/>
          <w:szCs w:val="24"/>
        </w:rPr>
        <w:t xml:space="preserve">[33] Jie Yin, Yang Xiao, Qian Chen, Xuefeng Liu, Qingqi Pei, Jianying Zhou, et al. Dp-did: A dynamic and proactive decentralized identity system. IEEE Transactions on Information Forensics and Security, pages 4999–5014, 2025.</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3c62232b6ceb20480e68f424d7993b0e2f73d8.png"/><Relationship Id="rId9" Type="http://schemas.openxmlformats.org/officeDocument/2006/relationships/image" Target="media/d4fcae5448728df700f7fcb56b8fc5a1fc56fa7f.png"/><Relationship Id="rId10" Type="http://schemas.openxmlformats.org/officeDocument/2006/relationships/image" Target="media/2b536558d832546ec393dd67925c929dd6236fad.png"/><Relationship Id="rId11" Type="http://schemas.openxmlformats.org/officeDocument/2006/relationships/image" Target="media/e698f47fea018ba4e2802cc16cd6dfd9035c7463.png"/><Relationship Id="rId12" Type="http://schemas.openxmlformats.org/officeDocument/2006/relationships/image" Target="media/e56b4f992bdd903593631381fadd9d088590b949.png"/><Relationship Id="rId13" Type="http://schemas.openxmlformats.org/officeDocument/2006/relationships/image" Target="media/cfb68299954ed8f8f5e10a9a9db637b9bb1e6943.png"/><Relationship Id="rId14" Type="http://schemas.openxmlformats.org/officeDocument/2006/relationships/image" Target="media/afac86a350f9945eeb94b9ee246e19d29bb41335.png"/><Relationship Id="rId15" Type="http://schemas.openxmlformats.org/officeDocument/2006/relationships/image" Target="media/ee95cfbafdc45fc97602cba6ccc94f86e621b2e0.png"/><Relationship Id="rId16" Type="http://schemas.openxmlformats.org/officeDocument/2006/relationships/image" Target="media/8a0259851c9ce9543a4dd4e70fbf6ef776d64c4f.png"/><Relationship Id="rId17" Type="http://schemas.openxmlformats.org/officeDocument/2006/relationships/image" Target="media/751a1c2ff4c695ebcf2d04aee2d3822c664dbd66.png"/><Relationship Id="rId18" Type="http://schemas.openxmlformats.org/officeDocument/2006/relationships/image" Target="media/6b2eed335569e4023d73a2acfc049e4652246425.png"/><Relationship Id="rId19" Type="http://schemas.openxmlformats.org/officeDocument/2006/relationships/image" Target="media/fcbfc7caea7791f142b62cd810e09ae43c0a3029.png"/><Relationship Id="rId20" Type="http://schemas.openxmlformats.org/officeDocument/2006/relationships/image" Target="media/098992a49f33b5863197c094b0274b3a570ac6b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2026-09-24T21:25:05.999Z</dcterms:created>
  <dcterms:modified xsi:type="dcterms:W3CDTF">2026-09-24T21:25:05.999Z</dcterms:modified>
</cp:coreProperties>
</file>

<file path=docProps/custom.xml><?xml version="1.0" encoding="utf-8"?>
<Properties xmlns="http://schemas.openxmlformats.org/officeDocument/2006/custom-properties" xmlns:vt="http://schemas.openxmlformats.org/officeDocument/2006/docPropsVTypes"/>
</file>