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46</w:t>
      </w:r>
    </w:p>
    <w:p>
      <w:pPr>
        <w:tabs>
          <w:tab w:val="right" w:pos="9128" w:leader="dot"/>
        </w:tabs>
        <w:spacing w:after="100"/>
      </w:pPr>
      <w:r>
        <w:rPr>
          <w:rFonts w:ascii="Times New Roman" w:cs="Times New Roman" w:eastAsia="Times New Roman" w:hAnsi="Times New Roman"/>
          <w:sz w:val="22"/>
          <w:szCs w:val="22"/>
        </w:rPr>
        <w:t xml:space="preserve">11. The Proposed Solution for RO6	49</w:t>
      </w:r>
    </w:p>
    <w:p>
      <w:pPr>
        <w:tabs>
          <w:tab w:val="right" w:pos="9128" w:leader="dot"/>
        </w:tabs>
        <w:spacing w:after="100"/>
      </w:pPr>
      <w:r>
        <w:rPr>
          <w:rFonts w:ascii="Times New Roman" w:cs="Times New Roman" w:eastAsia="Times New Roman" w:hAnsi="Times New Roman"/>
          <w:sz w:val="22"/>
          <w:szCs w:val="22"/>
        </w:rPr>
        <w:t xml:space="preserve">12. Publications Summary	62</w:t>
      </w:r>
    </w:p>
    <w:p>
      <w:pPr>
        <w:tabs>
          <w:tab w:val="right" w:pos="9128" w:leader="dot"/>
        </w:tabs>
        <w:spacing w:after="100"/>
      </w:pPr>
      <w:r>
        <w:rPr>
          <w:rFonts w:ascii="Times New Roman" w:cs="Times New Roman" w:eastAsia="Times New Roman" w:hAnsi="Times New Roman"/>
          <w:sz w:val="22"/>
          <w:szCs w:val="22"/>
        </w:rPr>
        <w:t xml:space="preserve">13. Research Plan	63</w:t>
      </w:r>
    </w:p>
    <w:p>
      <w:pPr>
        <w:tabs>
          <w:tab w:val="right" w:pos="9128" w:leader="dot"/>
        </w:tabs>
        <w:spacing w:after="100"/>
      </w:pPr>
      <w:r>
        <w:rPr>
          <w:rFonts w:ascii="Times New Roman" w:cs="Times New Roman" w:eastAsia="Times New Roman" w:hAnsi="Times New Roman"/>
          <w:sz w:val="22"/>
          <w:szCs w:val="22"/>
        </w:rPr>
        <w:t xml:space="preserve">References	65</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t>
      </w:r>
      <w:r>
        <w:rPr>
          <w:rFonts w:ascii="Times New Roman" w:cs="Times New Roman" w:eastAsia="Times New Roman" w:hAnsi="Times New Roman"/>
          <w:sz w:val="22"/>
          <w:szCs w:val="22"/>
        </w:rPr>
        <w:t xml:space="preserve">while decentralised identifiers [16]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We screened, coded, and assessed every record, and all counts are those of the decision-log checkpoint of 10 September 2026 (decision D-166).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Under decision D-166, a study is core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w:t>
            </w:r>
            <w:r>
              <w:rPr>
                <w:rFonts w:ascii="Times New Roman" w:cs="Times New Roman" w:eastAsia="Times New Roman" w:hAnsi="Times New Roman"/>
                <w:b w:val="false"/>
                <w:bCs w:val="false"/>
                <w:sz w:val="17"/>
                <w:szCs w:val="17"/>
              </w:rPr>
              <w:t xml:space="preserve">Patient Consent in the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[52]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w:t>
      </w:r>
      <w:r>
        <w:rPr>
          <w:rFonts w:ascii="Times New Roman" w:cs="Times New Roman" w:eastAsia="Times New Roman" w:hAnsi="Times New Roman"/>
          <w:sz w:val="22"/>
          <w:szCs w:val="22"/>
        </w:rPr>
        <w:t xml:space="preserve">is demonstrated only by [21, 28, 29],</w:t>
      </w:r>
      <w:r>
        <w:rPr>
          <w:rFonts w:ascii="Times New Roman" w:cs="Times New Roman" w:eastAsia="Times New Roman" w:hAnsi="Times New Roman"/>
          <w:sz w:val="22"/>
          <w:szCs w:val="22"/>
        </w:rPr>
        <w:t xml:space="preserve">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We observed an inverse relation between predicate breadth and assurance strength.</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 </w:t>
      </w:r>
      <w:r>
        <w:rPr>
          <w:rFonts w:ascii="Times New Roman" w:cs="Times New Roman" w:eastAsia="Times New Roman" w:hAnsi="Times New Roman"/>
          <w:sz w:val="22"/>
          <w:szCs w:val="22"/>
        </w:rPr>
        <w:t xml:space="preserve">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[55],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CA3.</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[66],</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reserved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67] </w:t>
      </w:r>
      <w:r>
        <w:rPr>
          <w:rFonts w:ascii="Times New Roman" w:cs="Times New Roman" w:eastAsia="Times New Roman" w:hAnsi="Times New Roman"/>
          <w:sz w:val="22"/>
          <w:szCs w:val="22"/>
        </w:rPr>
        <w:t xml:space="preserve">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[21, 24, 28, 48, 67]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[69]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RO1 to RO4 are delivered in CA2,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w:t>
      </w:r>
      <w:r>
        <w:rPr>
          <w:rFonts w:ascii="Times New Roman" w:cs="Times New Roman" w:eastAsia="Times New Roman" w:hAnsi="Times New Roman"/>
          <w:sz w:val="22"/>
          <w:szCs w:val="22"/>
        </w:rPr>
        <w:t xml:space="preserve">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{g ∈ G |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submitted by g with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contain at least one guardian with a well-formed DID.</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The exception is a consent that is not ACTIVE, whose refusal is reported only in the doctor interface in the prototype.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   </w:t>
      </w:r>
      <w:r>
        <w:rPr>
          <w:rFonts w:ascii="Times New Roman" w:cs="Times New Roman" w:eastAsia="Times New Roman" w:hAnsi="Times New Roman"/>
          <w:sz w:val="19"/>
          <w:szCs w:val="19"/>
        </w:rPr>
        <w:t xml:space="preserve">▷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 The proof shows that the prover knows the secret and the expiry time </w:t>
      </w:r>
      <w:r>
        <w:rPr>
          <w:rFonts w:ascii="Times New Roman" w:cs="Times New Roman" w:eastAsia="Times New Roman" w:hAnsi="Times New Roman"/>
          <w:sz w:val="22"/>
          <w:szCs w:val="22"/>
        </w:rPr>
        <w:t xml:space="preserve">behind a Poseidon commitment [70]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was originally planned for CA3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Five elements remain for CA3.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records an unauthorised state-transition event and returns INVALID, but this is the only step not yet implemented.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This work will constitute a major component of CA3.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[71] that follows ERC-5484 [72]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The creation, approval, and record-display screens (Figure 15, Figure 16 and Figure 18) were captured from a second lifecycle, 04da25f5, which used the same code, contract, and configuration and was anchored as token #2. Figure 17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3352800" cy="3810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identify as remaining for CA3. RO5 and RO6 constitute the principal research agenda for CA3.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57(8):1–36,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the secondary use of health data. Blockchain in Healthcare Today, 9(1),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cc1f3f18db430dce93f3fb19f346c61fa4eb17dd.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92573cd98c306213338e8eb3e9c4547f4ba94ff3.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611ffc9f54ad68955faeb4afc3977b75fcf363f7.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2026-10-04T06:03:19.757Z</dcterms:created>
  <dcterms:modified xsi:type="dcterms:W3CDTF">2026-10-04T06:03:19.757Z</dcterms:modified>
</cp:coreProperties>
</file>

<file path=docProps/custom.xml><?xml version="1.0" encoding="utf-8"?>
<Properties xmlns="http://schemas.openxmlformats.org/officeDocument/2006/custom-properties" xmlns:vt="http://schemas.openxmlformats.org/officeDocument/2006/docPropsVTypes"/>
</file>