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[16]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w:t>
            </w:r>
            <w:r>
              <w:rPr>
                <w:rFonts w:ascii="Times New Roman" w:cs="Times New Roman" w:eastAsia="Times New Roman" w:hAnsi="Times New Roman"/>
                <w:b w:val="false"/>
                <w:bCs w:val="false"/>
                <w:sz w:val="17"/>
                <w:szCs w:val="17"/>
              </w:rPr>
              <w:t xml:space="preserve">Patient Consent in the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[52]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4 is Yes in 10, Partial in 11,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28, 29],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[55], prove only a static encryption predicate. Table 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67] 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67]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[69]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[70]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[71] that follows ERC-5484 [72]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f050c29a in block 11,771,243 (block 11,771,581 for consent 04da25f5 in Figure 16)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2026-10-04T06:03:28.584Z</dcterms:created>
  <dcterms:modified xsi:type="dcterms:W3CDTF">2026-10-04T06:03:28.584Z</dcterms:modified>
</cp:coreProperties>
</file>

<file path=docProps/custom.xml><?xml version="1.0" encoding="utf-8"?>
<Properties xmlns="http://schemas.openxmlformats.org/officeDocument/2006/custom-properties" xmlns:vt="http://schemas.openxmlformats.org/officeDocument/2006/docPropsVTypes"/>
</file>