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rPr>
          <w:color w:val="FF0000"/>
        </w:rPr>
        <w:t>5.1 Introduction</w:t>
      </w:r>
    </w:p>
    <w:p>
      <w:pPr/>
      <w:r>
        <w:rPr>
          <w:color w:val="FF0000"/>
        </w:rP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rPr>
          <w:color w:val="FF0000"/>
        </w:rPr>
        <w:t>1.</w:t>
        <w:tab/>
      </w:r>
      <w:r>
        <w:rPr>
          <w:b/>
          <w:color w:val="FF0000"/>
        </w:rPr>
        <w:t xml:space="preserve">Blockchain: </w:t>
      </w:r>
      <w:r>
        <w:rPr>
          <w:color w:val="FF0000"/>
        </w:rP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rPr>
          <w:color w:val="FF0000"/>
        </w:rPr>
        <w:t>2.</w:t>
        <w:tab/>
      </w:r>
      <w:r>
        <w:rPr>
          <w:b/>
          <w:color w:val="FF0000"/>
        </w:rPr>
        <w:t xml:space="preserve">Solidity: </w:t>
      </w:r>
      <w:r>
        <w:rPr>
          <w:color w:val="FF0000"/>
        </w:rP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rPr>
          <w:color w:val="FF0000"/>
        </w:rPr>
        <w:t>3.</w:t>
        <w:tab/>
      </w:r>
      <w:r>
        <w:rPr>
          <w:b/>
          <w:color w:val="FF0000"/>
        </w:rPr>
        <w:t xml:space="preserve">Python and Streamlit: </w:t>
      </w:r>
      <w:r>
        <w:rPr>
          <w:color w:val="FF0000"/>
        </w:rP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rPr>
          <w:color w:val="FF0000"/>
        </w:rPr>
        <w:t>4.</w:t>
        <w:tab/>
      </w:r>
      <w:r>
        <w:rPr>
          <w:b/>
          <w:color w:val="FF0000"/>
        </w:rPr>
        <w:t xml:space="preserve">EIP-712 and Groth16: </w:t>
      </w:r>
      <w:r>
        <w:rPr>
          <w:color w:val="FF0000"/>
        </w:rP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rPr>
          <w:color w:val="FF0000"/>
        </w:rPr>
        <w:t>5.</w:t>
        <w:tab/>
      </w:r>
      <w:r>
        <w:rPr>
          <w:b/>
          <w:color w:val="FF0000"/>
        </w:rPr>
        <w:t xml:space="preserve">Synthea: </w:t>
      </w:r>
      <w:r>
        <w:rPr>
          <w:color w:val="FF0000"/>
        </w:rPr>
        <w:t>The healthcare records of the prototype are synthetic patients produced by the Synthea generator (Walonoski et al. 2018). The dataset is described in Section 5.7.</w:t>
      </w:r>
    </w:p>
    <w:p>
      <w:pPr/>
      <w:r>
        <w:rPr>
          <w:color w:val="FF0000"/>
        </w:rP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rPr>
          <w:color w:val="FF0000"/>
          <w:highlight w:val="yellow"/>
        </w:rP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rPr>
          <w:color w:val="FF0000"/>
        </w:rPr>
        <w:t>This thesis denotes</w:t>
      </w:r>
      <w:r>
        <w:t xml:space="preserve"> that check V</w:t>
      </w:r>
      <w:r>
        <w:rPr>
          <w:vertAlign w:val="subscript"/>
        </w:rPr>
        <w:t>J</w:t>
      </w:r>
      <w:r>
        <w:t xml:space="preserve"> and treats jurisdiction as a contextual policy condition for the next stage </w:t>
      </w:r>
      <w:r>
        <w:rPr>
          <w:color w:val="FF0000"/>
        </w:rPr>
        <w:t>(Chapter 8)</w:t>
      </w:r>
      <w:r>
        <w:t>.</w:t>
      </w:r>
    </w:p>
    <w:p>
      <w:pPr/>
      <w:r>
        <w:rPr>
          <w:color w:val="FF0000"/>
          <w:highlight w:val="yellow"/>
        </w:rP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color w:val="FF0000"/>
          <w:highlight w:val="yellow"/>
        </w:rPr>
        <w:tab/>
      </w:r>
      <w:r>
        <w:rPr>
          <w:rFonts w:ascii="Cambria Math" w:hAnsi="Cambria Math" w:cs="Cambria Math" w:eastAsia="Cambria Math"/>
          <w:color w:val="FF0000"/>
          <w:sz w:val="18"/>
          <w:highlight w:val="yellow"/>
        </w:rPr>
        <w:t>Decision(C, R, t) = ALLOW ⟺ V</w:t>
      </w:r>
      <w:r>
        <w:rPr>
          <w:rFonts w:ascii="Cambria Math" w:hAnsi="Cambria Math" w:cs="Cambria Math" w:eastAsia="Cambria Math"/>
          <w:color w:val="FF0000"/>
          <w:sz w:val="18"/>
          <w:highlight w:val="yellow"/>
          <w:vertAlign w:val="subscript"/>
        </w:rPr>
        <w:t>I</w:t>
      </w:r>
      <w:r>
        <w:rPr>
          <w:rFonts w:ascii="Cambria Math" w:hAnsi="Cambria Math" w:cs="Cambria Math" w:eastAsia="Cambria Math"/>
          <w:color w:val="FF0000"/>
          <w:sz w:val="18"/>
          <w:highlight w:val="yellow"/>
        </w:rPr>
        <w:t>(u) ∧ V</w:t>
      </w:r>
      <w:r>
        <w:rPr>
          <w:rFonts w:ascii="Cambria Math" w:hAnsi="Cambria Math" w:cs="Cambria Math" w:eastAsia="Cambria Math"/>
          <w:color w:val="FF0000"/>
          <w:sz w:val="18"/>
          <w:highlight w:val="yellow"/>
          <w:vertAlign w:val="subscript"/>
        </w:rPr>
        <w:t>A</w:t>
      </w:r>
      <w:r>
        <w:rPr>
          <w:rFonts w:ascii="Cambria Math" w:hAnsi="Cambria Math" w:cs="Cambria Math" w:eastAsia="Cambria Math"/>
          <w:color w:val="FF0000"/>
          <w:sz w:val="18"/>
          <w:highlight w:val="yellow"/>
        </w:rPr>
        <w:t>(C) ∧ V</w:t>
      </w:r>
      <w:r>
        <w:rPr>
          <w:rFonts w:ascii="Cambria Math" w:hAnsi="Cambria Math" w:cs="Cambria Math" w:eastAsia="Cambria Math"/>
          <w:color w:val="FF0000"/>
          <w:sz w:val="18"/>
          <w:highlight w:val="yellow"/>
          <w:vertAlign w:val="subscript"/>
        </w:rPr>
        <w:t>P</w:t>
      </w:r>
      <w:r>
        <w:rPr>
          <w:rFonts w:ascii="Cambria Math" w:hAnsi="Cambria Math" w:cs="Cambria Math" w:eastAsia="Cambria Math"/>
          <w:color w:val="FF0000"/>
          <w:sz w:val="18"/>
          <w:highlight w:val="yellow"/>
        </w:rPr>
        <w:t>(C, R) ∧ V</w:t>
      </w:r>
      <w:r>
        <w:rPr>
          <w:rFonts w:ascii="Cambria Math" w:hAnsi="Cambria Math" w:cs="Cambria Math" w:eastAsia="Cambria Math"/>
          <w:color w:val="FF0000"/>
          <w:sz w:val="18"/>
          <w:highlight w:val="yellow"/>
          <w:vertAlign w:val="subscript"/>
        </w:rPr>
        <w:t>T</w:t>
      </w:r>
      <w:r>
        <w:rPr>
          <w:rFonts w:ascii="Cambria Math" w:hAnsi="Cambria Math" w:cs="Cambria Math" w:eastAsia="Cambria Math"/>
          <w:color w:val="FF0000"/>
          <w:sz w:val="18"/>
          <w:highlight w:val="yellow"/>
        </w:rPr>
        <w:t>(C, t) ∧ V</w:t>
      </w:r>
      <w:r>
        <w:rPr>
          <w:rFonts w:ascii="Cambria Math" w:hAnsi="Cambria Math" w:cs="Cambria Math" w:eastAsia="Cambria Math"/>
          <w:color w:val="FF0000"/>
          <w:sz w:val="18"/>
          <w:highlight w:val="yellow"/>
          <w:vertAlign w:val="subscript"/>
        </w:rPr>
        <w:t>L</w:t>
      </w:r>
      <w:r>
        <w:rPr>
          <w:rFonts w:ascii="Cambria Math" w:hAnsi="Cambria Math" w:cs="Cambria Math" w:eastAsia="Cambria Math"/>
          <w:color w:val="FF0000"/>
          <w:sz w:val="18"/>
          <w:highlight w:val="yellow"/>
        </w:rPr>
        <w:t>(C).</w:t>
      </w:r>
      <w:r>
        <w:rPr>
          <w:color w:val="FF0000"/>
          <w:highlight w:val="yellow"/>
        </w:rPr>
        <w:tab/>
        <w:t>(5.1)</w:t>
      </w:r>
    </w:p>
    <w:p w14:paraId="54552F6D" w14:textId="77777777" w:rsidR="009262C4" w:rsidRDefault="00000000">
      <w:pPr>
        <w:keepLines/>
        <w:tabs>
          <w:tab w:val="center" w:pos="4564"/>
          <w:tab w:val="right" w:pos="9128"/>
        </w:tabs>
        <w:spacing w:before="80" w:after="160"/>
      </w:pPr>
      <w:r>
        <w:rPr>
          <w:color w:val="FF0000"/>
          <w:highlight w:val="yellow"/>
        </w:rPr>
        <w:tab/>
      </w:r>
      <w:r>
        <w:rPr>
          <w:rFonts w:ascii="Cambria Math" w:hAnsi="Cambria Math" w:cs="Cambria Math" w:eastAsia="Cambria Math"/>
          <w:color w:val="FF0000"/>
          <w:sz w:val="18"/>
          <w:highlight w:val="yellow"/>
        </w:rPr>
        <w:t>¬(V</w:t>
      </w:r>
      <w:r>
        <w:rPr>
          <w:rFonts w:ascii="Cambria Math" w:hAnsi="Cambria Math" w:cs="Cambria Math" w:eastAsia="Cambria Math"/>
          <w:color w:val="FF0000"/>
          <w:sz w:val="18"/>
          <w:highlight w:val="yellow"/>
          <w:vertAlign w:val="subscript"/>
        </w:rPr>
        <w:t>I</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A</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P</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T</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L</w:t>
      </w:r>
      <w:r>
        <w:rPr>
          <w:rFonts w:ascii="Cambria Math" w:hAnsi="Cambria Math" w:cs="Cambria Math" w:eastAsia="Cambria Math"/>
          <w:color w:val="FF0000"/>
          <w:sz w:val="18"/>
          <w:highlight w:val="yellow"/>
        </w:rPr>
        <w:t>) ⟹ Decision(C, R, t) = DENY.</w:t>
      </w:r>
      <w:r>
        <w:rPr>
          <w:color w:val="FF0000"/>
          <w:highlight w:val="yellow"/>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color w:val="FF0000"/>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color w:val="FF0000"/>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highlight w:val="yellow"/>
        </w:rP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highlight w:val="yellow"/>
        </w:rPr>
        <w:t>(5.3)</w:t>
      </w:r>
    </w:p>
    <w:p w14:paraId="63094BBA" w14:textId="77777777" w:rsidR="009262C4" w:rsidRDefault="00000000">
      <w:pPr>
        <w:spacing w:after="110" w:line="264" w:lineRule="auto"/>
        <w:jc w:val="both"/>
      </w:pPr>
      <w:r>
        <w:rPr>
          <w:color w:val="FF0000"/>
          <w:highlight w:val="yellow"/>
        </w:rP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rPr>
          <w:color w:val="FF0000"/>
        </w:rP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rPr>
          <w:color w:val="FF0000"/>
        </w:rPr>
        <w:t>(Chapter 8)</w:t>
      </w:r>
      <w:r>
        <w:t>.</w:t>
      </w:r>
    </w:p>
    <w:p>
      <w:pPr>
        <w:pStyle w:val="3"/>
        <w:keepNext/>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Six-component consent model C = (I, A, P, T, L, E)</w:t>
      </w:r>
      <w:r>
        <w:rPr>
          <w:color w:val="FF0000"/>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rPr>
          <w:color w:val="FF0000"/>
        </w:rPr>
        <w:t xml:space="preserve">T, L, </w:t>
      </w:r>
      <w:r>
        <w:t xml:space="preserve">E), where I represents the verified identity information, A represents the authorisation requirements, P represents the consent purpose and associated permissions, </w:t>
      </w:r>
      <w:r>
        <w:rPr>
          <w:color w:val="FF0000"/>
        </w:rP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5.9.</w:t>
      </w:r>
    </w:p>
    <w:p>
      <w:pPr>
        <w:pStyle w:val="3"/>
        <w:keepNext/>
      </w:pPr>
      <w:r>
        <w:rPr>
          <w:color w:val="FF0000"/>
        </w:rPr>
        <w:t>5.6.1 Aims of Engineering the Prototype System</w:t>
      </w:r>
    </w:p>
    <w:p>
      <w:pPr/>
      <w:r>
        <w:rPr>
          <w:color w:val="FF0000"/>
        </w:rP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rPr>
          <w:color w:val="FF0000"/>
        </w:rP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rPr>
          <w:color w:val="FF0000"/>
        </w:rP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rPr>
          <w:color w:val="FF0000"/>
        </w:rP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color w:val="FF0000"/>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w:t>
            </w:r>
          </w:p>
        </w:tc>
      </w:tr>
    </w:tbl>
    <w:p>
      <w:pPr>
        <w:pStyle w:val="2"/>
        <w:keepNext/>
      </w:pPr>
      <w:r>
        <w:rPr>
          <w:color w:val="FF0000"/>
        </w:rPr>
        <w:t>5.8 Steps in the Working of the Prototype System for Consent Creation</w:t>
      </w:r>
    </w:p>
    <w:p>
      <w:pPr/>
      <w:r>
        <w:rPr>
          <w:color w:val="FF0000"/>
        </w:rP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rPr>
          <w:color w:val="FF0000"/>
        </w:rPr>
        <w:t>5.8.1 Steps in the patient interface</w:t>
      </w:r>
    </w:p>
    <w:p>
      <w:pPr/>
      <w:r>
        <w:rPr>
          <w:color w:val="FF0000"/>
        </w:rPr>
        <w:t>1. The patient selects the role Patient and their own DID, which the prototype loads from the record set.</w:t>
      </w:r>
    </w:p>
    <w:p>
      <w:pPr/>
      <w:r>
        <w:rPr>
          <w:color w:val="FF0000"/>
        </w:rPr>
        <w:t>2. The patient enters the DID of the authorised doctor and the DIDs of the guardians, separated by commas.</w:t>
      </w:r>
    </w:p>
    <w:p>
      <w:pPr/>
      <w:r>
        <w:rPr>
          <w:color w:val="FF0000"/>
        </w:rPr>
        <w:t>3. The patient selects the data modules from Observation, Medication, Condition and Procedure, and sets the start and expiry times.</w:t>
      </w:r>
    </w:p>
    <w:p>
      <w:pPr/>
      <w:r>
        <w:rPr>
          <w:color w:val="FF0000"/>
        </w:rP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rPr>
          <w:color w:val="FF0000"/>
        </w:rPr>
        <w:t>5.8.2 Steps in the service layer</w:t>
      </w:r>
    </w:p>
    <w:p>
      <w:pPr/>
      <w:r>
        <w:rPr>
          <w:color w:val="FF0000"/>
        </w:rP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rPr>
          <w:color w:val="FF0000"/>
        </w:rP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w:t>
      </w:r>
    </w:p>
    <w:p>
      <w:pPr>
        <w:pStyle w:val="2"/>
        <w:keepNext/>
      </w:pPr>
      <w:r>
        <w:rPr>
          <w:color w:val="FF0000"/>
        </w:rPr>
        <w:t>5.9 Prototype Evaluation and Discussion</w:t>
      </w:r>
    </w:p>
    <w:p>
      <w:pPr/>
      <w:r>
        <w:rPr>
          <w:color w:val="FF0000"/>
        </w:rP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rPr>
          <w:color w:val="FF0000"/>
        </w:rPr>
        <w:t>5.9.1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r>
        <w:rPr>
          <w:color w:val="FF0000"/>
        </w:rP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color w:val="FF0000"/>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Every creation is logged; a rejected specification stores and logs nothing.</w:t>
            </w:r>
          </w:p>
        </w:tc>
      </w:tr>
    </w:tbl>
    <w:p>
      <w:pPr>
        <w:pStyle w:val="3"/>
        <w:keepNext/>
      </w:pPr>
      <w:r>
        <w:rPr>
          <w:color w:val="FF0000"/>
        </w:rPr>
        <w:t>5.9.2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user-interface actions from being interpreted directly as trusted authorisation outcomes.</w:t>
            </w:r>
          </w:p>
        </w:tc>
      </w:tr>
    </w:tbl>
    <w:p>
      <w:pPr/>
      <w:r>
        <w:rPr>
          <w:color w:val="FF0000"/>
        </w:rPr>
      </w:r>
    </w:p>
    <w:p>
      <w:pPr/>
      <w:r>
        <w:rPr>
          <w:color w:val="FF0000"/>
        </w:rP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rPr>
          <w:color w:val="FF0000"/>
        </w:rPr>
        <w:t>5.9.3 Discussion</w:t>
      </w:r>
    </w:p>
    <w:p>
      <w:pPr/>
      <w:r>
        <w:rPr>
          <w:color w:val="FF0000"/>
        </w:rP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rPr>
          <w:color w:val="FF0000"/>
        </w:rP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rPr>
          <w:color w:val="FF0000"/>
        </w:rPr>
        <w:t>5.10 Conclusion</w:t>
      </w:r>
    </w:p>
    <w:p>
      <w:pPr/>
      <w:r>
        <w:rPr>
          <w:color w:val="FF0000"/>
        </w:rP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rPr>
          <w:color w:val="FF0000"/>
        </w:rP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rPr>
          <w:color w:val="FF0000"/>
        </w:rP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2026-10-23T01:35:46Z</dcterms:created>
  <dcterms:modified xsi:type="dcterms:W3CDTF">2026-10-23T01:35:46Z</dcterms:modified>
</cp:coreProperties>
</file>