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w:t>
      </w:r>
      <w:r>
        <w:rPr>
          <w:rFonts w:ascii="Times New Roman" w:cs="Times New Roman" w:eastAsia="Times New Roman" w:hAnsi="Times New Roman"/>
          <w:b/>
          <w:bCs/>
          <w:sz w:val="40"/>
          <w:szCs w:val="40"/>
        </w:rPr>
        <w:t xml:space="preserve">Authorisation</w:t>
      </w:r>
      <w:r>
        <w:rPr>
          <w:rFonts w:ascii="Times New Roman" w:cs="Times New Roman" w:eastAsia="Times New Roman" w:hAnsi="Times New Roman"/>
          <w:b/>
          <w:bCs/>
          <w:sz w:val="40"/>
          <w:szCs w:val="40"/>
        </w:rPr>
        <w:t xml:space="preserve">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29</w:t>
      </w:r>
    </w:p>
    <w:p>
      <w:pPr>
        <w:tabs>
          <w:tab w:val="right" w:pos="9128" w:leader="dot"/>
        </w:tabs>
        <w:spacing w:after="100"/>
      </w:pPr>
      <w:r>
        <w:rPr>
          <w:rFonts w:ascii="Times New Roman" w:cs="Times New Roman" w:eastAsia="Times New Roman" w:hAnsi="Times New Roman"/>
          <w:sz w:val="22"/>
          <w:szCs w:val="22"/>
        </w:rPr>
        <w:t xml:space="preserve">7. The Proposed Solution for RO2	33</w:t>
      </w:r>
    </w:p>
    <w:p>
      <w:pPr>
        <w:tabs>
          <w:tab w:val="right" w:pos="9128" w:leader="dot"/>
        </w:tabs>
        <w:spacing w:after="100"/>
      </w:pPr>
      <w:r>
        <w:rPr>
          <w:rFonts w:ascii="Times New Roman" w:cs="Times New Roman" w:eastAsia="Times New Roman" w:hAnsi="Times New Roman"/>
          <w:sz w:val="22"/>
          <w:szCs w:val="22"/>
        </w:rPr>
        <w:t xml:space="preserve">8. The Proposed Solution for RO3	37</w:t>
      </w:r>
    </w:p>
    <w:p>
      <w:pPr>
        <w:tabs>
          <w:tab w:val="right" w:pos="9128" w:leader="dot"/>
        </w:tabs>
        <w:spacing w:after="100"/>
      </w:pPr>
      <w:r>
        <w:rPr>
          <w:rFonts w:ascii="Times New Roman" w:cs="Times New Roman" w:eastAsia="Times New Roman" w:hAnsi="Times New Roman"/>
          <w:sz w:val="22"/>
          <w:szCs w:val="22"/>
        </w:rPr>
        <w:t xml:space="preserve">9. The Proposed Solution for RO4	42</w:t>
      </w:r>
    </w:p>
    <w:p>
      <w:pPr>
        <w:tabs>
          <w:tab w:val="right" w:pos="9128" w:leader="dot"/>
        </w:tabs>
        <w:spacing w:after="100"/>
      </w:pPr>
      <w:r>
        <w:rPr>
          <w:rFonts w:ascii="Times New Roman" w:cs="Times New Roman" w:eastAsia="Times New Roman" w:hAnsi="Times New Roman"/>
          <w:sz w:val="22"/>
          <w:szCs w:val="22"/>
        </w:rPr>
        <w:t xml:space="preserve">10. The Proposed Solution for RO5	46</w:t>
      </w:r>
    </w:p>
    <w:p>
      <w:pPr>
        <w:tabs>
          <w:tab w:val="right" w:pos="9128" w:leader="dot"/>
        </w:tabs>
        <w:spacing w:after="100"/>
      </w:pPr>
      <w:r>
        <w:rPr>
          <w:rFonts w:ascii="Times New Roman" w:cs="Times New Roman" w:eastAsia="Times New Roman" w:hAnsi="Times New Roman"/>
          <w:sz w:val="22"/>
          <w:szCs w:val="22"/>
        </w:rPr>
        <w:t xml:space="preserve">11. The Proposed Solution for RO6	49</w:t>
      </w:r>
    </w:p>
    <w:p>
      <w:pPr>
        <w:tabs>
          <w:tab w:val="right" w:pos="9128" w:leader="dot"/>
        </w:tabs>
        <w:spacing w:after="100"/>
      </w:pPr>
      <w:r>
        <w:rPr>
          <w:rFonts w:ascii="Times New Roman" w:cs="Times New Roman" w:eastAsia="Times New Roman" w:hAnsi="Times New Roman"/>
          <w:sz w:val="22"/>
          <w:szCs w:val="22"/>
        </w:rPr>
        <w:t xml:space="preserve">12. Publications Summary	64</w:t>
      </w:r>
    </w:p>
    <w:p>
      <w:pPr>
        <w:tabs>
          <w:tab w:val="right" w:pos="9128" w:leader="dot"/>
        </w:tabs>
        <w:spacing w:after="100"/>
      </w:pPr>
      <w:r>
        <w:rPr>
          <w:rFonts w:ascii="Times New Roman" w:cs="Times New Roman" w:eastAsia="Times New Roman" w:hAnsi="Times New Roman"/>
          <w:sz w:val="22"/>
          <w:szCs w:val="22"/>
        </w:rPr>
        <w:t xml:space="preserve">13. Research Plan	65</w:t>
      </w:r>
    </w:p>
    <w:p>
      <w:pPr>
        <w:tabs>
          <w:tab w:val="right" w:pos="9128" w:leader="dot"/>
        </w:tabs>
        <w:spacing w:after="100"/>
      </w:pPr>
      <w:r>
        <w:rPr>
          <w:rFonts w:ascii="Times New Roman" w:cs="Times New Roman" w:eastAsia="Times New Roman" w:hAnsi="Times New Roman"/>
          <w:sz w:val="22"/>
          <w:szCs w:val="22"/>
        </w:rPr>
        <w:t xml:space="preserve">References	67</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w:t>
      </w:r>
      <w:r>
        <w:rPr>
          <w:rFonts w:ascii="Times New Roman" w:cs="Times New Roman" w:eastAsia="Times New Roman" w:hAnsi="Times New Roman"/>
          <w:b/>
          <w:bCs/>
          <w:sz w:val="26"/>
          <w:szCs w:val="26"/>
        </w:rPr>
        <w:t xml:space="preserve">Research Context</w:t>
      </w:r>
    </w:p>
    <w:p>
      <w:pPr>
        <w:spacing w:after="110" w:line="264"/>
        <w:jc w:val="both"/>
      </w:pPr>
      <w:r>
        <w:rPr>
          <w:rFonts w:ascii="Times New Roman" w:cs="Times New Roman" w:eastAsia="Times New Roman" w:hAnsi="Times New Roman"/>
          <w:sz w:val="22"/>
          <w:szCs w:val="22"/>
          <w:highlight w:val="magenta"/>
        </w:rPr>
        <w:t xml:space="preserve">Secure and trustworthy data sharing is now needed</w:t>
      </w:r>
      <w:r>
        <w:rPr>
          <w:rFonts w:ascii="Times New Roman" w:cs="Times New Roman" w:eastAsia="Times New Roman" w:hAnsi="Times New Roman"/>
          <w:sz w:val="22"/>
          <w:szCs w:val="22"/>
        </w:rPr>
        <w:t xml:space="preserve"> across organisational boundaries. Modern digital ecosystems involve multiple independent stakeholders, including individuals, healthcare providers, regulatory authorities, researchers, and third-party data processors </w:t>
      </w:r>
      <w:r>
        <w:rPr>
          <w:rFonts w:ascii="Times New Roman" w:cs="Times New Roman" w:eastAsia="Times New Roman" w:hAnsi="Times New Roman"/>
          <w:sz w:val="22"/>
          <w:szCs w:val="22"/>
          <w:highlight w:val="green"/>
        </w:rPr>
        <w:t xml:space="preserve">[26–28]</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highlight w:val="magenta"/>
        </w:rPr>
        <w:t xml:space="preserve">Digital services make collaboration easier, but they also raise a governance question</w:t>
      </w:r>
      <w:r>
        <w:rPr>
          <w:rFonts w:ascii="Times New Roman" w:cs="Times New Roman" w:eastAsia="Times New Roman" w:hAnsi="Times New Roman"/>
          <w:sz w:val="22"/>
          <w:szCs w:val="22"/>
        </w:rPr>
        <w:t xml:space="preserve">: how can data access be authorised and trusted when the participating entities do not belong to a single administrative or institutional domain? </w:t>
      </w:r>
      <w:r>
        <w:rPr>
          <w:rFonts w:ascii="Times New Roman" w:cs="Times New Roman" w:eastAsia="Times New Roman" w:hAnsi="Times New Roman"/>
          <w:sz w:val="22"/>
          <w:szCs w:val="22"/>
          <w:highlight w:val="magenta"/>
        </w:rPr>
        <w:t xml:space="preserve">Healthcare is a clear example of this problem.</w:t>
      </w:r>
      <w:r>
        <w:rPr>
          <w:rFonts w:ascii="Times New Roman" w:cs="Times New Roman" w:eastAsia="Times New Roman" w:hAnsi="Times New Roman"/>
          <w:sz w:val="22"/>
          <w:szCs w:val="22"/>
        </w:rPr>
        <w:t xml:space="preserve"> The increasing digitisation of healthcare information enables patients, healthcare professionals, guardians, researchers, and healthcare organisations to participate in data-sharing processes </w:t>
      </w:r>
      <w:r>
        <w:rPr>
          <w:rFonts w:ascii="Times New Roman" w:cs="Times New Roman" w:eastAsia="Times New Roman" w:hAnsi="Times New Roman"/>
          <w:sz w:val="22"/>
          <w:szCs w:val="22"/>
          <w:highlight w:val="green"/>
        </w:rPr>
        <w:t xml:space="preserve">[29, 30]</w:t>
      </w:r>
      <w:r>
        <w:rPr>
          <w:rFonts w:ascii="Times New Roman" w:cs="Times New Roman" w:eastAsia="Times New Roman" w:hAnsi="Times New Roman"/>
          <w:sz w:val="22"/>
          <w:szCs w:val="22"/>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w:t>
      </w:r>
      <w:r>
        <w:rPr>
          <w:rFonts w:ascii="Times New Roman" w:cs="Times New Roman" w:eastAsia="Times New Roman" w:hAnsi="Times New Roman"/>
          <w:sz w:val="22"/>
          <w:szCs w:val="22"/>
          <w:highlight w:val="green"/>
        </w:rPr>
        <w:t xml:space="preserve">[31–34]</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w:t>
      </w:r>
      <w:r>
        <w:rPr>
          <w:rFonts w:ascii="Times New Roman" w:cs="Times New Roman" w:eastAsia="Times New Roman" w:hAnsi="Times New Roman"/>
          <w:sz w:val="22"/>
          <w:szCs w:val="22"/>
          <w:highlight w:val="green"/>
        </w:rPr>
        <w:t xml:space="preserve">[34, 35]</w:t>
      </w:r>
      <w:r>
        <w:rPr>
          <w:rFonts w:ascii="Times New Roman" w:cs="Times New Roman" w:eastAsia="Times New Roman" w:hAnsi="Times New Roman"/>
          <w:sz w:val="22"/>
          <w:szCs w:val="22"/>
        </w:rPr>
        <w:t xml:space="preserve">.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w:t>
      </w:r>
      <w:r>
        <w:rPr>
          <w:rFonts w:ascii="Times New Roman" w:cs="Times New Roman" w:eastAsia="Times New Roman" w:hAnsi="Times New Roman"/>
          <w:sz w:val="22"/>
          <w:szCs w:val="22"/>
          <w:highlight w:val="green"/>
        </w:rPr>
        <w:t xml:space="preserve">[29, 36]</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highlight w:val="magenta"/>
        </w:rPr>
        <w:t xml:space="preserve">In these settings, authorisation is a distributed governance problem, not just a check of a user's login and a static permission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highlight w:val="green"/>
        </w:rPr>
        <w:t xml:space="preserve">[37]</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w:t>
      </w:r>
      <w:r>
        <w:rPr>
          <w:rFonts w:ascii="Times New Roman" w:cs="Times New Roman" w:eastAsia="Times New Roman" w:hAnsi="Times New Roman"/>
          <w:sz w:val="22"/>
          <w:szCs w:val="22"/>
          <w:highlight w:val="green"/>
        </w:rPr>
        <w:t xml:space="preserve">[28, 38–40]</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while decentralised identifiers </w:t>
      </w:r>
      <w:r>
        <w:rPr>
          <w:rFonts w:ascii="Times New Roman" w:cs="Times New Roman" w:eastAsia="Times New Roman" w:hAnsi="Times New Roman"/>
          <w:sz w:val="22"/>
          <w:szCs w:val="22"/>
          <w:highlight w:val="green"/>
        </w:rPr>
        <w:t xml:space="preserve">[41]</w:t>
      </w:r>
      <w:r>
        <w:rPr>
          <w:rFonts w:ascii="Times New Roman" w:cs="Times New Roman" w:eastAsia="Times New Roman" w:hAnsi="Times New Roman"/>
          <w:sz w:val="22"/>
          <w:szCs w:val="22"/>
        </w:rPr>
        <w:t xml:space="preserve"> can support the identification</w:t>
      </w:r>
      <w:r>
        <w:rPr>
          <w:rFonts w:ascii="Times New Roman" w:cs="Times New Roman" w:eastAsia="Times New Roman" w:hAnsi="Times New Roman"/>
          <w:sz w:val="22"/>
          <w:szCs w:val="22"/>
        </w:rPr>
        <w:t xml:space="preserve"> of participants without relying exclusively on a central identity provider. Verifiable credentials can provide cryptographically verifiable evidence concerning roles or authority </w:t>
      </w:r>
      <w:r>
        <w:rPr>
          <w:rFonts w:ascii="Times New Roman" w:cs="Times New Roman" w:eastAsia="Times New Roman" w:hAnsi="Times New Roman"/>
          <w:sz w:val="22"/>
          <w:szCs w:val="22"/>
          <w:highlight w:val="green"/>
        </w:rPr>
        <w:t xml:space="preserve">[42]</w:t>
      </w:r>
      <w:r>
        <w:rPr>
          <w:rFonts w:ascii="Times New Roman" w:cs="Times New Roman" w:eastAsia="Times New Roman" w:hAnsi="Times New Roman"/>
          <w:sz w:val="22"/>
          <w:szCs w:val="22"/>
        </w:rPr>
        <w:t xml:space="preserve">, and policy-based access-control mechanisms can restrict access to authorised resources </w:t>
      </w:r>
      <w:r>
        <w:rPr>
          <w:rFonts w:ascii="Times New Roman" w:cs="Times New Roman" w:eastAsia="Times New Roman" w:hAnsi="Times New Roman"/>
          <w:sz w:val="22"/>
          <w:szCs w:val="22"/>
          <w:highlight w:val="green"/>
        </w:rPr>
        <w:t xml:space="preserve">[34, 35, 43]</w:t>
      </w:r>
      <w:r>
        <w:rPr>
          <w:rFonts w:ascii="Times New Roman" w:cs="Times New Roman" w:eastAsia="Times New Roman" w:hAnsi="Times New Roman"/>
          <w:sz w:val="22"/>
          <w:szCs w:val="22"/>
        </w:rPr>
        <w:t xml:space="preserve">. However, an immutable record does not necessarily demonstrate that the participating entities were legitimate, that they possessed the required authority, or that a subsequent data-access request remains consistent with the conditions originally authorised. </w:t>
      </w:r>
      <w:r>
        <w:rPr>
          <w:rFonts w:ascii="Times New Roman" w:cs="Times New Roman" w:eastAsia="Times New Roman" w:hAnsi="Times New Roman"/>
          <w:sz w:val="22"/>
          <w:szCs w:val="22"/>
          <w:highlight w:val="magenta"/>
        </w:rPr>
        <w:t xml:space="preserve">Consent must therefore be treated as an active, evaluable part of the authorisation process, not as a static record of permission</w:t>
      </w:r>
      <w:r>
        <w:rPr>
          <w:rFonts w:ascii="Times New Roman" w:cs="Times New Roman" w:eastAsia="Times New Roman" w:hAnsi="Times New Roman"/>
          <w:sz w:val="22"/>
          <w:szCs w:val="22"/>
        </w:rPr>
        <w:t xml:space="preserve">, extending the dynamic consent perspective </w:t>
      </w:r>
      <w:r>
        <w:rPr>
          <w:rFonts w:ascii="Times New Roman" w:cs="Times New Roman" w:eastAsia="Times New Roman" w:hAnsi="Times New Roman"/>
          <w:sz w:val="22"/>
          <w:szCs w:val="22"/>
          <w:highlight w:val="green"/>
        </w:rPr>
        <w:t xml:space="preserve">[31, 44]</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1.2  </w:t>
      </w:r>
      <w:r>
        <w:rPr>
          <w:rFonts w:ascii="Times New Roman" w:cs="Times New Roman" w:eastAsia="Times New Roman" w:hAnsi="Times New Roman"/>
          <w:b/>
          <w:bCs/>
          <w:sz w:val="26"/>
          <w:szCs w:val="26"/>
        </w:rPr>
        <w:t xml:space="preserve">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w:t>
      </w:r>
      <w:r>
        <w:rPr>
          <w:rFonts w:ascii="Times New Roman" w:cs="Times New Roman" w:eastAsia="Times New Roman" w:hAnsi="Times New Roman"/>
          <w:sz w:val="22"/>
          <w:szCs w:val="22"/>
          <w:highlight w:val="green"/>
        </w:rPr>
        <w:t xml:space="preserve">[44, 45]</w:t>
      </w:r>
      <w:r>
        <w:rPr>
          <w:rFonts w:ascii="Times New Roman" w:cs="Times New Roman" w:eastAsia="Times New Roman" w:hAnsi="Times New Roman"/>
          <w:sz w:val="22"/>
          <w:szCs w:val="22"/>
        </w:rPr>
        <w:t xml:space="preserve">.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w:t>
      </w:r>
      <w:r>
        <w:rPr>
          <w:rFonts w:ascii="Times New Roman" w:cs="Times New Roman" w:eastAsia="Times New Roman" w:hAnsi="Times New Roman"/>
          <w:sz w:val="22"/>
          <w:szCs w:val="22"/>
        </w:rPr>
        <w:t xml:space="preserve">Existing approaches provide important technological components,</w:t>
      </w:r>
      <w:r>
        <w:rPr>
          <w:rFonts w:ascii="Times New Roman" w:cs="Times New Roman" w:eastAsia="Times New Roman" w:hAnsi="Times New Roman"/>
          <w:sz w:val="22"/>
          <w:szCs w:val="22"/>
        </w:rPr>
        <w:t xml:space="preserve"> including decentralised identity and verifiable credentials </w:t>
      </w:r>
      <w:r>
        <w:rPr>
          <w:rFonts w:ascii="Times New Roman" w:cs="Times New Roman" w:eastAsia="Times New Roman" w:hAnsi="Times New Roman"/>
          <w:sz w:val="22"/>
          <w:szCs w:val="22"/>
          <w:highlight w:val="green"/>
        </w:rPr>
        <w:t xml:space="preserve">[14, 25]</w:t>
      </w:r>
      <w:r>
        <w:rPr>
          <w:rFonts w:ascii="Times New Roman" w:cs="Times New Roman" w:eastAsia="Times New Roman" w:hAnsi="Times New Roman"/>
          <w:sz w:val="22"/>
          <w:szCs w:val="22"/>
        </w:rPr>
        <w:t xml:space="preserve">, blockchain-based records </w:t>
      </w:r>
      <w:r>
        <w:rPr>
          <w:rFonts w:ascii="Times New Roman" w:cs="Times New Roman" w:eastAsia="Times New Roman" w:hAnsi="Times New Roman"/>
          <w:sz w:val="22"/>
          <w:szCs w:val="22"/>
          <w:highlight w:val="green"/>
        </w:rPr>
        <w:t xml:space="preserve">[10, 21]</w:t>
      </w:r>
      <w:r>
        <w:rPr>
          <w:rFonts w:ascii="Times New Roman" w:cs="Times New Roman" w:eastAsia="Times New Roman" w:hAnsi="Times New Roman"/>
          <w:sz w:val="22"/>
          <w:szCs w:val="22"/>
        </w:rPr>
        <w:t xml:space="preserve">, multi-party approval mechanisms </w:t>
      </w:r>
      <w:r>
        <w:rPr>
          <w:rFonts w:ascii="Times New Roman" w:cs="Times New Roman" w:eastAsia="Times New Roman" w:hAnsi="Times New Roman"/>
          <w:sz w:val="22"/>
          <w:szCs w:val="22"/>
          <w:highlight w:val="green"/>
        </w:rPr>
        <w:t xml:space="preserve">[4, 16, 20]</w:t>
      </w:r>
      <w:r>
        <w:rPr>
          <w:rFonts w:ascii="Times New Roman" w:cs="Times New Roman" w:eastAsia="Times New Roman" w:hAnsi="Times New Roman"/>
          <w:sz w:val="22"/>
          <w:szCs w:val="22"/>
        </w:rPr>
        <w:t xml:space="preserve">, and policy-based access control </w:t>
      </w:r>
      <w:r>
        <w:rPr>
          <w:rFonts w:ascii="Times New Roman" w:cs="Times New Roman" w:eastAsia="Times New Roman" w:hAnsi="Times New Roman"/>
          <w:sz w:val="22"/>
          <w:szCs w:val="22"/>
          <w:highlight w:val="green"/>
        </w:rPr>
        <w:t xml:space="preserve">[5, 13, 17, 46]</w:t>
      </w:r>
      <w:r>
        <w:rPr>
          <w:rFonts w:ascii="Times New Roman" w:cs="Times New Roman" w:eastAsia="Times New Roman" w:hAnsi="Times New Roman"/>
          <w:sz w:val="22"/>
          <w:szCs w:val="22"/>
        </w:rPr>
        <w:t xml:space="preserve">, as well as several partial combinations </w:t>
      </w:r>
      <w:r>
        <w:rPr>
          <w:rFonts w:ascii="Times New Roman" w:cs="Times New Roman" w:eastAsia="Times New Roman" w:hAnsi="Times New Roman"/>
          <w:sz w:val="22"/>
          <w:szCs w:val="22"/>
          <w:highlight w:val="green"/>
        </w:rPr>
        <w:t xml:space="preserve">[47]</w:t>
      </w:r>
      <w:r>
        <w:rPr>
          <w:rFonts w:ascii="Times New Roman" w:cs="Times New Roman" w:eastAsia="Times New Roman" w:hAnsi="Times New Roman"/>
          <w:sz w:val="22"/>
          <w:szCs w:val="22"/>
        </w:rPr>
        <w:t xml:space="preserve">.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r>
        <w:rPr>
          <w:rFonts w:ascii="Times New Roman" w:cs="Times New Roman" w:eastAsia="Times New Roman" w:hAnsi="Times New Roman"/>
          <w:sz w:val="22"/>
          <w:szCs w:val="22"/>
        </w:rPr>
        <w:t xml:space="preserve"> (SRQ1 to SRQ6, referred to as RQ1 to RQ6)</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1.3  </w:t>
      </w:r>
      <w:r>
        <w:rPr>
          <w:rFonts w:ascii="Times New Roman" w:cs="Times New Roman" w:eastAsia="Times New Roman" w:hAnsi="Times New Roman"/>
          <w:b/>
          <w:bCs/>
          <w:sz w:val="26"/>
          <w:szCs w:val="26"/>
        </w:rPr>
        <w:t xml:space="preserve">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w:t>
      </w:r>
      <w:r>
        <w:rPr>
          <w:rFonts w:ascii="Times New Roman" w:cs="Times New Roman" w:eastAsia="Times New Roman" w:hAnsi="Times New Roman"/>
          <w:sz w:val="22"/>
          <w:szCs w:val="22"/>
          <w:highlight w:val="green"/>
        </w:rPr>
        <w:t xml:space="preserve">[48, 49]</w:t>
      </w:r>
      <w:r>
        <w:rPr>
          <w:rFonts w:ascii="Times New Roman" w:cs="Times New Roman" w:eastAsia="Times New Roman" w:hAnsi="Times New Roman"/>
          <w:sz w:val="22"/>
          <w:szCs w:val="22"/>
        </w:rPr>
        <w:t xml:space="preserve">.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w:t>
      </w:r>
      <w:r>
        <w:rPr>
          <w:rFonts w:ascii="Times New Roman" w:cs="Times New Roman" w:eastAsia="Times New Roman" w:hAnsi="Times New Roman"/>
          <w:sz w:val="22"/>
          <w:szCs w:val="22"/>
          <w:highlight w:val="magenta"/>
        </w:rPr>
        <w:t xml:space="preserve">Together, these conditions decide whether an authorisation decision has enough basis to be trusted, not only whether access was requested.</w:t>
      </w:r>
      <w:r>
        <w:rPr>
          <w:rFonts w:ascii="Times New Roman" w:cs="Times New Roman" w:eastAsia="Times New Roman" w:hAnsi="Times New Roman"/>
          <w:sz w:val="22"/>
          <w:szCs w:val="22"/>
        </w:rPr>
        <w:t xml:space="preserve">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w:t>
      </w:r>
      <w:r>
        <w:rPr>
          <w:rFonts w:ascii="Times New Roman" w:cs="Times New Roman" w:eastAsia="Times New Roman" w:hAnsi="Times New Roman"/>
          <w:sz w:val="22"/>
          <w:szCs w:val="22"/>
          <w:highlight w:val="green"/>
        </w:rPr>
        <w:t xml:space="preserve">[50]</w:t>
      </w:r>
      <w:r>
        <w:rPr>
          <w:rFonts w:ascii="Times New Roman" w:cs="Times New Roman" w:eastAsia="Times New Roman" w:hAnsi="Times New Roman"/>
          <w:sz w:val="22"/>
          <w:szCs w:val="22"/>
        </w:rPr>
        <w:t xml:space="preserve"> are used to construct representative consent workflows. Security properties are demonstrated through adversarial and negative testing, as well as empirical evaluation using the HALAH prototype and representative healthcare data-sharing scenarios, rather than formal proof. </w:t>
      </w:r>
      <w:r>
        <w:rPr>
          <w:rFonts w:ascii="Times New Roman" w:cs="Times New Roman" w:eastAsia="Times New Roman" w:hAnsi="Times New Roman"/>
          <w:sz w:val="22"/>
          <w:szCs w:val="22"/>
        </w:rPr>
        <w:t xml:space="preserve">The current stage covers the work delivered so far,</w:t>
      </w:r>
      <w:r>
        <w:rPr>
          <w:rFonts w:ascii="Times New Roman" w:cs="Times New Roman" w:eastAsia="Times New Roman" w:hAnsi="Times New Roman"/>
          <w:sz w:val="22"/>
          <w:szCs w:val="22"/>
        </w:rPr>
        <w:t xml:space="preserve"> while temporal and lifecycle trust, formal security assurance, and comprehensive empirical validation </w:t>
      </w:r>
      <w:r>
        <w:rPr>
          <w:rFonts w:ascii="Times New Roman" w:cs="Times New Roman" w:eastAsia="Times New Roman" w:hAnsi="Times New Roman"/>
          <w:sz w:val="22"/>
          <w:szCs w:val="22"/>
        </w:rPr>
        <w:t xml:space="preserve">will be developed further in the next stage.</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highlight w:val="magenta"/>
        </w:rPr>
        <w:t xml:space="preserve">The review does not only list technologies that can be applied to healthcare data sharing. It examines</w:t>
      </w:r>
      <w:r>
        <w:rPr>
          <w:rFonts w:ascii="Times New Roman" w:cs="Times New Roman" w:eastAsia="Times New Roman" w:hAnsi="Times New Roman"/>
          <w:sz w:val="22"/>
          <w:szCs w:val="22"/>
        </w:rPr>
        <w:t xml:space="preserve"> how existing approaches address different conditions required for a trustworthy authorisation decision and where conceptual or architectural gaps remain. Healthcare research has emphasised the importance of patient autonomy, privacy, informed consent, and controlled data sharing </w:t>
      </w:r>
      <w:r>
        <w:rPr>
          <w:rFonts w:ascii="Times New Roman" w:cs="Times New Roman" w:eastAsia="Times New Roman" w:hAnsi="Times New Roman"/>
          <w:sz w:val="22"/>
          <w:szCs w:val="22"/>
          <w:highlight w:val="green"/>
        </w:rPr>
        <w:t xml:space="preserve">[29, 31–33, 51]</w:t>
      </w:r>
      <w:r>
        <w:rPr>
          <w:rFonts w:ascii="Times New Roman" w:cs="Times New Roman" w:eastAsia="Times New Roman" w:hAnsi="Times New Roman"/>
          <w:sz w:val="22"/>
          <w:szCs w:val="22"/>
        </w:rPr>
        <w:t xml:space="preserve">. Multi-party trust research has investigated immutable data governance, distributed auditability, and decentralised consent management </w:t>
      </w:r>
      <w:r>
        <w:rPr>
          <w:rFonts w:ascii="Times New Roman" w:cs="Times New Roman" w:eastAsia="Times New Roman" w:hAnsi="Times New Roman"/>
          <w:sz w:val="22"/>
          <w:szCs w:val="22"/>
          <w:highlight w:val="green"/>
        </w:rPr>
        <w:t xml:space="preserve">[28, 43, 52–54]</w:t>
      </w:r>
      <w:r>
        <w:rPr>
          <w:rFonts w:ascii="Times New Roman" w:cs="Times New Roman" w:eastAsia="Times New Roman" w:hAnsi="Times New Roman"/>
          <w:sz w:val="22"/>
          <w:szCs w:val="22"/>
        </w:rPr>
        <w:t xml:space="preserve">. Research on decentralised identity and verifiable credentials has developed mechanisms for self-controlled identity representation, credential verification, selective disclosure, and privacy-preserving authentication </w:t>
      </w:r>
      <w:r>
        <w:rPr>
          <w:rFonts w:ascii="Times New Roman" w:cs="Times New Roman" w:eastAsia="Times New Roman" w:hAnsi="Times New Roman"/>
          <w:sz w:val="22"/>
          <w:szCs w:val="22"/>
          <w:highlight w:val="green"/>
        </w:rPr>
        <w:t xml:space="preserve">[41, 42, 55–58]</w:t>
      </w:r>
      <w:r>
        <w:rPr>
          <w:rFonts w:ascii="Times New Roman" w:cs="Times New Roman" w:eastAsia="Times New Roman" w:hAnsi="Times New Roman"/>
          <w:sz w:val="22"/>
          <w:szCs w:val="22"/>
        </w:rPr>
        <w:t xml:space="preserve">. Access-control research has further investigated role-based, attribute-based, risk-aware, and usage-control approaches for protecting sensitive healthcare information </w:t>
      </w:r>
      <w:r>
        <w:rPr>
          <w:rFonts w:ascii="Times New Roman" w:cs="Times New Roman" w:eastAsia="Times New Roman" w:hAnsi="Times New Roman"/>
          <w:sz w:val="22"/>
          <w:szCs w:val="22"/>
          <w:highlight w:val="green"/>
        </w:rPr>
        <w:t xml:space="preserve">[34, 35, 59, 60]</w:t>
      </w:r>
      <w:r>
        <w:rPr>
          <w:rFonts w:ascii="Times New Roman" w:cs="Times New Roman" w:eastAsia="Times New Roman" w:hAnsi="Times New Roman"/>
          <w:sz w:val="22"/>
          <w:szCs w:val="22"/>
        </w:rPr>
        <w:t xml:space="preserve">. However, the literature also indicates that these mechanisms are commonly developed and evaluated as separate technological components. </w:t>
      </w:r>
      <w:r>
        <w:rPr>
          <w:rFonts w:ascii="Times New Roman" w:cs="Times New Roman" w:eastAsia="Times New Roman" w:hAnsi="Times New Roman"/>
          <w:sz w:val="22"/>
          <w:szCs w:val="22"/>
          <w:highlight w:val="magenta"/>
        </w:rPr>
        <w:t xml:space="preserve">Having the security mechanisms is one thing</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highlight w:val="magenta"/>
        </w:rPr>
        <w:t xml:space="preserve"> combining them into one trustworthy authorisation decision is another.</w:t>
      </w:r>
    </w:p>
    <w:p>
      <w:pPr>
        <w:pStyle w:val="Heading2"/>
        <w:keepNext/>
        <w:spacing w:after="120" w:before="240"/>
      </w:pPr>
      <w:r>
        <w:rPr>
          <w:rFonts w:ascii="Times New Roman" w:cs="Times New Roman" w:eastAsia="Times New Roman" w:hAnsi="Times New Roman"/>
          <w:b/>
          <w:bCs/>
          <w:sz w:val="26"/>
          <w:szCs w:val="26"/>
        </w:rPr>
        <w:t xml:space="preserve">2.1  </w:t>
      </w:r>
      <w:r>
        <w:rPr>
          <w:rFonts w:ascii="Times New Roman" w:cs="Times New Roman" w:eastAsia="Times New Roman" w:hAnsi="Times New Roman"/>
          <w:b/>
          <w:bCs/>
          <w:sz w:val="26"/>
          <w:szCs w:val="26"/>
        </w:rPr>
        <w:t xml:space="preserve">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w:t>
      </w:r>
      <w:r>
        <w:rPr>
          <w:rFonts w:ascii="Times New Roman" w:cs="Times New Roman" w:eastAsia="Times New Roman" w:hAnsi="Times New Roman"/>
          <w:sz w:val="22"/>
          <w:szCs w:val="22"/>
        </w:rPr>
        <w:t xml:space="preserve">Identifiers (DIDs)</w:t>
      </w:r>
      <w:r>
        <w:rPr>
          <w:rFonts w:ascii="Times New Roman" w:cs="Times New Roman" w:eastAsia="Times New Roman" w:hAnsi="Times New Roman"/>
          <w:sz w:val="22"/>
          <w:szCs w:val="22"/>
        </w:rPr>
        <w:t xml:space="preserve">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w:t>
      </w:r>
      <w:r>
        <w:rPr>
          <w:rFonts w:ascii="Times New Roman" w:cs="Times New Roman" w:eastAsia="Times New Roman" w:hAnsi="Times New Roman"/>
          <w:sz w:val="22"/>
          <w:szCs w:val="22"/>
          <w:highlight w:val="green"/>
        </w:rPr>
        <w:t xml:space="preserve">[60]</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w:t>
      </w:r>
      <w:r>
        <w:rPr>
          <w:rFonts w:ascii="Times New Roman" w:cs="Times New Roman" w:eastAsia="Times New Roman" w:hAnsi="Times New Roman"/>
          <w:b/>
          <w:bCs/>
          <w:sz w:val="26"/>
          <w:szCs w:val="26"/>
        </w:rPr>
        <w:t xml:space="preserve">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w:t>
      </w:r>
      <w:r>
        <w:rPr>
          <w:rFonts w:ascii="Times New Roman" w:cs="Times New Roman" w:eastAsia="Times New Roman" w:hAnsi="Times New Roman"/>
          <w:sz w:val="22"/>
          <w:szCs w:val="22"/>
          <w:highlight w:val="green"/>
        </w:rPr>
        <w:t xml:space="preserve">[61]</w:t>
      </w:r>
      <w:r>
        <w:rPr>
          <w:rFonts w:ascii="Times New Roman" w:cs="Times New Roman" w:eastAsia="Times New Roman" w:hAnsi="Times New Roman"/>
          <w:sz w:val="22"/>
          <w:szCs w:val="22"/>
        </w:rPr>
        <w:t xml:space="preserve">.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w:t>
      </w:r>
      <w:r>
        <w:rPr>
          <w:rFonts w:ascii="Times New Roman" w:cs="Times New Roman" w:eastAsia="Times New Roman" w:hAnsi="Times New Roman"/>
          <w:sz w:val="22"/>
          <w:szCs w:val="22"/>
          <w:highlight w:val="magenta"/>
        </w:rPr>
        <w:t xml:space="preserve">All screening, coding, and quality assessment up to the reporting checkpoint were carried out by the author,</w:t>
      </w:r>
      <w:r>
        <w:rPr>
          <w:rFonts w:ascii="Times New Roman" w:cs="Times New Roman" w:eastAsia="Times New Roman" w:hAnsi="Times New Roman"/>
          <w:sz w:val="22"/>
          <w:szCs w:val="22"/>
        </w:rPr>
        <w:t xml:space="preserve">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 Questions 1 to 5 correspond to Req 1 to Req 5, and Questions 6 and 7 together to Req 6. </w:t>
      </w:r>
      <w:r>
        <w:rPr>
          <w:rFonts w:ascii="Times New Roman" w:cs="Times New Roman" w:eastAsia="Times New Roman" w:hAnsi="Times New Roman"/>
          <w:sz w:val="22"/>
          <w:szCs w:val="22"/>
          <w:highlight w:val="magenta"/>
        </w:rPr>
        <w:t xml:space="preserve">The questions follow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w:t>
      </w:r>
      <w:r>
        <w:rPr>
          <w:rFonts w:ascii="Times New Roman" w:cs="Times New Roman" w:eastAsia="Times New Roman" w:hAnsi="Times New Roman"/>
          <w:sz w:val="22"/>
          <w:szCs w:val="22"/>
          <w:highlight w:val="green"/>
        </w:rPr>
        <w:t xml:space="preserve">[2, 7, 10, 21]</w:t>
      </w:r>
      <w:r>
        <w:rPr>
          <w:rFonts w:ascii="Times New Roman" w:cs="Times New Roman" w:eastAsia="Times New Roman" w:hAnsi="Times New Roman"/>
          <w:sz w:val="22"/>
          <w:szCs w:val="22"/>
        </w:rPr>
        <w:t xml:space="preserve">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t>
      </w:r>
      <w:r>
        <w:rPr>
          <w:rFonts w:ascii="Times New Roman" w:cs="Times New Roman" w:eastAsia="Times New Roman" w:hAnsi="Times New Roman"/>
          <w:sz w:val="22"/>
          <w:szCs w:val="22"/>
        </w:rPr>
        <w:t xml:space="preserve">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w:t>
      </w:r>
      <w:r>
        <w:rPr>
          <w:rFonts w:ascii="Times New Roman" w:cs="Times New Roman" w:eastAsia="Times New Roman" w:hAnsi="Times New Roman"/>
          <w:sz w:val="22"/>
          <w:szCs w:val="22"/>
        </w:rPr>
        <w:t xml:space="preserve">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w:t>
      </w:r>
      <w:r>
        <w:rPr>
          <w:rFonts w:ascii="Times New Roman" w:cs="Times New Roman" w:eastAsia="Times New Roman" w:hAnsi="Times New Roman"/>
          <w:sz w:val="22"/>
          <w:szCs w:val="22"/>
        </w:rPr>
        <w:t xml:space="preserve">One full-text report could not be retrieved, and the</w:t>
      </w:r>
      <w:r>
        <w:rPr>
          <w:rFonts w:ascii="Times New Roman" w:cs="Times New Roman" w:eastAsia="Times New Roman" w:hAnsi="Times New Roman"/>
          <w:sz w:val="22"/>
          <w:szCs w:val="22"/>
        </w:rPr>
        <w:t xml:space="preserv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sz w:val="22"/>
          <w:szCs w:val="22"/>
        </w:rPr>
        <w:t xml:space="preserve">Table 1 shows the quality items, how each one was scored, and the rule used for inclusion.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 study is core</w:t>
      </w:r>
      <w:r>
        <w:rPr>
          <w:rFonts w:ascii="Times New Roman" w:cs="Times New Roman" w:eastAsia="Times New Roman" w:hAnsi="Times New Roman"/>
          <w:sz w:val="22"/>
          <w:szCs w:val="22"/>
        </w:rPr>
        <w:t xml:space="preserve"> if its gap-impact verdict is contradicts, weakens, or narrows, or if its T3 coding is Yes or Partial, which gives 23 core studies of the 44. With the two supporting studies of highest quality score 7.0 </w:t>
      </w:r>
      <w:r>
        <w:rPr>
          <w:rFonts w:ascii="Times New Roman" w:cs="Times New Roman" w:eastAsia="Times New Roman" w:hAnsi="Times New Roman"/>
          <w:sz w:val="22"/>
          <w:szCs w:val="22"/>
          <w:highlight w:val="green"/>
        </w:rPr>
        <w:t xml:space="preserve">[2, 9]</w:t>
      </w:r>
      <w:r>
        <w:rPr>
          <w:rFonts w:ascii="Times New Roman" w:cs="Times New Roman" w:eastAsia="Times New Roman" w:hAnsi="Times New Roman"/>
          <w:sz w:val="22"/>
          <w:szCs w:val="22"/>
        </w:rPr>
        <w:t xml:space="preserve">, they form the 25 primary studies, S1 to S25. </w:t>
      </w:r>
      <w:r>
        <w:rPr>
          <w:rFonts w:ascii="Times New Roman" w:cs="Times New Roman" w:eastAsia="Times New Roman" w:hAnsi="Times New Roman"/>
          <w:sz w:val="22"/>
          <w:szCs w:val="22"/>
        </w:rPr>
        <w:t xml:space="preserve">Table 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469582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95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Abbasi et al. </w:t>
            </w:r>
            <w:r>
              <w:rPr>
                <w:rFonts w:ascii="Times New Roman" w:cs="Times New Roman" w:eastAsia="Times New Roman" w:hAnsi="Times New Roman"/>
                <w:b w:val="false"/>
                <w:bCs w:val="false"/>
                <w:sz w:val="17"/>
                <w:szCs w:val="17"/>
                <w:highlight w:val="green"/>
              </w:rPr>
              <w:t xml:space="preserve">[1]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Albalwy et al. </w:t>
            </w:r>
            <w:r>
              <w:rPr>
                <w:rFonts w:ascii="Times New Roman" w:cs="Times New Roman" w:eastAsia="Times New Roman" w:hAnsi="Times New Roman"/>
                <w:b w:val="false"/>
                <w:bCs w:val="false"/>
                <w:sz w:val="17"/>
                <w:szCs w:val="17"/>
                <w:highlight w:val="green"/>
              </w:rPr>
              <w:t xml:space="preserve">[2]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 Amin et al. </w:t>
            </w:r>
            <w:r>
              <w:rPr>
                <w:rFonts w:ascii="Times New Roman" w:cs="Times New Roman" w:eastAsia="Times New Roman" w:hAnsi="Times New Roman"/>
                <w:b w:val="false"/>
                <w:bCs w:val="false"/>
                <w:sz w:val="17"/>
                <w:szCs w:val="17"/>
                <w:highlight w:val="green"/>
              </w:rPr>
              <w:t xml:space="preserve">[3]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Ekholm et al. </w:t>
            </w:r>
            <w:r>
              <w:rPr>
                <w:rFonts w:ascii="Times New Roman" w:cs="Times New Roman" w:eastAsia="Times New Roman" w:hAnsi="Times New Roman"/>
                <w:b w:val="false"/>
                <w:bCs w:val="false"/>
                <w:sz w:val="17"/>
                <w:szCs w:val="17"/>
                <w:highlight w:val="green"/>
              </w:rPr>
              <w:t xml:space="preserve">[4]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Eneh et al. </w:t>
            </w:r>
            <w:r>
              <w:rPr>
                <w:rFonts w:ascii="Times New Roman" w:cs="Times New Roman" w:eastAsia="Times New Roman" w:hAnsi="Times New Roman"/>
                <w:b w:val="false"/>
                <w:bCs w:val="false"/>
                <w:sz w:val="17"/>
                <w:szCs w:val="17"/>
                <w:highlight w:val="green"/>
              </w:rPr>
              <w:t xml:space="preserve">[5]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Hagström et al. </w:t>
            </w:r>
            <w:r>
              <w:rPr>
                <w:rFonts w:ascii="Times New Roman" w:cs="Times New Roman" w:eastAsia="Times New Roman" w:hAnsi="Times New Roman"/>
                <w:b w:val="false"/>
                <w:bCs w:val="false"/>
                <w:sz w:val="17"/>
                <w:szCs w:val="17"/>
                <w:highlight w:val="green"/>
              </w:rPr>
              <w:t xml:space="preserve">[6]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Jaiman and Urovi </w:t>
            </w:r>
            <w:r>
              <w:rPr>
                <w:rFonts w:ascii="Times New Roman" w:cs="Times New Roman" w:eastAsia="Times New Roman" w:hAnsi="Times New Roman"/>
                <w:b w:val="false"/>
                <w:bCs w:val="false"/>
                <w:sz w:val="17"/>
                <w:szCs w:val="17"/>
                <w:highlight w:val="green"/>
              </w:rPr>
              <w:t xml:space="preserve">[7]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Zhao and Su </w:t>
            </w:r>
            <w:r>
              <w:rPr>
                <w:rFonts w:ascii="Times New Roman" w:cs="Times New Roman" w:eastAsia="Times New Roman" w:hAnsi="Times New Roman"/>
                <w:b w:val="false"/>
                <w:bCs w:val="false"/>
                <w:sz w:val="17"/>
                <w:szCs w:val="17"/>
                <w:highlight w:val="green"/>
              </w:rPr>
              <w:t xml:space="preserve">[8]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Li et al. </w:t>
            </w:r>
            <w:r>
              <w:rPr>
                <w:rFonts w:ascii="Times New Roman" w:cs="Times New Roman" w:eastAsia="Times New Roman" w:hAnsi="Times New Roman"/>
                <w:b w:val="false"/>
                <w:bCs w:val="false"/>
                <w:sz w:val="17"/>
                <w:szCs w:val="17"/>
                <w:highlight w:val="green"/>
              </w:rPr>
              <w:t xml:space="preserve">[9]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Madine et al. </w:t>
            </w:r>
            <w:r>
              <w:rPr>
                <w:rFonts w:ascii="Times New Roman" w:cs="Times New Roman" w:eastAsia="Times New Roman" w:hAnsi="Times New Roman"/>
                <w:b w:val="false"/>
                <w:bCs w:val="false"/>
                <w:sz w:val="17"/>
                <w:szCs w:val="17"/>
                <w:highlight w:val="green"/>
              </w:rPr>
              <w:t xml:space="preserve">[10]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Maruthi and Singh </w:t>
            </w:r>
            <w:r>
              <w:rPr>
                <w:rFonts w:ascii="Times New Roman" w:cs="Times New Roman" w:eastAsia="Times New Roman" w:hAnsi="Times New Roman"/>
                <w:b w:val="false"/>
                <w:bCs w:val="false"/>
                <w:sz w:val="17"/>
                <w:szCs w:val="17"/>
                <w:highlight w:val="green"/>
              </w:rPr>
              <w:t xml:space="preserve">[11]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Mei et al. </w:t>
            </w:r>
            <w:r>
              <w:rPr>
                <w:rFonts w:ascii="Times New Roman" w:cs="Times New Roman" w:eastAsia="Times New Roman" w:hAnsi="Times New Roman"/>
                <w:b w:val="false"/>
                <w:bCs w:val="false"/>
                <w:sz w:val="17"/>
                <w:szCs w:val="17"/>
                <w:highlight w:val="green"/>
              </w:rPr>
              <w:t xml:space="preserve">[12]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Panagoulias et al. </w:t>
            </w:r>
            <w:r>
              <w:rPr>
                <w:rFonts w:ascii="Times New Roman" w:cs="Times New Roman" w:eastAsia="Times New Roman" w:hAnsi="Times New Roman"/>
                <w:b w:val="false"/>
                <w:bCs w:val="false"/>
                <w:sz w:val="17"/>
                <w:szCs w:val="17"/>
                <w:highlight w:val="green"/>
              </w:rPr>
              <w:t xml:space="preserve">[13]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highlight w:val="green"/>
              </w:rPr>
              <w:t xml:space="preserve">[14]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highlight w:val="green"/>
              </w:rPr>
              <w:t xml:space="preserve">[15]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Punia et al. </w:t>
            </w:r>
            <w:r>
              <w:rPr>
                <w:rFonts w:ascii="Times New Roman" w:cs="Times New Roman" w:eastAsia="Times New Roman" w:hAnsi="Times New Roman"/>
                <w:b w:val="false"/>
                <w:bCs w:val="false"/>
                <w:sz w:val="17"/>
                <w:szCs w:val="17"/>
                <w:highlight w:val="green"/>
              </w:rPr>
              <w:t xml:space="preserve">[16]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Román-Martínez et al. </w:t>
            </w:r>
            <w:r>
              <w:rPr>
                <w:rFonts w:ascii="Times New Roman" w:cs="Times New Roman" w:eastAsia="Times New Roman" w:hAnsi="Times New Roman"/>
                <w:b w:val="false"/>
                <w:bCs w:val="false"/>
                <w:sz w:val="17"/>
                <w:szCs w:val="17"/>
                <w:highlight w:val="green"/>
              </w:rPr>
              <w:t xml:space="preserve">[17]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Hema et al. </w:t>
            </w:r>
            <w:r>
              <w:rPr>
                <w:rFonts w:ascii="Times New Roman" w:cs="Times New Roman" w:eastAsia="Times New Roman" w:hAnsi="Times New Roman"/>
                <w:b w:val="false"/>
                <w:bCs w:val="false"/>
                <w:sz w:val="17"/>
                <w:szCs w:val="17"/>
                <w:highlight w:val="green"/>
              </w:rPr>
              <w:t xml:space="preserve">[18]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highlight w:val="green"/>
              </w:rPr>
              <w:t xml:space="preserve">[19]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Tan et al. </w:t>
            </w:r>
            <w:r>
              <w:rPr>
                <w:rFonts w:ascii="Times New Roman" w:cs="Times New Roman" w:eastAsia="Times New Roman" w:hAnsi="Times New Roman"/>
                <w:b w:val="false"/>
                <w:bCs w:val="false"/>
                <w:sz w:val="17"/>
                <w:szCs w:val="17"/>
                <w:highlight w:val="green"/>
              </w:rPr>
              <w:t xml:space="preserve">[20]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Tith et al. </w:t>
            </w:r>
            <w:r>
              <w:rPr>
                <w:rFonts w:ascii="Times New Roman" w:cs="Times New Roman" w:eastAsia="Times New Roman" w:hAnsi="Times New Roman"/>
                <w:b w:val="false"/>
                <w:bCs w:val="false"/>
                <w:sz w:val="17"/>
                <w:szCs w:val="17"/>
                <w:highlight w:val="green"/>
              </w:rPr>
              <w:t xml:space="preserve">[21]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Tremper et al. </w:t>
            </w:r>
            <w:r>
              <w:rPr>
                <w:rFonts w:ascii="Times New Roman" w:cs="Times New Roman" w:eastAsia="Times New Roman" w:hAnsi="Times New Roman"/>
                <w:b w:val="false"/>
                <w:bCs w:val="false"/>
                <w:sz w:val="17"/>
                <w:szCs w:val="17"/>
                <w:highlight w:val="green"/>
              </w:rPr>
              <w:t xml:space="preserve">[22]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Tseng et al. </w:t>
            </w:r>
            <w:r>
              <w:rPr>
                <w:rFonts w:ascii="Times New Roman" w:cs="Times New Roman" w:eastAsia="Times New Roman" w:hAnsi="Times New Roman"/>
                <w:b w:val="false"/>
                <w:bCs w:val="false"/>
                <w:sz w:val="17"/>
                <w:szCs w:val="17"/>
                <w:highlight w:val="green"/>
              </w:rPr>
              <w:t xml:space="preserve">[23]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et al. </w:t>
            </w:r>
            <w:r>
              <w:rPr>
                <w:rFonts w:ascii="Times New Roman" w:cs="Times New Roman" w:eastAsia="Times New Roman" w:hAnsi="Times New Roman"/>
                <w:b w:val="false"/>
                <w:bCs w:val="false"/>
                <w:sz w:val="17"/>
                <w:szCs w:val="17"/>
                <w:highlight w:val="green"/>
              </w:rPr>
              <w:t xml:space="preserve">[24]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and Zhang </w:t>
            </w:r>
            <w:r>
              <w:rPr>
                <w:rFonts w:ascii="Times New Roman" w:cs="Times New Roman" w:eastAsia="Times New Roman" w:hAnsi="Times New Roman"/>
                <w:b w:val="false"/>
                <w:bCs w:val="false"/>
                <w:sz w:val="17"/>
                <w:szCs w:val="17"/>
                <w:highlight w:val="green"/>
              </w:rPr>
              <w:t xml:space="preserve">[25]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w:t>
      </w:r>
      <w:r>
        <w:rPr>
          <w:rFonts w:ascii="Times New Roman" w:cs="Times New Roman" w:eastAsia="Times New Roman" w:hAnsi="Times New Roman"/>
          <w:b/>
          <w:bCs/>
          <w:sz w:val="26"/>
          <w:szCs w:val="26"/>
        </w:rPr>
        <w:t xml:space="preserve">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w:t>
      </w:r>
      <w:r>
        <w:rPr>
          <w:rFonts w:ascii="Times New Roman" w:cs="Times New Roman" w:eastAsia="Times New Roman" w:hAnsi="Times New Roman"/>
          <w:sz w:val="22"/>
          <w:szCs w:val="22"/>
        </w:rPr>
        <w:t xml:space="preserve">Each included study was assigned to one stream, normally the one on which it is coded most strongly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S6 </w:t>
      </w:r>
      <w:r>
        <w:rPr>
          <w:rFonts w:ascii="Times New Roman" w:cs="Times New Roman" w:eastAsia="Times New Roman" w:hAnsi="Times New Roman"/>
          <w:sz w:val="22"/>
          <w:szCs w:val="22"/>
          <w:highlight w:val="green"/>
        </w:rPr>
        <w:t xml:space="preserve">[6]</w:t>
      </w:r>
      <w:r>
        <w:rPr>
          <w:rFonts w:ascii="Times New Roman" w:cs="Times New Roman" w:eastAsia="Times New Roman" w:hAnsi="Times New Roman"/>
          <w:sz w:val="22"/>
          <w:szCs w:val="22"/>
        </w:rPr>
        <w:t xml:space="preserve"> is placed in the multi-party stream for its guardian access gate, although it is graded Partial on Req 3.</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SooHoo</w:t>
      </w:r>
      <w:r>
        <w:rPr>
          <w:rFonts w:ascii="Times New Roman" w:cs="Times New Roman" w:eastAsia="Times New Roman" w:hAnsi="Times New Roman"/>
          <w:sz w:val="22"/>
          <w:szCs w:val="22"/>
        </w:rPr>
        <w:t xml:space="preserve"> et al. </w:t>
      </w:r>
      <w:r>
        <w:rPr>
          <w:rFonts w:ascii="Times New Roman" w:cs="Times New Roman" w:eastAsia="Times New Roman" w:hAnsi="Times New Roman"/>
          <w:sz w:val="22"/>
          <w:szCs w:val="22"/>
          <w:highlight w:val="green"/>
        </w:rPr>
        <w:t xml:space="preserve">[19]</w:t>
      </w:r>
      <w:r>
        <w:rPr>
          <w:rFonts w:ascii="Times New Roman" w:cs="Times New Roman" w:eastAsia="Times New Roman" w:hAnsi="Times New Roman"/>
          <w:sz w:val="22"/>
          <w:szCs w:val="22"/>
        </w:rPr>
        <w:t xml:space="preserve"> describe the iAgree portal across three United States health systems with a permissioned Ethereum audit contract, but consent enforcement is outside its scope. Tremper et al. </w:t>
      </w:r>
      <w:r>
        <w:rPr>
          <w:rFonts w:ascii="Times New Roman" w:cs="Times New Roman" w:eastAsia="Times New Roman" w:hAnsi="Times New Roman"/>
          <w:sz w:val="22"/>
          <w:szCs w:val="22"/>
          <w:highlight w:val="green"/>
        </w:rPr>
        <w:t xml:space="preserve">[22]</w:t>
      </w:r>
      <w:r>
        <w:rPr>
          <w:rFonts w:ascii="Times New Roman" w:cs="Times New Roman" w:eastAsia="Times New Roman" w:hAnsi="Times New Roman"/>
          <w:sz w:val="22"/>
          <w:szCs w:val="22"/>
        </w:rPr>
        <w:t xml:space="preserve"> report ten years of the Mainzelliste service with FHIR consent directives, but specify no check semantics and no demonstrated enforcement of withdrawal. </w:t>
      </w:r>
      <w:r>
        <w:rPr>
          <w:rFonts w:ascii="Times New Roman" w:cs="Times New Roman" w:eastAsia="Times New Roman" w:hAnsi="Times New Roman"/>
          <w:sz w:val="22"/>
          <w:szCs w:val="22"/>
        </w:rPr>
        <w:t xml:space="preserve">The two platforms are single-party systems. Al Amin et al. </w:t>
      </w:r>
      <w:r>
        <w:rPr>
          <w:rFonts w:ascii="Times New Roman" w:cs="Times New Roman" w:eastAsia="Times New Roman" w:hAnsi="Times New Roman"/>
          <w:sz w:val="22"/>
          <w:szCs w:val="22"/>
          <w:highlight w:val="green"/>
        </w:rPr>
        <w:t xml:space="preserve">[3]</w:t>
      </w:r>
      <w:r>
        <w:rPr>
          <w:rFonts w:ascii="Times New Roman" w:cs="Times New Roman" w:eastAsia="Times New Roman" w:hAnsi="Times New Roman"/>
          <w:sz w:val="22"/>
          <w:szCs w:val="22"/>
        </w:rPr>
        <w:t xml:space="preserve">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w:t>
      </w:r>
      <w:r>
        <w:rPr>
          <w:rFonts w:ascii="Times New Roman" w:cs="Times New Roman" w:eastAsia="Times New Roman" w:hAnsi="Times New Roman"/>
          <w:sz w:val="22"/>
          <w:szCs w:val="22"/>
        </w:rPr>
        <w:t xml:space="preserve">operation </w:t>
      </w:r>
      <w:r>
        <w:rPr>
          <w:rFonts w:ascii="Times New Roman" w:cs="Times New Roman" w:eastAsia="Times New Roman" w:hAnsi="Times New Roman"/>
          <w:sz w:val="22"/>
          <w:szCs w:val="22"/>
          <w:highlight w:val="green"/>
        </w:rPr>
        <w:t xml:space="preserve">[62, 63]</w:t>
      </w:r>
      <w:r>
        <w:rPr>
          <w:rFonts w:ascii="Times New Roman" w:cs="Times New Roman" w:eastAsia="Times New Roman" w:hAnsi="Times New Roman"/>
          <w:sz w:val="22"/>
          <w:szCs w:val="22"/>
        </w:rPr>
        <w:t xml:space="preserve">, as conditions fixed at encryption time </w:t>
      </w:r>
      <w:r>
        <w:rPr>
          <w:rFonts w:ascii="Times New Roman" w:cs="Times New Roman" w:eastAsia="Times New Roman" w:hAnsi="Times New Roman"/>
          <w:sz w:val="22"/>
          <w:szCs w:val="22"/>
          <w:highlight w:val="green"/>
        </w:rPr>
        <w:t xml:space="preserve">[64]</w:t>
      </w:r>
      <w:r>
        <w:rPr>
          <w:rFonts w:ascii="Times New Roman" w:cs="Times New Roman" w:eastAsia="Times New Roman" w:hAnsi="Times New Roman"/>
          <w:sz w:val="22"/>
          <w:szCs w:val="22"/>
        </w:rPr>
        <w:t xml:space="preserve">, or as a key issued by the patient for each request </w:t>
      </w:r>
      <w:r>
        <w:rPr>
          <w:rFonts w:ascii="Times New Roman" w:cs="Times New Roman" w:eastAsia="Times New Roman" w:hAnsi="Times New Roman"/>
          <w:sz w:val="22"/>
          <w:szCs w:val="22"/>
          <w:highlight w:val="green"/>
        </w:rPr>
        <w:t xml:space="preserve">[65]</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r>
        <w:rPr>
          <w:rFonts w:ascii="Times New Roman" w:cs="Times New Roman" w:eastAsia="Times New Roman" w:hAnsi="Times New Roman"/>
          <w:sz w:val="22"/>
          <w:szCs w:val="22"/>
        </w:rPr>
        <w:t xml:space="preserve"> Table 3 summarises the description and the issues and limitations of each primary study.</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trust dimension T2 was graded Yes in only 10 of the 25 studies and Partial in 15, and the stricter Req 2 grade in Table 4, which needs both identity and authority, is Yes in only 7.</w:t>
      </w:r>
      <w:r>
        <w:rPr>
          <w:rFonts w:ascii="Times New Roman" w:cs="Times New Roman" w:eastAsia="Times New Roman" w:hAnsi="Times New Roman"/>
          <w:sz w:val="22"/>
          <w:szCs w:val="22"/>
        </w:rPr>
        <w:t xml:space="preserve"> Phuyal et al. </w:t>
      </w:r>
      <w:r>
        <w:rPr>
          <w:rFonts w:ascii="Times New Roman" w:cs="Times New Roman" w:eastAsia="Times New Roman" w:hAnsi="Times New Roman"/>
          <w:sz w:val="22"/>
          <w:szCs w:val="22"/>
          <w:highlight w:val="green"/>
        </w:rPr>
        <w:t xml:space="preserve">[14]</w:t>
      </w:r>
      <w:r>
        <w:rPr>
          <w:rFonts w:ascii="Times New Roman" w:cs="Times New Roman" w:eastAsia="Times New Roman" w:hAnsi="Times New Roman"/>
          <w:sz w:val="22"/>
          <w:szCs w:val="22"/>
        </w:rPr>
        <w:t xml:space="preserve">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t>
      </w:r>
      <w:r>
        <w:rPr>
          <w:rFonts w:ascii="Times New Roman" w:cs="Times New Roman" w:eastAsia="Times New Roman" w:hAnsi="Times New Roman"/>
          <w:sz w:val="22"/>
          <w:szCs w:val="22"/>
        </w:rPr>
        <w:t xml:space="preserve">which is among the strongest Req 2 evidence in the corpus.</w:t>
      </w:r>
      <w:r>
        <w:rPr>
          <w:rFonts w:ascii="Times New Roman" w:cs="Times New Roman" w:eastAsia="Times New Roman" w:hAnsi="Times New Roman"/>
          <w:sz w:val="22"/>
          <w:szCs w:val="22"/>
        </w:rPr>
        <w:t xml:space="preserve"> However, a single patient grants consent, the stored expiry is not checked, there is no threat model, and the companion architecture </w:t>
      </w:r>
      <w:r>
        <w:rPr>
          <w:rFonts w:ascii="Times New Roman" w:cs="Times New Roman" w:eastAsia="Times New Roman" w:hAnsi="Times New Roman"/>
          <w:sz w:val="22"/>
          <w:szCs w:val="22"/>
          <w:highlight w:val="green"/>
        </w:rPr>
        <w:t xml:space="preserve">[15]</w:t>
      </w:r>
      <w:r>
        <w:rPr>
          <w:rFonts w:ascii="Times New Roman" w:cs="Times New Roman" w:eastAsia="Times New Roman" w:hAnsi="Times New Roman"/>
          <w:sz w:val="22"/>
          <w:szCs w:val="22"/>
        </w:rPr>
        <w:t xml:space="preserve"> is design-only. Tseng et al. </w:t>
      </w:r>
      <w:r>
        <w:rPr>
          <w:rFonts w:ascii="Times New Roman" w:cs="Times New Roman" w:eastAsia="Times New Roman" w:hAnsi="Times New Roman"/>
          <w:sz w:val="22"/>
          <w:szCs w:val="22"/>
          <w:highlight w:val="green"/>
        </w:rPr>
        <w:t xml:space="preserve">[23]</w:t>
      </w:r>
      <w:r>
        <w:rPr>
          <w:rFonts w:ascii="Times New Roman" w:cs="Times New Roman" w:eastAsia="Times New Roman" w:hAnsi="Times New Roman"/>
          <w:sz w:val="22"/>
          <w:szCs w:val="22"/>
        </w:rPr>
        <w:t xml:space="preserve">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w:t>
      </w:r>
      <w:r>
        <w:rPr>
          <w:rFonts w:ascii="Times New Roman" w:cs="Times New Roman" w:eastAsia="Times New Roman" w:hAnsi="Times New Roman"/>
          <w:sz w:val="22"/>
          <w:szCs w:val="22"/>
          <w:highlight w:val="green"/>
        </w:rPr>
        <w:t xml:space="preserve">[10]</w:t>
      </w:r>
      <w:r>
        <w:rPr>
          <w:rFonts w:ascii="Times New Roman" w:cs="Times New Roman" w:eastAsia="Times New Roman" w:hAnsi="Times New Roman"/>
          <w:sz w:val="22"/>
          <w:szCs w:val="22"/>
        </w:rPr>
        <w:t xml:space="preserve"> require a regulator and a guardian threshold on the incapacitated path, but a single patient key suffices on the normal path. Wu et al. </w:t>
      </w:r>
      <w:r>
        <w:rPr>
          <w:rFonts w:ascii="Times New Roman" w:cs="Times New Roman" w:eastAsia="Times New Roman" w:hAnsi="Times New Roman"/>
          <w:sz w:val="22"/>
          <w:szCs w:val="22"/>
          <w:highlight w:val="green"/>
        </w:rPr>
        <w:t xml:space="preserve">[24]</w:t>
      </w:r>
      <w:r>
        <w:rPr>
          <w:rFonts w:ascii="Times New Roman" w:cs="Times New Roman" w:eastAsia="Times New Roman" w:hAnsi="Times New Roman"/>
          <w:sz w:val="22"/>
          <w:szCs w:val="22"/>
        </w:rPr>
        <w:t xml:space="preserve"> apply a (t, n) investigator threshold to record admission and revocation, and Abbasi et al. </w:t>
      </w:r>
      <w:r>
        <w:rPr>
          <w:rFonts w:ascii="Times New Roman" w:cs="Times New Roman" w:eastAsia="Times New Roman" w:hAnsi="Times New Roman"/>
          <w:sz w:val="22"/>
          <w:szCs w:val="22"/>
          <w:highlight w:val="green"/>
        </w:rPr>
        <w:t xml:space="preserve">[1]</w:t>
      </w:r>
      <w:r>
        <w:rPr>
          <w:rFonts w:ascii="Times New Roman" w:cs="Times New Roman" w:eastAsia="Times New Roman" w:hAnsi="Times New Roman"/>
          <w:sz w:val="22"/>
          <w:szCs w:val="22"/>
        </w:rPr>
        <w:t xml:space="preserve"> use a Shamir (5, 3) threshold for key custody. Punia et al. </w:t>
      </w:r>
      <w:r>
        <w:rPr>
          <w:rFonts w:ascii="Times New Roman" w:cs="Times New Roman" w:eastAsia="Times New Roman" w:hAnsi="Times New Roman"/>
          <w:sz w:val="22"/>
          <w:szCs w:val="22"/>
          <w:highlight w:val="green"/>
        </w:rPr>
        <w:t xml:space="preserve">[16]</w:t>
      </w:r>
      <w:r>
        <w:rPr>
          <w:rFonts w:ascii="Times New Roman" w:cs="Times New Roman" w:eastAsia="Times New Roman" w:hAnsi="Times New Roman"/>
          <w:sz w:val="22"/>
          <w:szCs w:val="22"/>
        </w:rPr>
        <w:t xml:space="preserve"> conjoin an M-of-N multi-signature with an attribute and role policy, but a single emergency officer can bypass the threshold. Tan et al. </w:t>
      </w:r>
      <w:r>
        <w:rPr>
          <w:rFonts w:ascii="Times New Roman" w:cs="Times New Roman" w:eastAsia="Times New Roman" w:hAnsi="Times New Roman"/>
          <w:sz w:val="22"/>
          <w:szCs w:val="22"/>
          <w:highlight w:val="green"/>
        </w:rPr>
        <w:t xml:space="preserve">[20]</w:t>
      </w:r>
      <w:r>
        <w:rPr>
          <w:rFonts w:ascii="Times New Roman" w:cs="Times New Roman" w:eastAsia="Times New Roman" w:hAnsi="Times New Roman"/>
          <w:sz w:val="22"/>
          <w:szCs w:val="22"/>
        </w:rPr>
        <w:t xml:space="preserve"> use patient-appointed verifiers as a contingency, </w:t>
      </w:r>
      <w:r>
        <w:rPr>
          <w:rFonts w:ascii="Times New Roman" w:cs="Times New Roman" w:eastAsia="Times New Roman" w:hAnsi="Times New Roman"/>
          <w:sz w:val="22"/>
          <w:szCs w:val="22"/>
          <w:highlight w:val="green"/>
        </w:rPr>
        <w:t xml:space="preserve">[4]</w:t>
      </w:r>
      <w:r>
        <w:rPr>
          <w:rFonts w:ascii="Times New Roman" w:cs="Times New Roman" w:eastAsia="Times New Roman" w:hAnsi="Times New Roman"/>
          <w:sz w:val="22"/>
          <w:szCs w:val="22"/>
        </w:rPr>
        <w:t xml:space="preserve"> reports guardian co-consent at registration time, and </w:t>
      </w:r>
      <w:r>
        <w:rPr>
          <w:rFonts w:ascii="Times New Roman" w:cs="Times New Roman" w:eastAsia="Times New Roman" w:hAnsi="Times New Roman"/>
          <w:sz w:val="22"/>
          <w:szCs w:val="22"/>
          <w:highlight w:val="green"/>
        </w:rPr>
        <w:t xml:space="preserve">[6]</w:t>
      </w:r>
      <w:r>
        <w:rPr>
          <w:rFonts w:ascii="Times New Roman" w:cs="Times New Roman" w:eastAsia="Times New Roman" w:hAnsi="Times New Roman"/>
          <w:sz w:val="22"/>
          <w:szCs w:val="22"/>
        </w:rPr>
        <w:t xml:space="preserve">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w:t>
      </w:r>
      <w:r>
        <w:rPr>
          <w:rFonts w:ascii="Times New Roman" w:cs="Times New Roman" w:eastAsia="Times New Roman" w:hAnsi="Times New Roman"/>
          <w:sz w:val="22"/>
          <w:szCs w:val="22"/>
        </w:rPr>
        <w:t xml:space="preserve">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Tith et al. </w:t>
      </w:r>
      <w:r>
        <w:rPr>
          <w:rFonts w:ascii="Times New Roman" w:cs="Times New Roman" w:eastAsia="Times New Roman" w:hAnsi="Times New Roman"/>
          <w:sz w:val="22"/>
          <w:szCs w:val="22"/>
          <w:highlight w:val="green"/>
        </w:rPr>
        <w:t xml:space="preserve">[21]</w:t>
      </w:r>
      <w:r>
        <w:rPr>
          <w:rFonts w:ascii="Times New Roman" w:cs="Times New Roman" w:eastAsia="Times New Roman" w:hAnsi="Times New Roman"/>
          <w:sz w:val="22"/>
          <w:szCs w:val="22"/>
        </w:rPr>
        <w:t xml:space="preserve"> match a purpose tree in chaincode, and Jaiman and Urovi </w:t>
      </w:r>
      <w:r>
        <w:rPr>
          <w:rFonts w:ascii="Times New Roman" w:cs="Times New Roman" w:eastAsia="Times New Roman" w:hAnsi="Times New Roman"/>
          <w:sz w:val="22"/>
          <w:szCs w:val="22"/>
          <w:highlight w:val="green"/>
        </w:rPr>
        <w:t xml:space="preserve">[7]</w:t>
      </w:r>
      <w:r>
        <w:rPr>
          <w:rFonts w:ascii="Times New Roman" w:cs="Times New Roman" w:eastAsia="Times New Roman" w:hAnsi="Times New Roman"/>
          <w:sz w:val="22"/>
          <w:szCs w:val="22"/>
        </w:rPr>
        <w:t xml:space="preserve"> match ontology terms against the patient's consent. Albalwy et al. </w:t>
      </w:r>
      <w:r>
        <w:rPr>
          <w:rFonts w:ascii="Times New Roman" w:cs="Times New Roman" w:eastAsia="Times New Roman" w:hAnsi="Times New Roman"/>
          <w:sz w:val="22"/>
          <w:szCs w:val="22"/>
          <w:highlight w:val="green"/>
        </w:rPr>
        <w:t xml:space="preserve">[2]</w:t>
      </w:r>
      <w:r>
        <w:rPr>
          <w:rFonts w:ascii="Times New Roman" w:cs="Times New Roman" w:eastAsia="Times New Roman" w:hAnsi="Times New Roman"/>
          <w:sz w:val="22"/>
          <w:szCs w:val="22"/>
        </w:rPr>
        <w:t xml:space="preserve"> evaluate a hashed policy tree of data type, role, and purpose, and Román-Martínez et al. </w:t>
      </w:r>
      <w:r>
        <w:rPr>
          <w:rFonts w:ascii="Times New Roman" w:cs="Times New Roman" w:eastAsia="Times New Roman" w:hAnsi="Times New Roman"/>
          <w:sz w:val="22"/>
          <w:szCs w:val="22"/>
          <w:highlight w:val="green"/>
        </w:rPr>
        <w:t xml:space="preserve">[17]</w:t>
      </w:r>
      <w:r>
        <w:rPr>
          <w:rFonts w:ascii="Times New Roman" w:cs="Times New Roman" w:eastAsia="Times New Roman" w:hAnsi="Times New Roman"/>
          <w:sz w:val="22"/>
          <w:szCs w:val="22"/>
        </w:rPr>
        <w:t xml:space="preserve"> evaluate the FHIR purpose-of-use through XACML. </w:t>
      </w:r>
      <w:r>
        <w:rPr>
          <w:rFonts w:ascii="Times New Roman" w:cs="Times New Roman" w:eastAsia="Times New Roman" w:hAnsi="Times New Roman"/>
          <w:sz w:val="22"/>
          <w:szCs w:val="22"/>
        </w:rPr>
        <w:t xml:space="preserve">The trust dimension T4 is coded Yes in 11 studies, Partial in 10, and No in 4, and the Req 4 grade in Table 4 is Yes in 10, Partial in 11, and No in 4.</w:t>
      </w:r>
      <w:r>
        <w:rPr>
          <w:rFonts w:ascii="Times New Roman" w:cs="Times New Roman" w:eastAsia="Times New Roman" w:hAnsi="Times New Roman"/>
          <w:sz w:val="22"/>
          <w:szCs w:val="22"/>
        </w:rPr>
        <w:t xml:space="preserve"> However, purpose-of-use enters the decision in only six studies </w:t>
      </w:r>
      <w:r>
        <w:rPr>
          <w:rFonts w:ascii="Times New Roman" w:cs="Times New Roman" w:eastAsia="Times New Roman" w:hAnsi="Times New Roman"/>
          <w:sz w:val="22"/>
          <w:szCs w:val="22"/>
          <w:highlight w:val="green"/>
        </w:rPr>
        <w:t xml:space="preserve">[5, 13]</w:t>
      </w:r>
      <w:r>
        <w:rPr>
          <w:rFonts w:ascii="Times New Roman" w:cs="Times New Roman" w:eastAsia="Times New Roman" w:hAnsi="Times New Roman"/>
          <w:sz w:val="22"/>
          <w:szCs w:val="22"/>
        </w:rPr>
        <w:t xml:space="preserve">,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w:t>
      </w:r>
      <w:r>
        <w:rPr>
          <w:rFonts w:ascii="Times New Roman" w:cs="Times New Roman" w:eastAsia="Times New Roman" w:hAnsi="Times New Roman"/>
          <w:sz w:val="22"/>
          <w:szCs w:val="22"/>
          <w:highlight w:val="green"/>
        </w:rPr>
        <w:t xml:space="preserve">[5]</w:t>
      </w:r>
      <w:r>
        <w:rPr>
          <w:rFonts w:ascii="Times New Roman" w:cs="Times New Roman" w:eastAsia="Times New Roman" w:hAnsi="Times New Roman"/>
          <w:sz w:val="22"/>
          <w:szCs w:val="22"/>
        </w:rPr>
        <w:t xml:space="preserve"> present EdgeConsent, </w:t>
      </w:r>
      <w:r>
        <w:rPr>
          <w:rFonts w:ascii="Times New Roman" w:cs="Times New Roman" w:eastAsia="Times New Roman" w:hAnsi="Times New Roman"/>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w:t>
      </w:r>
      <w:r>
        <w:rPr>
          <w:rFonts w:ascii="Times New Roman" w:cs="Times New Roman" w:eastAsia="Times New Roman" w:hAnsi="Times New Roman"/>
          <w:sz w:val="22"/>
          <w:szCs w:val="22"/>
          <w:highlight w:val="green"/>
        </w:rPr>
        <w:t xml:space="preserve">[18]</w:t>
      </w:r>
      <w:r>
        <w:rPr>
          <w:rFonts w:ascii="Times New Roman" w:cs="Times New Roman" w:eastAsia="Times New Roman" w:hAnsi="Times New Roman"/>
          <w:sz w:val="22"/>
          <w:szCs w:val="22"/>
        </w:rPr>
        <w:t xml:space="preserve"> bind the expiry into key derivation, and Panagoulias et al. </w:t>
      </w:r>
      <w:r>
        <w:rPr>
          <w:rFonts w:ascii="Times New Roman" w:cs="Times New Roman" w:eastAsia="Times New Roman" w:hAnsi="Times New Roman"/>
          <w:sz w:val="22"/>
          <w:szCs w:val="22"/>
          <w:highlight w:val="green"/>
        </w:rPr>
        <w:t xml:space="preserve">[13]</w:t>
      </w:r>
      <w:r>
        <w:rPr>
          <w:rFonts w:ascii="Times New Roman" w:cs="Times New Roman" w:eastAsia="Times New Roman" w:hAnsi="Times New Roman"/>
          <w:sz w:val="22"/>
          <w:szCs w:val="22"/>
        </w:rPr>
        <w:t xml:space="preserve"> enforce revocation at decision time across 43,500 simulated attempts in a single-node ledger. </w:t>
      </w:r>
      <w:r>
        <w:rPr>
          <w:rFonts w:ascii="Times New Roman" w:cs="Times New Roman" w:eastAsia="Times New Roman" w:hAnsi="Times New Roman"/>
          <w:sz w:val="22"/>
          <w:szCs w:val="22"/>
        </w:rPr>
        <w:t xml:space="preserve">T5 is coded Yes in 8 studies and T6 in 7, a post-revocation denial </w:t>
      </w:r>
      <w:r>
        <w:rPr>
          <w:rFonts w:ascii="Times New Roman" w:cs="Times New Roman" w:eastAsia="Times New Roman" w:hAnsi="Times New Roman"/>
          <w:sz w:val="22"/>
          <w:szCs w:val="22"/>
        </w:rPr>
        <w:t xml:space="preserve">is demonstrated only by </w:t>
      </w:r>
      <w:r>
        <w:rPr>
          <w:rFonts w:ascii="Times New Roman" w:cs="Times New Roman" w:eastAsia="Times New Roman" w:hAnsi="Times New Roman"/>
          <w:sz w:val="22"/>
          <w:szCs w:val="22"/>
          <w:highlight w:val="green"/>
        </w:rPr>
        <w:t xml:space="preserve">[14]</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and the </w:t>
      </w:r>
      <w:r>
        <w:rPr>
          <w:rFonts w:ascii="Times New Roman" w:cs="Times New Roman" w:eastAsia="Times New Roman" w:hAnsi="Times New Roman"/>
          <w:sz w:val="22"/>
          <w:szCs w:val="22"/>
        </w:rPr>
        <w:t xml:space="preserve">four</w:t>
      </w:r>
      <w:r>
        <w:rPr>
          <w:rFonts w:ascii="Times New Roman" w:cs="Times New Roman" w:eastAsia="Times New Roman" w:hAnsi="Times New Roman"/>
          <w:sz w:val="22"/>
          <w:szCs w:val="22"/>
        </w:rPr>
        <w:t xml:space="preserve"> stream-5 systems that enforce time inside the decision are all single-party</w:t>
      </w:r>
      <w:r>
        <w:rPr>
          <w:rFonts w:ascii="Times New Roman" w:cs="Times New Roman" w:eastAsia="Times New Roman" w:hAnsi="Times New Roman"/>
          <w:sz w:val="22"/>
          <w:szCs w:val="22"/>
        </w:rPr>
        <w:t xml:space="preserve">, with doing so through the credential rather than the consent</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w:t>
      </w:r>
      <w:r>
        <w:rPr>
          <w:rFonts w:ascii="Times New Roman" w:cs="Times New Roman" w:eastAsia="Times New Roman" w:hAnsi="Times New Roman"/>
          <w:sz w:val="22"/>
          <w:szCs w:val="22"/>
          <w:highlight w:val="green"/>
        </w:rPr>
        <w:t xml:space="preserve">[25]</w:t>
      </w:r>
      <w:r>
        <w:rPr>
          <w:rFonts w:ascii="Times New Roman" w:cs="Times New Roman" w:eastAsia="Times New Roman" w:hAnsi="Times New Roman"/>
          <w:sz w:val="22"/>
          <w:szCs w:val="22"/>
        </w:rPr>
        <w:t xml:space="preserve"> present HealthDID, with three game-based definitions and three theorems proved by reduction, although </w:t>
      </w:r>
      <w:r>
        <w:rPr>
          <w:rFonts w:ascii="Times New Roman" w:cs="Times New Roman" w:eastAsia="Times New Roman" w:hAnsi="Times New Roman"/>
          <w:sz w:val="22"/>
          <w:szCs w:val="22"/>
        </w:rPr>
        <w:t xml:space="preserve">the proofs cover</w:t>
      </w:r>
      <w:r>
        <w:rPr>
          <w:rFonts w:ascii="Times New Roman" w:cs="Times New Roman" w:eastAsia="Times New Roman" w:hAnsi="Times New Roman"/>
          <w:sz w:val="22"/>
          <w:szCs w:val="22"/>
        </w:rPr>
        <w:t xml:space="preserve"> only the identity and authority fragment. Zhao and Su </w:t>
      </w:r>
      <w:r>
        <w:rPr>
          <w:rFonts w:ascii="Times New Roman" w:cs="Times New Roman" w:eastAsia="Times New Roman" w:hAnsi="Times New Roman"/>
          <w:sz w:val="22"/>
          <w:szCs w:val="22"/>
          <w:highlight w:val="green"/>
        </w:rPr>
        <w:t xml:space="preserve">[8]</w:t>
      </w:r>
      <w:r>
        <w:rPr>
          <w:rFonts w:ascii="Times New Roman" w:cs="Times New Roman" w:eastAsia="Times New Roman" w:hAnsi="Times New Roman"/>
          <w:sz w:val="22"/>
          <w:szCs w:val="22"/>
        </w:rPr>
        <w:t xml:space="preserve"> and Maruthi and Singh </w:t>
      </w:r>
      <w:r>
        <w:rPr>
          <w:rFonts w:ascii="Times New Roman" w:cs="Times New Roman" w:eastAsia="Times New Roman" w:hAnsi="Times New Roman"/>
          <w:sz w:val="22"/>
          <w:szCs w:val="22"/>
          <w:highlight w:val="green"/>
        </w:rPr>
        <w:t xml:space="preserve">[11]</w:t>
      </w:r>
      <w:r>
        <w:rPr>
          <w:rFonts w:ascii="Times New Roman" w:cs="Times New Roman" w:eastAsia="Times New Roman" w:hAnsi="Times New Roman"/>
          <w:sz w:val="22"/>
          <w:szCs w:val="22"/>
        </w:rPr>
        <w:t xml:space="preserve"> prove threshold gates in isolation, and Mei et al. </w:t>
      </w:r>
      <w:r>
        <w:rPr>
          <w:rFonts w:ascii="Times New Roman" w:cs="Times New Roman" w:eastAsia="Times New Roman" w:hAnsi="Times New Roman"/>
          <w:sz w:val="22"/>
          <w:szCs w:val="22"/>
          <w:highlight w:val="green"/>
        </w:rPr>
        <w:t xml:space="preserve">[12]</w:t>
      </w:r>
      <w:r>
        <w:rPr>
          <w:rFonts w:ascii="Times New Roman" w:cs="Times New Roman" w:eastAsia="Times New Roman" w:hAnsi="Times New Roman"/>
          <w:sz w:val="22"/>
          <w:szCs w:val="22"/>
        </w:rPr>
        <w:t xml:space="preserve"> prove a static encryption predicate. Formal assurance is coded Yes in only 4 of the 25 studies, and empirical validation Yes in 5, Partial in 19, and No in 1. </w:t>
      </w:r>
      <w:r>
        <w:rPr>
          <w:rFonts w:ascii="Times New Roman" w:cs="Times New Roman" w:eastAsia="Times New Roman" w:hAnsi="Times New Roman"/>
          <w:sz w:val="22"/>
          <w:szCs w:val="22"/>
          <w:highlight w:val="magenta"/>
        </w:rPr>
        <w:t xml:space="preserve">An inverse relation between predicate breadth and assurance strength was observed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w:t>
            </w:r>
            <w:r>
              <w:rPr>
                <w:rFonts w:ascii="Times New Roman" w:cs="Times New Roman" w:eastAsia="Times New Roman" w:hAnsi="Times New Roman"/>
                <w:b w:val="false"/>
                <w:bCs w:val="false"/>
                <w:sz w:val="17"/>
                <w:szCs w:val="17"/>
                <w:highlight w:val="green"/>
              </w:rPr>
              <w:t xml:space="preserve">[1]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w:t>
            </w:r>
            <w:r>
              <w:rPr>
                <w:rFonts w:ascii="Times New Roman" w:cs="Times New Roman" w:eastAsia="Times New Roman" w:hAnsi="Times New Roman"/>
                <w:b w:val="false"/>
                <w:bCs w:val="false"/>
                <w:sz w:val="17"/>
                <w:szCs w:val="17"/>
                <w:highlight w:val="green"/>
              </w:rPr>
              <w:t xml:space="preserve">[2]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w:t>
            </w:r>
            <w:r>
              <w:rPr>
                <w:rFonts w:ascii="Times New Roman" w:cs="Times New Roman" w:eastAsia="Times New Roman" w:hAnsi="Times New Roman"/>
                <w:b w:val="false"/>
                <w:bCs w:val="false"/>
                <w:sz w:val="17"/>
                <w:szCs w:val="17"/>
                <w:highlight w:val="green"/>
              </w:rPr>
              <w:t xml:space="preserve">[3]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w:t>
            </w:r>
            <w:r>
              <w:rPr>
                <w:rFonts w:ascii="Times New Roman" w:cs="Times New Roman" w:eastAsia="Times New Roman" w:hAnsi="Times New Roman"/>
                <w:b w:val="false"/>
                <w:bCs w:val="false"/>
                <w:sz w:val="17"/>
                <w:szCs w:val="17"/>
                <w:highlight w:val="green"/>
              </w:rPr>
              <w:t xml:space="preserve">[4]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w:t>
            </w:r>
            <w:r>
              <w:rPr>
                <w:rFonts w:ascii="Times New Roman" w:cs="Times New Roman" w:eastAsia="Times New Roman" w:hAnsi="Times New Roman"/>
                <w:b w:val="false"/>
                <w:bCs w:val="false"/>
                <w:sz w:val="17"/>
                <w:szCs w:val="17"/>
                <w:highlight w:val="green"/>
              </w:rPr>
              <w:t xml:space="preserve">[5]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w:t>
            </w:r>
            <w:r>
              <w:rPr>
                <w:rFonts w:ascii="Times New Roman" w:cs="Times New Roman" w:eastAsia="Times New Roman" w:hAnsi="Times New Roman"/>
                <w:b w:val="false"/>
                <w:bCs w:val="false"/>
                <w:sz w:val="17"/>
                <w:szCs w:val="17"/>
                <w:highlight w:val="green"/>
              </w:rPr>
              <w:t xml:space="preserve">[6]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w:t>
            </w:r>
            <w:r>
              <w:rPr>
                <w:rFonts w:ascii="Times New Roman" w:cs="Times New Roman" w:eastAsia="Times New Roman" w:hAnsi="Times New Roman"/>
                <w:b w:val="false"/>
                <w:bCs w:val="false"/>
                <w:sz w:val="17"/>
                <w:szCs w:val="17"/>
                <w:highlight w:val="green"/>
              </w:rPr>
              <w:t xml:space="preserve">[7]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w:t>
            </w:r>
            <w:r>
              <w:rPr>
                <w:rFonts w:ascii="Times New Roman" w:cs="Times New Roman" w:eastAsia="Times New Roman" w:hAnsi="Times New Roman"/>
                <w:b w:val="false"/>
                <w:bCs w:val="false"/>
                <w:sz w:val="17"/>
                <w:szCs w:val="17"/>
                <w:highlight w:val="green"/>
              </w:rPr>
              <w:t xml:space="preserve">[8]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w:t>
            </w:r>
            <w:r>
              <w:rPr>
                <w:rFonts w:ascii="Times New Roman" w:cs="Times New Roman" w:eastAsia="Times New Roman" w:hAnsi="Times New Roman"/>
                <w:b w:val="false"/>
                <w:bCs w:val="false"/>
                <w:sz w:val="17"/>
                <w:szCs w:val="17"/>
                <w:highlight w:val="green"/>
              </w:rPr>
              <w:t xml:space="preserve">[9]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w:t>
            </w:r>
            <w:r>
              <w:rPr>
                <w:rFonts w:ascii="Times New Roman" w:cs="Times New Roman" w:eastAsia="Times New Roman" w:hAnsi="Times New Roman"/>
                <w:b w:val="false"/>
                <w:bCs w:val="false"/>
                <w:sz w:val="17"/>
                <w:szCs w:val="17"/>
                <w:highlight w:val="green"/>
              </w:rPr>
              <w:t xml:space="preserve">[10]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w:t>
            </w:r>
            <w:r>
              <w:rPr>
                <w:rFonts w:ascii="Times New Roman" w:cs="Times New Roman" w:eastAsia="Times New Roman" w:hAnsi="Times New Roman"/>
                <w:b w:val="false"/>
                <w:bCs w:val="false"/>
                <w:sz w:val="17"/>
                <w:szCs w:val="17"/>
                <w:highlight w:val="green"/>
              </w:rPr>
              <w:t xml:space="preserve">[11]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w:t>
            </w:r>
            <w:r>
              <w:rPr>
                <w:rFonts w:ascii="Times New Roman" w:cs="Times New Roman" w:eastAsia="Times New Roman" w:hAnsi="Times New Roman"/>
                <w:b w:val="false"/>
                <w:bCs w:val="false"/>
                <w:sz w:val="17"/>
                <w:szCs w:val="17"/>
                <w:highlight w:val="green"/>
              </w:rPr>
              <w:t xml:space="preserve">[12]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w:t>
            </w:r>
            <w:r>
              <w:rPr>
                <w:rFonts w:ascii="Times New Roman" w:cs="Times New Roman" w:eastAsia="Times New Roman" w:hAnsi="Times New Roman"/>
                <w:b w:val="false"/>
                <w:bCs w:val="false"/>
                <w:sz w:val="17"/>
                <w:szCs w:val="17"/>
                <w:highlight w:val="green"/>
              </w:rPr>
              <w:t xml:space="preserve">[13]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w:t>
            </w:r>
            <w:r>
              <w:rPr>
                <w:rFonts w:ascii="Times New Roman" w:cs="Times New Roman" w:eastAsia="Times New Roman" w:hAnsi="Times New Roman"/>
                <w:b w:val="false"/>
                <w:bCs w:val="false"/>
                <w:sz w:val="17"/>
                <w:szCs w:val="17"/>
                <w:highlight w:val="green"/>
              </w:rPr>
              <w:t xml:space="preserve">[14]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w:t>
            </w:r>
            <w:r>
              <w:rPr>
                <w:rFonts w:ascii="Times New Roman" w:cs="Times New Roman" w:eastAsia="Times New Roman" w:hAnsi="Times New Roman"/>
                <w:b w:val="false"/>
                <w:bCs w:val="false"/>
                <w:sz w:val="17"/>
                <w:szCs w:val="17"/>
                <w:highlight w:val="green"/>
              </w:rPr>
              <w:t xml:space="preserve">[15]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w:t>
            </w:r>
            <w:r>
              <w:rPr>
                <w:rFonts w:ascii="Times New Roman" w:cs="Times New Roman" w:eastAsia="Times New Roman" w:hAnsi="Times New Roman"/>
                <w:b w:val="false"/>
                <w:bCs w:val="false"/>
                <w:sz w:val="17"/>
                <w:szCs w:val="17"/>
                <w:highlight w:val="green"/>
              </w:rPr>
              <w:t xml:space="preserve">[16]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w:t>
            </w:r>
            <w:r>
              <w:rPr>
                <w:rFonts w:ascii="Times New Roman" w:cs="Times New Roman" w:eastAsia="Times New Roman" w:hAnsi="Times New Roman"/>
                <w:b w:val="false"/>
                <w:bCs w:val="false"/>
                <w:sz w:val="17"/>
                <w:szCs w:val="17"/>
                <w:highlight w:val="green"/>
              </w:rPr>
              <w:t xml:space="preserve">[17]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w:t>
            </w:r>
            <w:r>
              <w:rPr>
                <w:rFonts w:ascii="Times New Roman" w:cs="Times New Roman" w:eastAsia="Times New Roman" w:hAnsi="Times New Roman"/>
                <w:b w:val="false"/>
                <w:bCs w:val="false"/>
                <w:sz w:val="17"/>
                <w:szCs w:val="17"/>
                <w:highlight w:val="green"/>
              </w:rPr>
              <w:t xml:space="preserve">[18]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highlight w:val="green"/>
              </w:rPr>
              <w:t xml:space="preserve">[19]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w:t>
            </w:r>
            <w:r>
              <w:rPr>
                <w:rFonts w:ascii="Times New Roman" w:cs="Times New Roman" w:eastAsia="Times New Roman" w:hAnsi="Times New Roman"/>
                <w:b w:val="false"/>
                <w:bCs w:val="false"/>
                <w:sz w:val="17"/>
                <w:szCs w:val="17"/>
                <w:highlight w:val="green"/>
              </w:rPr>
              <w:t xml:space="preserve">[20]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w:t>
            </w:r>
            <w:r>
              <w:rPr>
                <w:rFonts w:ascii="Times New Roman" w:cs="Times New Roman" w:eastAsia="Times New Roman" w:hAnsi="Times New Roman"/>
                <w:b w:val="false"/>
                <w:bCs w:val="false"/>
                <w:sz w:val="17"/>
                <w:szCs w:val="17"/>
                <w:highlight w:val="green"/>
              </w:rPr>
              <w:t xml:space="preserve">[21]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w:t>
            </w:r>
            <w:r>
              <w:rPr>
                <w:rFonts w:ascii="Times New Roman" w:cs="Times New Roman" w:eastAsia="Times New Roman" w:hAnsi="Times New Roman"/>
                <w:b w:val="false"/>
                <w:bCs w:val="false"/>
                <w:sz w:val="17"/>
                <w:szCs w:val="17"/>
                <w:highlight w:val="green"/>
              </w:rPr>
              <w:t xml:space="preserve">[22]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w:t>
            </w:r>
            <w:r>
              <w:rPr>
                <w:rFonts w:ascii="Times New Roman" w:cs="Times New Roman" w:eastAsia="Times New Roman" w:hAnsi="Times New Roman"/>
                <w:b w:val="false"/>
                <w:bCs w:val="false"/>
                <w:sz w:val="17"/>
                <w:szCs w:val="17"/>
                <w:highlight w:val="green"/>
              </w:rPr>
              <w:t xml:space="preserve">[23]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Wu et al. </w:t>
            </w:r>
            <w:r>
              <w:rPr>
                <w:rFonts w:ascii="Times New Roman" w:cs="Times New Roman" w:eastAsia="Times New Roman" w:hAnsi="Times New Roman"/>
                <w:b w:val="false"/>
                <w:bCs w:val="false"/>
                <w:sz w:val="17"/>
                <w:szCs w:val="17"/>
                <w:highlight w:val="green"/>
              </w:rPr>
              <w:t xml:space="preserve">[24]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w:t>
            </w:r>
            <w:r>
              <w:rPr>
                <w:rFonts w:ascii="Times New Roman" w:cs="Times New Roman" w:eastAsia="Times New Roman" w:hAnsi="Times New Roman"/>
                <w:b w:val="false"/>
                <w:bCs w:val="false"/>
                <w:sz w:val="17"/>
                <w:szCs w:val="17"/>
                <w:highlight w:val="green"/>
              </w:rPr>
              <w:t xml:space="preserve">[25]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w:t>
      </w:r>
      <w:r>
        <w:rPr>
          <w:rFonts w:ascii="Times New Roman" w:cs="Times New Roman" w:eastAsia="Times New Roman" w:hAnsi="Times New Roman"/>
          <w:b/>
          <w:bCs/>
          <w:sz w:val="26"/>
          <w:szCs w:val="26"/>
        </w:rPr>
        <w:t xml:space="preserve">Comparative Analysis of Existing Approaches</w:t>
      </w:r>
    </w:p>
    <w:p>
      <w:pPr>
        <w:spacing w:after="110" w:line="264"/>
        <w:jc w:val="both"/>
      </w:pPr>
      <w:r>
        <w:rPr>
          <w:rFonts w:ascii="Times New Roman" w:cs="Times New Roman" w:eastAsia="Times New Roman" w:hAnsi="Times New Roman"/>
          <w:sz w:val="22"/>
          <w:szCs w:val="22"/>
          <w:highlight w:val="magenta"/>
        </w:rPr>
        <w:t xml:space="preserve">Existing approaches solve single dimensions of trustworthy data sharing, each at a different layer of the security problem.</w:t>
      </w:r>
      <w:r>
        <w:rPr>
          <w:rFonts w:ascii="Times New Roman" w:cs="Times New Roman" w:eastAsia="Times New Roman" w:hAnsi="Times New Roman"/>
          <w:sz w:val="22"/>
          <w:szCs w:val="22"/>
        </w:rPr>
        <w:t xml:space="preserve"> No individual mechanism can independently establish that a healthcare data-access decision is trustworthy. The systems that enforce purpose and time are authored by a single patient and lack a formal argument. </w:t>
      </w:r>
      <w:r>
        <w:rPr>
          <w:rFonts w:ascii="Times New Roman" w:cs="Times New Roman" w:eastAsia="Times New Roman" w:hAnsi="Times New Roman"/>
          <w:sz w:val="22"/>
          <w:szCs w:val="22"/>
        </w:rPr>
        <w:t xml:space="preserve">The multi-party systems carry no purpose condition, whereas the proved schemes either omit policy, temporal validity, and lifecycle or, as in </w:t>
      </w:r>
      <w:r>
        <w:rPr>
          <w:rFonts w:ascii="Times New Roman" w:cs="Times New Roman" w:eastAsia="Times New Roman" w:hAnsi="Times New Roman"/>
          <w:sz w:val="22"/>
          <w:szCs w:val="22"/>
          <w:highlight w:val="green"/>
        </w:rPr>
        <w:t xml:space="preserve">[12]</w:t>
      </w:r>
      <w:r>
        <w:rPr>
          <w:rFonts w:ascii="Times New Roman" w:cs="Times New Roman" w:eastAsia="Times New Roman" w:hAnsi="Times New Roman"/>
          <w:sz w:val="22"/>
          <w:szCs w:val="22"/>
        </w:rPr>
        <w:t xml:space="preserve">, prove only a static encryption predicate.</w:t>
      </w:r>
      <w:r>
        <w:rPr>
          <w:rFonts w:ascii="Times New Roman" w:cs="Times New Roman" w:eastAsia="Times New Roman" w:hAnsi="Times New Roman"/>
          <w:sz w:val="22"/>
          <w:szCs w:val="22"/>
        </w:rPr>
        <w:t xml:space="preserve"> Table 4 summarises the 25 studies against the six requirements, </w:t>
      </w:r>
      <w:r>
        <w:rPr>
          <w:rFonts w:ascii="Times New Roman" w:cs="Times New Roman" w:eastAsia="Times New Roman" w:hAnsi="Times New Roman"/>
          <w:sz w:val="22"/>
          <w:szCs w:val="22"/>
        </w:rPr>
        <w:t xml:space="preserve">where Yes denotes satisfied, Partial partially satisfied, and No not satisfied.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t>
            </w:r>
            <w:r>
              <w:rPr>
                <w:rFonts w:ascii="Times New Roman" w:cs="Times New Roman" w:eastAsia="Times New Roman" w:hAnsi="Times New Roman"/>
                <w:b w:val="false"/>
                <w:bCs w:val="false"/>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w:t>
      </w:r>
      <w:r>
        <w:rPr>
          <w:rFonts w:ascii="Times New Roman" w:cs="Times New Roman" w:eastAsia="Times New Roman" w:hAnsi="Times New Roman"/>
          <w:sz w:val="22"/>
          <w:szCs w:val="22"/>
          <w:highlight w:val="green"/>
        </w:rPr>
        <w:t xml:space="preserve">[10]</w:t>
      </w:r>
      <w:r>
        <w:rPr>
          <w:rFonts w:ascii="Times New Roman" w:cs="Times New Roman" w:eastAsia="Times New Roman" w:hAnsi="Times New Roman"/>
          <w:sz w:val="22"/>
          <w:szCs w:val="22"/>
        </w:rPr>
        <w:t xml:space="preserve"> and </w:t>
      </w:r>
      <w:r>
        <w:rPr>
          <w:rFonts w:ascii="Times New Roman" w:cs="Times New Roman" w:eastAsia="Times New Roman" w:hAnsi="Times New Roman"/>
          <w:sz w:val="22"/>
          <w:szCs w:val="22"/>
          <w:highlight w:val="green"/>
        </w:rPr>
        <w:t xml:space="preserve">[13]</w:t>
      </w:r>
      <w:r>
        <w:rPr>
          <w:rFonts w:ascii="Times New Roman" w:cs="Times New Roman" w:eastAsia="Times New Roman" w:hAnsi="Times New Roman"/>
          <w:sz w:val="22"/>
          <w:szCs w:val="22"/>
        </w:rPr>
        <w:t xml:space="preserve">, and five studies fully satisfy none. Third, Req 1 with Req 4 is the most frequent pair, in seven studies, whereas Req 2 and Req 4 never co-occur in full. Req 3 co-occurs with Req 4 only in </w:t>
      </w:r>
      <w:r>
        <w:rPr>
          <w:rFonts w:ascii="Times New Roman" w:cs="Times New Roman" w:eastAsia="Times New Roman" w:hAnsi="Times New Roman"/>
          <w:sz w:val="22"/>
          <w:szCs w:val="22"/>
          <w:highlight w:val="green"/>
        </w:rPr>
        <w:t xml:space="preserve">[16]</w:t>
      </w:r>
      <w:r>
        <w:rPr>
          <w:rFonts w:ascii="Times New Roman" w:cs="Times New Roman" w:eastAsia="Times New Roman" w:hAnsi="Times New Roman"/>
          <w:sz w:val="22"/>
          <w:szCs w:val="22"/>
        </w:rPr>
        <w:t xml:space="preserve">, whose threshold lies outside the policy predicate and whose policy carries no purpose term. Similarly, Req 3 co-occurs with Req 6 only in </w:t>
      </w:r>
      <w:r>
        <w:rPr>
          <w:rFonts w:ascii="Times New Roman" w:cs="Times New Roman" w:eastAsia="Times New Roman" w:hAnsi="Times New Roman"/>
          <w:sz w:val="22"/>
          <w:szCs w:val="22"/>
          <w:highlight w:val="green"/>
        </w:rPr>
        <w:t xml:space="preserve">[8, 11]</w:t>
      </w:r>
      <w:r>
        <w:rPr>
          <w:rFonts w:ascii="Times New Roman" w:cs="Times New Roman" w:eastAsia="Times New Roman" w:hAnsi="Times New Roman"/>
          <w:sz w:val="22"/>
          <w:szCs w:val="22"/>
        </w:rPr>
        <w:t xml:space="preserve">. Fourth, the two quadruples are complementary, since lacks policy and assurance, whereas lacks multi-party approval and identity depth.</w:t>
      </w:r>
    </w:p>
    <w:p>
      <w:pPr>
        <w:spacing w:after="110" w:line="264"/>
        <w:jc w:val="both"/>
      </w:pPr>
      <w:r>
        <w:rPr>
          <w:rFonts w:ascii="Times New Roman" w:cs="Times New Roman" w:eastAsia="Times New Roman" w:hAnsi="Times New Roman"/>
          <w:sz w:val="22"/>
          <w:szCs w:val="22"/>
          <w:highlight w:val="magenta"/>
        </w:rPr>
        <w:t xml:space="preserve">The comparison shows that the contribution of this research is the explicit relationship it establishes among existing technologies, not their replacement.</w:t>
      </w:r>
      <w:r>
        <w:rPr>
          <w:rFonts w:ascii="Times New Roman" w:cs="Times New Roman" w:eastAsia="Times New Roman" w:hAnsi="Times New Roman"/>
          <w:sz w:val="22"/>
          <w:szCs w:val="22"/>
        </w:rPr>
        <w:t xml:space="preserve"> The consent object C carries the identity, authority, threshold, policy, temporal, and lifecycle conditions together, so that their relationship is verifiable. </w:t>
      </w:r>
      <w:r>
        <w:rPr>
          <w:rFonts w:ascii="Times New Roman" w:cs="Times New Roman" w:eastAsia="Times New Roman" w:hAnsi="Times New Roman"/>
          <w:sz w:val="22"/>
          <w:szCs w:val="22"/>
        </w:rPr>
        <w:t xml:space="preserve">Table 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w:t>
      </w:r>
      <w:r>
        <w:rPr>
          <w:rFonts w:ascii="Times New Roman" w:cs="Times New Roman" w:eastAsia="Times New Roman" w:hAnsi="Times New Roman"/>
          <w:sz w:val="22"/>
          <w:szCs w:val="22"/>
        </w:rPr>
        <w:t xml:space="preserve">are left for the next stage (Sections 10 and 11)</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2.5  </w:t>
      </w:r>
      <w:r>
        <w:rPr>
          <w:rFonts w:ascii="Times New Roman" w:cs="Times New Roman" w:eastAsia="Times New Roman" w:hAnsi="Times New Roman"/>
          <w:b/>
          <w:bCs/>
          <w:sz w:val="26"/>
          <w:szCs w:val="26"/>
        </w:rPr>
        <w:t xml:space="preserve">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t>
      </w:r>
      <w:r>
        <w:rPr>
          <w:rFonts w:ascii="Times New Roman" w:cs="Times New Roman" w:eastAsia="Times New Roman" w:hAnsi="Times New Roman"/>
          <w:sz w:val="22"/>
          <w:szCs w:val="22"/>
        </w:rPr>
        <w:t xml:space="preserve">while within Req 6, formal assurance alone is provided by 4 studies, argued informally by 9, and absent in 12. The other five Yes grades for Req 6 in Table 4 rest on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rarity of multi-party approval and formal verification is also seen in</w:t>
      </w:r>
      <w:r>
        <w:rPr>
          <w:rFonts w:ascii="Times New Roman" w:cs="Times New Roman" w:eastAsia="Times New Roman" w:hAnsi="Times New Roman"/>
          <w:sz w:val="22"/>
          <w:szCs w:val="22"/>
        </w:rPr>
        <w:t xml:space="preserve">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Multi-party authorisation of patient consent is not absent from the literature, since the full-text coding shows it in six forms.</w:t>
      </w:r>
      <w:r>
        <w:rPr>
          <w:rFonts w:ascii="Times New Roman" w:cs="Times New Roman" w:eastAsia="Times New Roman" w:hAnsi="Times New Roman"/>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w:t>
      </w:r>
      <w:r>
        <w:rPr>
          <w:rFonts w:ascii="Times New Roman" w:cs="Times New Roman" w:eastAsia="Times New Roman" w:hAnsi="Times New Roman"/>
          <w:sz w:val="22"/>
          <w:szCs w:val="22"/>
        </w:rPr>
        <w:t xml:space="preserve">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67025"/>
            <wp:effectExtent t="0" r="0" b="0" l="0"/>
            <wp:docPr id="1" name="F5.png" descr="Synthesis of the review: the conjunction gap and the assurance gap addressed by the proposed framework, with the number of the 25 analysed studies graded Yes for each requirement in Table 4" title="Synthesis of the review: the conjunction gap and the assurance gap addressed by the proposed framework, with the number of the 25 analysed studies graded Yes for each requirement in Tabl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67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sz w:val="22"/>
          <w:szCs w:val="22"/>
        </w:rPr>
        <w:t xml:space="preserve">The reporting checkpoint and a single round of coding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w:t>
      </w:r>
      <w:r>
        <w:rPr>
          <w:rFonts w:ascii="Times New Roman" w:cs="Times New Roman" w:eastAsia="Times New Roman" w:hAnsi="Times New Roman"/>
          <w:b/>
          <w:bCs/>
          <w:sz w:val="26"/>
          <w:szCs w:val="26"/>
        </w:rPr>
        <w:t xml:space="preserve">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DID and VC verification separates identity from authority and is evaluated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through Algorithm 2.</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N-of-N approval by the guardian set G with EIP-712 guardian signatures </w:t>
            </w:r>
            <w:r>
              <w:rPr>
                <w:rFonts w:ascii="Times New Roman" w:cs="Times New Roman" w:eastAsia="Times New Roman" w:hAnsi="Times New Roman"/>
                <w:b w:val="false"/>
                <w:bCs w:val="false"/>
                <w:sz w:val="17"/>
                <w:szCs w:val="17"/>
                <w:highlight w:val="green"/>
              </w:rPr>
              <w:t xml:space="preserve">[66]</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4,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w:t>
      </w:r>
      <w:r>
        <w:rPr>
          <w:rFonts w:ascii="Times New Roman" w:cs="Times New Roman" w:eastAsia="Times New Roman" w:hAnsi="Times New Roman"/>
          <w:b/>
          <w:bCs/>
          <w:sz w:val="26"/>
          <w:szCs w:val="26"/>
        </w:rPr>
        <w:t xml:space="preserve">Research Gap</w:t>
      </w:r>
    </w:p>
    <w:p>
      <w:pPr>
        <w:spacing w:after="110" w:line="264"/>
        <w:jc w:val="both"/>
      </w:pPr>
      <w:r>
        <w:rPr>
          <w:rFonts w:ascii="Times New Roman" w:cs="Times New Roman" w:eastAsia="Times New Roman" w:hAnsi="Times New Roman"/>
          <w:sz w:val="22"/>
          <w:szCs w:val="22"/>
          <w:highlight w:val="magenta"/>
        </w:rPr>
        <w:t xml:space="preserve">The systematic literature review shows much work on individual mechanisms for securing healthcare data sharing, but also a conceptual and architectural fragmentation</w:t>
      </w:r>
      <w:r>
        <w:rPr>
          <w:rFonts w:ascii="Times New Roman" w:cs="Times New Roman" w:eastAsia="Times New Roman" w:hAnsi="Times New Roman"/>
          <w:sz w:val="22"/>
          <w:szCs w:val="22"/>
        </w:rPr>
        <w:t xml:space="preserve"> among these mechanisms. They are commonly investigated as independent technical solutions rather than as coordinated components of a unified trust-oriented authorisation model. The few studies that coordinate several of them in one decision </w:t>
      </w:r>
      <w:r>
        <w:rPr>
          <w:rFonts w:ascii="Times New Roman" w:cs="Times New Roman" w:eastAsia="Times New Roman" w:hAnsi="Times New Roman"/>
          <w:sz w:val="22"/>
          <w:szCs w:val="22"/>
          <w:highlight w:val="green"/>
        </w:rPr>
        <w:t xml:space="preserve">[13, 14, 16, 47, 67]</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do not make multi-party approval a standing condition of that decision. Some of them test their own decisions empirically, but none proves or tests a conjunction that includes multi-party approval.</w:t>
      </w:r>
    </w:p>
    <w:p>
      <w:pPr>
        <w:spacing w:after="110" w:line="264"/>
        <w:jc w:val="both"/>
      </w:pPr>
      <w:r>
        <w:rPr>
          <w:rFonts w:ascii="Times New Roman" w:cs="Times New Roman" w:eastAsia="Times New Roman" w:hAnsi="Times New Roman"/>
          <w:sz w:val="22"/>
          <w:szCs w:val="22"/>
          <w:highlight w:val="magenta"/>
        </w:rPr>
        <w:t xml:space="preserve">The central gap is the absence of an integrated model</w:t>
      </w:r>
      <w:r>
        <w:rPr>
          <w:rFonts w:ascii="Times New Roman" w:cs="Times New Roman" w:eastAsia="Times New Roman" w:hAnsi="Times New Roman"/>
          <w:sz w:val="22"/>
          <w:szCs w:val="22"/>
        </w:rPr>
        <w:t xml:space="preserve"> explaining how these mechanisms collectively establish a trustworthy authorisation decision. Existing consent-oriented approaches tend to </w:t>
      </w:r>
      <w:r>
        <w:rPr>
          <w:rFonts w:ascii="Times New Roman" w:cs="Times New Roman" w:eastAsia="Times New Roman" w:hAnsi="Times New Roman"/>
          <w:sz w:val="22"/>
          <w:szCs w:val="22"/>
        </w:rPr>
        <w:t xml:space="preserve">treat consent primarily as a record of a patient’s permission </w:t>
      </w:r>
      <w:r>
        <w:rPr>
          <w:rFonts w:ascii="Times New Roman" w:cs="Times New Roman" w:eastAsia="Times New Roman" w:hAnsi="Times New Roman"/>
          <w:sz w:val="22"/>
          <w:szCs w:val="22"/>
          <w:highlight w:val="green"/>
        </w:rPr>
        <w:t xml:space="preserve">[62, 63]</w:t>
      </w:r>
      <w:r>
        <w:rPr>
          <w:rFonts w:ascii="Times New Roman" w:cs="Times New Roman" w:eastAsia="Times New Roman" w:hAnsi="Times New Roman"/>
          <w:sz w:val="22"/>
          <w:szCs w:val="22"/>
        </w:rPr>
        <w:t xml:space="preserve">, and some claim consent but leave it out of the access decision </w:t>
      </w:r>
      <w:r>
        <w:rPr>
          <w:rFonts w:ascii="Times New Roman" w:cs="Times New Roman" w:eastAsia="Times New Roman" w:hAnsi="Times New Roman"/>
          <w:sz w:val="22"/>
          <w:szCs w:val="22"/>
          <w:highlight w:val="green"/>
        </w:rPr>
        <w:t xml:space="preserve">[68]</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 Even the evaluable consent objects reported since 2020 </w:t>
      </w:r>
      <w:r>
        <w:rPr>
          <w:rFonts w:ascii="Times New Roman" w:cs="Times New Roman" w:eastAsia="Times New Roman" w:hAnsi="Times New Roman"/>
          <w:sz w:val="22"/>
          <w:szCs w:val="22"/>
          <w:highlight w:val="green"/>
        </w:rPr>
        <w:t xml:space="preserve">[2, 5, 14, 21, 67]</w:t>
      </w:r>
      <w:r>
        <w:rPr>
          <w:rFonts w:ascii="Times New Roman" w:cs="Times New Roman" w:eastAsia="Times New Roman" w:hAnsi="Times New Roman"/>
          <w:sz w:val="22"/>
          <w:szCs w:val="22"/>
        </w:rPr>
        <w:t xml:space="preserve">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highlight w:val="magenta"/>
        </w:rPr>
        <w:t xml:space="preserve">Recording consent and enforcing trustworthy authorisation are two different security problems.</w:t>
      </w:r>
      <w:r>
        <w:rPr>
          <w:rFonts w:ascii="Times New Roman" w:cs="Times New Roman" w:eastAsia="Times New Roman" w:hAnsi="Times New Roman"/>
          <w:sz w:val="22"/>
          <w:szCs w:val="22"/>
        </w:rPr>
        <w:t xml:space="preserve"> A blockchain may provide an immutable representation of a consent event </w:t>
      </w:r>
      <w:r>
        <w:rPr>
          <w:rFonts w:ascii="Times New Roman" w:cs="Times New Roman" w:eastAsia="Times New Roman" w:hAnsi="Times New Roman"/>
          <w:sz w:val="22"/>
          <w:szCs w:val="22"/>
          <w:highlight w:val="green"/>
        </w:rPr>
        <w:t xml:space="preserve">[35, 43]</w:t>
      </w:r>
      <w:r>
        <w:rPr>
          <w:rFonts w:ascii="Times New Roman" w:cs="Times New Roman" w:eastAsia="Times New Roman" w:hAnsi="Times New Roman"/>
          <w:sz w:val="22"/>
          <w:szCs w:val="22"/>
        </w:rPr>
        <w:t xml:space="preserve">, but immutability does not establish the legitimacy of the entities involved in that event. Similarly, a valid decentralised identity can establish who a participant is </w:t>
      </w:r>
      <w:r>
        <w:rPr>
          <w:rFonts w:ascii="Times New Roman" w:cs="Times New Roman" w:eastAsia="Times New Roman" w:hAnsi="Times New Roman"/>
          <w:sz w:val="22"/>
          <w:szCs w:val="22"/>
          <w:highlight w:val="green"/>
        </w:rPr>
        <w:t xml:space="preserve">[41]</w:t>
      </w:r>
      <w:r>
        <w:rPr>
          <w:rFonts w:ascii="Times New Roman" w:cs="Times New Roman" w:eastAsia="Times New Roman" w:hAnsi="Times New Roman"/>
          <w:sz w:val="22"/>
          <w:szCs w:val="22"/>
        </w:rPr>
        <w:t xml:space="preserve">,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w:t>
      </w:r>
      <w:r>
        <w:rPr>
          <w:rFonts w:ascii="Times New Roman" w:cs="Times New Roman" w:eastAsia="Times New Roman" w:hAnsi="Times New Roman"/>
          <w:sz w:val="22"/>
          <w:szCs w:val="22"/>
        </w:rPr>
        <w:t xml:space="preserve">multi-party approval is never conjoined with a purpose condition </w:t>
      </w:r>
      <w:r>
        <w:rPr>
          <w:rFonts w:ascii="Times New Roman" w:cs="Times New Roman" w:eastAsia="Times New Roman" w:hAnsi="Times New Roman"/>
          <w:sz w:val="22"/>
          <w:szCs w:val="22"/>
          <w:highlight w:val="green"/>
        </w:rPr>
        <w:t xml:space="preserve">[10, 16, 20]</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trust cannot be attributed to any individual mechanism in isolation. From a Trust Computing perspective, trustworthy access should be understood as an outcome of the coordinated satisfaction of multiple independently verifiable conditions. </w:t>
      </w:r>
      <w:r>
        <w:rPr>
          <w:rFonts w:ascii="Times New Roman" w:cs="Times New Roman" w:eastAsia="Times New Roman" w:hAnsi="Times New Roman"/>
          <w:sz w:val="22"/>
          <w:szCs w:val="22"/>
          <w:highlight w:val="magenta"/>
        </w:rPr>
        <w:t xml:space="preserve">In this research, trust is a property of a verifiable authorisation process, not an attribute of one entity or technology.</w:t>
      </w:r>
    </w:p>
    <w:p>
      <w:pPr>
        <w:spacing w:after="110" w:line="264"/>
        <w:jc w:val="both"/>
      </w:pPr>
      <w:r>
        <w:rPr>
          <w:rFonts w:ascii="Times New Roman" w:cs="Times New Roman" w:eastAsia="Times New Roman" w:hAnsi="Times New Roman"/>
          <w:sz w:val="22"/>
          <w:szCs w:val="22"/>
          <w:highlight w:val="magenta"/>
        </w:rPr>
        <w:t xml:space="preserve">Existing healthcare consent and access-control research provides most of the needed technology, but not an integrated Trust Computing framework</w:t>
      </w:r>
      <w:r>
        <w:rPr>
          <w:rFonts w:ascii="Times New Roman" w:cs="Times New Roman" w:eastAsia="Times New Roman" w:hAnsi="Times New Roman"/>
          <w:sz w:val="22"/>
          <w:szCs w:val="22"/>
        </w:rPr>
        <w:t xml:space="preserve">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w:t>
      </w:r>
      <w:r>
        <w:rPr>
          <w:rFonts w:ascii="Times New Roman" w:cs="Times New Roman" w:eastAsia="Times New Roman" w:hAnsi="Times New Roman"/>
          <w:sz w:val="22"/>
          <w:szCs w:val="22"/>
          <w:highlight w:val="green"/>
        </w:rPr>
        <w:t xml:space="preserve">[8, 16, 24]</w:t>
      </w:r>
      <w:r>
        <w:rPr>
          <w:rFonts w:ascii="Times New Roman" w:cs="Times New Roman" w:eastAsia="Times New Roman" w:hAnsi="Times New Roman"/>
          <w:sz w:val="22"/>
          <w:szCs w:val="22"/>
        </w:rPr>
        <w:t xml:space="preserve">, or appointed by the patient </w:t>
      </w:r>
      <w:r>
        <w:rPr>
          <w:rFonts w:ascii="Times New Roman" w:cs="Times New Roman" w:eastAsia="Times New Roman" w:hAnsi="Times New Roman"/>
          <w:sz w:val="22"/>
          <w:szCs w:val="22"/>
          <w:highlight w:val="green"/>
        </w:rPr>
        <w:t xml:space="preserve">[11, 20]</w:t>
      </w:r>
      <w:r>
        <w:rPr>
          <w:rFonts w:ascii="Times New Roman" w:cs="Times New Roman" w:eastAsia="Times New Roman" w:hAnsi="Times New Roman"/>
          <w:sz w:val="22"/>
          <w:szCs w:val="22"/>
        </w:rPr>
        <w:t xml:space="preserve">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w:t>
      </w:r>
      <w:r>
        <w:rPr>
          <w:rFonts w:ascii="Times New Roman" w:cs="Times New Roman" w:eastAsia="Times New Roman" w:hAnsi="Times New Roman"/>
          <w:sz w:val="22"/>
          <w:szCs w:val="22"/>
        </w:rPr>
        <w:t xml:space="preserve">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w:t>
      </w:r>
      <w:r>
        <w:rPr>
          <w:rFonts w:ascii="Times New Roman" w:cs="Times New Roman" w:eastAsia="Times New Roman" w:hAnsi="Times New Roman"/>
          <w:b/>
          <w:bCs/>
          <w:sz w:val="26"/>
          <w:szCs w:val="26"/>
        </w:rPr>
        <w:t xml:space="preserve">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w:t>
      </w:r>
      <w:r>
        <w:rPr>
          <w:rFonts w:ascii="Times New Roman" w:cs="Times New Roman" w:eastAsia="Times New Roman" w:hAnsi="Times New Roman"/>
          <w:b/>
          <w:bCs/>
          <w:sz w:val="26"/>
          <w:szCs w:val="26"/>
        </w:rPr>
        <w:t xml:space="preserve">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w:t>
      </w:r>
      <w:r>
        <w:rPr>
          <w:rFonts w:ascii="Times New Roman" w:cs="Times New Roman" w:eastAsia="Times New Roman" w:hAnsi="Times New Roman"/>
          <w:sz w:val="22"/>
          <w:szCs w:val="22"/>
        </w:rPr>
        <w:t xml:space="preserve"> For brevity, SRQ1 to SRQ6 are referred to as RQ1 to RQ6 </w:t>
      </w:r>
      <w:r>
        <w:rPr>
          <w:rFonts w:ascii="Times New Roman" w:cs="Times New Roman" w:eastAsia="Times New Roman" w:hAnsi="Times New Roman"/>
          <w:sz w:val="22"/>
          <w:szCs w:val="22"/>
        </w:rPr>
        <w:t xml:space="preserve">throughout this report</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w:t>
      </w:r>
      <w:r>
        <w:rPr>
          <w:rFonts w:ascii="Times New Roman" w:cs="Times New Roman" w:eastAsia="Times New Roman" w:hAnsi="Times New Roman"/>
          <w:b/>
          <w:bCs/>
          <w:sz w:val="26"/>
          <w:szCs w:val="26"/>
        </w:rPr>
        <w:t xml:space="preserve">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w:t>
      </w:r>
      <w:r>
        <w:rPr>
          <w:rFonts w:ascii="Times New Roman" w:cs="Times New Roman" w:eastAsia="Times New Roman" w:hAnsi="Times New Roman"/>
          <w:sz w:val="22"/>
          <w:szCs w:val="22"/>
        </w:rPr>
        <w:t xml:space="preserve">requires the Groth16 ZK proof </w:t>
      </w:r>
      <w:r>
        <w:rPr>
          <w:rFonts w:ascii="Times New Roman" w:cs="Times New Roman" w:eastAsia="Times New Roman" w:hAnsi="Times New Roman"/>
          <w:sz w:val="22"/>
          <w:szCs w:val="22"/>
          <w:highlight w:val="green"/>
        </w:rPr>
        <w:t xml:space="preserve">[69]</w:t>
      </w:r>
      <w:r>
        <w:rPr>
          <w:rFonts w:ascii="Times New Roman" w:cs="Times New Roman" w:eastAsia="Times New Roman" w:hAnsi="Times New Roman"/>
          <w:sz w:val="22"/>
          <w:szCs w:val="22"/>
        </w:rPr>
        <w:t xml:space="preserve"> to verify</w:t>
      </w:r>
      <w:r>
        <w:rPr>
          <w:rFonts w:ascii="Times New Roman" w:cs="Times New Roman" w:eastAsia="Times New Roman" w:hAnsi="Times New Roman"/>
          <w:sz w:val="22"/>
          <w:szCs w:val="22"/>
        </w:rPr>
        <w:t xml:space="preserve">, so a request that satisfies the five predicates is still denied when the proof fails, as in attack A9 (Section 11.4).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highlight w:val="magenta"/>
        </w:rPr>
        <w:t xml:space="preserve">The research objectives turn the research gap into concrete research and development activities.</w:t>
      </w:r>
      <w:r>
        <w:rPr>
          <w:rFonts w:ascii="Times New Roman" w:cs="Times New Roman" w:eastAsia="Times New Roman" w:hAnsi="Times New Roman"/>
          <w:sz w:val="22"/>
          <w:szCs w:val="22"/>
        </w:rPr>
        <w:t xml:space="preserve">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w:t>
      </w:r>
      <w:r>
        <w:rPr>
          <w:rFonts w:ascii="Times New Roman" w:cs="Times New Roman" w:eastAsia="Times New Roman" w:hAnsi="Times New Roman"/>
          <w:b/>
          <w:bCs/>
          <w:sz w:val="26"/>
          <w:szCs w:val="26"/>
        </w:rPr>
        <w:t xml:space="preserve">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w:t>
      </w:r>
      <w:r>
        <w:rPr>
          <w:rFonts w:ascii="Times New Roman" w:cs="Times New Roman" w:eastAsia="Times New Roman" w:hAnsi="Times New Roman"/>
          <w:b/>
          <w:bCs/>
          <w:sz w:val="26"/>
          <w:szCs w:val="26"/>
        </w:rPr>
        <w:t xml:space="preserve">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w:t>
      </w:r>
      <w:r>
        <w:rPr>
          <w:rFonts w:ascii="Times New Roman" w:cs="Times New Roman" w:eastAsia="Times New Roman" w:hAnsi="Times New Roman"/>
          <w:b/>
          <w:bCs/>
          <w:sz w:val="26"/>
          <w:szCs w:val="26"/>
        </w:rPr>
        <w:t xml:space="preserve">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w:t>
      </w:r>
      <w:r>
        <w:rPr>
          <w:rFonts w:ascii="Times New Roman" w:cs="Times New Roman" w:eastAsia="Times New Roman" w:hAnsi="Times New Roman"/>
          <w:b/>
          <w:bCs/>
          <w:sz w:val="26"/>
          <w:szCs w:val="26"/>
        </w:rPr>
        <w:t xml:space="preserve">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w:t>
      </w:r>
      <w:r>
        <w:rPr>
          <w:rFonts w:ascii="Times New Roman" w:cs="Times New Roman" w:eastAsia="Times New Roman" w:hAnsi="Times New Roman"/>
          <w:b/>
          <w:bCs/>
          <w:sz w:val="26"/>
          <w:szCs w:val="26"/>
        </w:rPr>
        <w:t xml:space="preserve">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w:t>
      </w:r>
      <w:r>
        <w:rPr>
          <w:rFonts w:ascii="Times New Roman" w:cs="Times New Roman" w:eastAsia="Times New Roman" w:hAnsi="Times New Roman"/>
          <w:sz w:val="22"/>
          <w:szCs w:val="22"/>
        </w:rPr>
        <w:t xml:space="preserve">the lifecycle transition check, a formal lifecycle model, and </w:t>
      </w:r>
      <w:r>
        <w:rPr>
          <w:rFonts w:ascii="Times New Roman" w:cs="Times New Roman" w:eastAsia="Times New Roman" w:hAnsi="Times New Roman"/>
          <w:sz w:val="22"/>
          <w:szCs w:val="22"/>
        </w:rPr>
        <w:t xml:space="preserve">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w:t>
      </w:r>
      <w:r>
        <w:rPr>
          <w:rFonts w:ascii="Times New Roman" w:cs="Times New Roman" w:eastAsia="Times New Roman" w:hAnsi="Times New Roman"/>
          <w:b/>
          <w:bCs/>
          <w:sz w:val="26"/>
          <w:szCs w:val="26"/>
        </w:rPr>
        <w:t xml:space="preserve">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w:t>
      </w:r>
      <w:r>
        <w:rPr>
          <w:rFonts w:ascii="Times New Roman" w:cs="Times New Roman" w:eastAsia="Times New Roman" w:hAnsi="Times New Roman"/>
          <w:sz w:val="22"/>
          <w:szCs w:val="22"/>
          <w:highlight w:val="magenta"/>
        </w:rPr>
        <w:t xml:space="preserve">The prototype must execute valid consent workflows, and it must also behave correctly when one or more trust conditions are violated.</w:t>
      </w:r>
      <w:r>
        <w:rPr>
          <w:rFonts w:ascii="Times New Roman" w:cs="Times New Roman" w:eastAsia="Times New Roman" w:hAnsi="Times New Roman"/>
          <w:sz w:val="22"/>
          <w:szCs w:val="22"/>
        </w:rPr>
        <w:t xml:space="preserve">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w:t>
      </w:r>
      <w:r>
        <w:rPr>
          <w:rFonts w:ascii="Times New Roman" w:cs="Times New Roman" w:eastAsia="Times New Roman" w:hAnsi="Times New Roman"/>
          <w:b/>
          <w:bCs/>
          <w:sz w:val="26"/>
          <w:szCs w:val="26"/>
        </w:rPr>
        <w:t xml:space="preserve">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w:t>
      </w:r>
      <w:r>
        <w:rPr>
          <w:rFonts w:ascii="Times New Roman" w:cs="Times New Roman" w:eastAsia="Times New Roman" w:hAnsi="Times New Roman"/>
          <w:sz w:val="22"/>
          <w:szCs w:val="22"/>
          <w:highlight w:val="magenta"/>
        </w:rPr>
        <w:t xml:space="preserve">Each research question therefore has one research activity, and each objective contributes to the framework.</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RO1 to RO4 are delivered in this stage,</w:t>
      </w:r>
      <w:r>
        <w:rPr>
          <w:rFonts w:ascii="Times New Roman" w:cs="Times New Roman" w:eastAsia="Times New Roman" w:hAnsi="Times New Roman"/>
          <w:sz w:val="22"/>
          <w:szCs w:val="22"/>
        </w:rPr>
        <w:t xml:space="preserve">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w:t>
      </w:r>
      <w:r>
        <w:rPr>
          <w:rFonts w:ascii="Times New Roman" w:cs="Times New Roman" w:eastAsia="Times New Roman" w:hAnsi="Times New Roman"/>
          <w:sz w:val="22"/>
          <w:szCs w:val="22"/>
          <w:highlight w:val="magenta"/>
        </w:rPr>
        <w:t xml:space="preserve">In the proposed framework, MVC does more than separate data, interfaces, and application logic. It is extended to support a separation</w:t>
      </w:r>
      <w:r>
        <w:rPr>
          <w:rFonts w:ascii="Times New Roman" w:cs="Times New Roman" w:eastAsia="Times New Roman" w:hAnsi="Times New Roman"/>
          <w:sz w:val="22"/>
          <w:szCs w:val="22"/>
        </w:rPr>
        <w:t xml:space="preserve"> between the representation of consent, the interaction of independent stakeholders, and the enforcement of security-critical authorisation decisions. </w:t>
      </w:r>
      <w:r>
        <w:rPr>
          <w:rFonts w:ascii="Times New Roman" w:cs="Times New Roman" w:eastAsia="Times New Roman" w:hAnsi="Times New Roman"/>
          <w:sz w:val="22"/>
          <w:szCs w:val="22"/>
        </w:rPr>
        <w:t xml:space="preserve">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w:t>
      </w:r>
      <w:r>
        <w:rPr>
          <w:rFonts w:ascii="Times New Roman" w:cs="Times New Roman" w:eastAsia="Times New Roman" w:hAnsi="Times New Roman"/>
          <w:sz w:val="22"/>
          <w:szCs w:val="22"/>
          <w:highlight w:val="magenta"/>
        </w:rPr>
        <w:t xml:space="preserve">Instead, the authorisation decision is the result of evaluating independently verifiable security conditions together.</w:t>
      </w:r>
    </w:p>
    <w:p>
      <w:pPr>
        <w:pStyle w:val="Heading2"/>
        <w:keepNext/>
        <w:spacing w:after="120" w:before="240"/>
      </w:pPr>
      <w:r>
        <w:rPr>
          <w:rFonts w:ascii="Times New Roman" w:cs="Times New Roman" w:eastAsia="Times New Roman" w:hAnsi="Times New Roman"/>
          <w:b/>
          <w:bCs/>
          <w:sz w:val="26"/>
          <w:szCs w:val="26"/>
        </w:rPr>
        <w:t xml:space="preserve">5.1  </w:t>
      </w:r>
      <w:r>
        <w:rPr>
          <w:rFonts w:ascii="Times New Roman" w:cs="Times New Roman" w:eastAsia="Times New Roman" w:hAnsi="Times New Roman"/>
          <w:b/>
          <w:bCs/>
          <w:sz w:val="26"/>
          <w:szCs w:val="26"/>
        </w:rPr>
        <w:t xml:space="preserve">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3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w:t>
      </w:r>
      <w:r>
        <w:rPr>
          <w:rFonts w:ascii="Times New Roman" w:cs="Times New Roman" w:eastAsia="Times New Roman" w:hAnsi="Times New Roman"/>
          <w:b/>
          <w:bCs/>
          <w:sz w:val="26"/>
          <w:szCs w:val="26"/>
        </w:rPr>
        <w:t xml:space="preserve">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 (in the current prototype, V</w:t>
      </w:r>
      <w:r>
        <w:rPr>
          <w:rFonts w:ascii="Times New Roman" w:cs="Times New Roman" w:eastAsia="Times New Roman" w:hAnsi="Times New Roman"/>
          <w:sz w:val="18"/>
          <w:szCs w:val="18"/>
          <w:vertAlign w:val="subscript"/>
        </w:rPr>
        <w:t xml:space="preserve">I</w:t>
      </w:r>
      <w:r>
        <w:rPr>
          <w:rFonts w:ascii="Times New Roman" w:cs="Times New Roman" w:eastAsia="Times New Roman" w:hAnsi="Times New Roman"/>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w:t>
      </w:r>
      <w:r>
        <w:rPr>
          <w:rFonts w:ascii="Times New Roman" w:cs="Times New Roman" w:eastAsia="Times New Roman" w:hAnsi="Times New Roman"/>
          <w:sz w:val="22"/>
          <w:szCs w:val="22"/>
          <w:highlight w:val="magenta"/>
        </w:rPr>
        <w:t xml:space="preserve">For the interpretation of the architecture</w:t>
      </w:r>
      <w:r>
        <w:rPr>
          <w:rFonts w:ascii="Times New Roman" w:cs="Times New Roman" w:eastAsia="Times New Roman" w:hAnsi="Times New Roman"/>
          <w:sz w:val="22"/>
          <w:szCs w:val="22"/>
        </w:rPr>
        <w:t xml:space="preserv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w:t>
      </w:r>
      <w:r>
        <w:rPr>
          <w:rFonts w:ascii="Times New Roman" w:cs="Times New Roman" w:eastAsia="Times New Roman" w:hAnsi="Times New Roman"/>
          <w:b/>
          <w:bCs/>
          <w:sz w:val="26"/>
          <w:szCs w:val="26"/>
        </w:rPr>
        <w:t xml:space="preserve">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w:t>
      </w:r>
      <w:r>
        <w:rPr>
          <w:rFonts w:ascii="Times New Roman" w:cs="Times New Roman" w:eastAsia="Times New Roman" w:hAnsi="Times New Roman"/>
          <w:sz w:val="22"/>
          <w:szCs w:val="22"/>
          <w:highlight w:val="magenta"/>
        </w:rPr>
        <w:t xml:space="preserve">The framework separates identity authentication from authorisation.</w:t>
      </w:r>
      <w:r>
        <w:rPr>
          <w:rFonts w:ascii="Times New Roman" w:cs="Times New Roman" w:eastAsia="Times New Roman" w:hAnsi="Times New Roman"/>
          <w:sz w:val="22"/>
          <w:szCs w:val="22"/>
        </w:rPr>
        <w:t xml:space="preserve"> A successfully verified DID or VC does not, by itself, grant permission to access patient data. The framework then collects </w:t>
      </w:r>
      <w:r>
        <w:rPr>
          <w:rFonts w:ascii="Times New Roman" w:cs="Times New Roman" w:eastAsia="Times New Roman" w:hAnsi="Times New Roman"/>
          <w:sz w:val="22"/>
          <w:szCs w:val="22"/>
        </w:rPr>
        <w:t xml:space="preserve">the guardians'</w:t>
      </w:r>
      <w:r>
        <w:rPr>
          <w:rFonts w:ascii="Times New Roman" w:cs="Times New Roman" w:eastAsia="Times New Roman" w:hAnsi="Times New Roman"/>
          <w:sz w:val="22"/>
          <w:szCs w:val="22"/>
        </w:rPr>
        <w:t xml:space="preserve">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w:t>
      </w:r>
      <w:r>
        <w:rPr>
          <w:rFonts w:ascii="Times New Roman" w:cs="Times New Roman" w:eastAsia="Times New Roman" w:hAnsi="Times New Roman"/>
          <w:sz w:val="22"/>
          <w:szCs w:val="22"/>
        </w:rPr>
        <w:t xml:space="preserve">guardians whose approvals have been verified</w:t>
      </w:r>
      <w:r>
        <w:rPr>
          <w:rFonts w:ascii="Times New Roman" w:cs="Times New Roman" w:eastAsia="Times New Roman" w:hAnsi="Times New Roman"/>
          <w:sz w:val="22"/>
          <w:szCs w:val="22"/>
        </w:rPr>
        <w:t xml:space="preserve"> and let N denote the required authorisation threshold, as in Equation (3). Here, Token(C) ≠ ∅ means that C has been assigned a token identifier, and Revoked(C) = 0 means that the consent has not been revoked.</w:t>
      </w:r>
    </w:p>
    <w:p>
      <w:pPr>
        <w:keepNext/>
        <w:spacing w:after="60" w:before="160"/>
        <w:jc w:val="center"/>
      </w:pPr>
      <w:r>
        <w:drawing>
          <wp:inline distT="0" distB="0" distL="0" distR="0">
            <wp:extent cx="2647950"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479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independently verified participants can contribute to the </w:t>
      </w:r>
      <w:r>
        <w:rPr>
          <w:rFonts w:ascii="Times New Roman" w:cs="Times New Roman" w:eastAsia="Times New Roman" w:hAnsi="Times New Roman"/>
          <w:sz w:val="22"/>
          <w:szCs w:val="22"/>
        </w:rPr>
        <w:t xml:space="preserve">set of verified approving guardians</w:t>
      </w:r>
      <w:r>
        <w:rPr>
          <w:rFonts w:ascii="Times New Roman" w:cs="Times New Roman" w:eastAsia="Times New Roman" w:hAnsi="Times New Roman"/>
          <w:sz w:val="22"/>
          <w:szCs w:val="22"/>
        </w:rPr>
        <w:t xml:space="preserve">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w:t>
      </w: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therefore contains each member of G at most once, and an approval from a signer outside G does not enter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w:t>
      </w:r>
      <w:r>
        <w:rPr>
          <w:rFonts w:ascii="Times New Roman" w:cs="Times New Roman" w:eastAsia="Times New Roman" w:hAnsi="Times New Roman"/>
          <w:sz w:val="22"/>
          <w:szCs w:val="22"/>
        </w:rPr>
        <w:t xml:space="preserve">a registration-time co-consent, a documentation-time gate on guardian access, an institution-side admission gate, a custodial M-of-N signature, a key-share reconstruction, or a threshold proxy re-encryption.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{g ∈ G | ∃ a</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 ∈ A</w:t>
      </w:r>
      <w:r>
        <w:rPr>
          <w:rFonts w:ascii="Cambria Math" w:cs="Cambria Math" w:eastAsia="Cambria Math" w:hAnsi="Cambria Math"/>
          <w:i w:val="false"/>
          <w:iCs w:val="false"/>
          <w:sz w:val="18"/>
          <w:szCs w:val="18"/>
          <w:vertAlign w:val="subscript"/>
        </w:rPr>
        <w:t xml:space="preserve">s</w:t>
      </w:r>
      <w:r>
        <w:rPr>
          <w:rFonts w:ascii="Cambria Math" w:cs="Cambria Math" w:eastAsia="Cambria Math" w:hAnsi="Cambria Math"/>
          <w:i w:val="false"/>
          <w:iCs w:val="false"/>
          <w:sz w:val="18"/>
          <w:szCs w:val="18"/>
        </w:rPr>
        <w:t xml:space="preserve"> submitted by g with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w:t>
      </w:r>
      <w:r>
        <w:rPr>
          <w:rFonts w:ascii="Cambria Math" w:cs="Cambria Math" w:eastAsia="Cambria Math" w:hAnsi="Cambria Math"/>
          <w:i w:val="false"/>
          <w:iCs w:val="false"/>
          <w:sz w:val="18"/>
          <w:szCs w:val="18"/>
        </w:rPr>
        <w:t xml:space="preserve">g</w:t>
      </w:r>
      <w:r>
        <w:rPr>
          <w:rFonts w:ascii="Cambria Math" w:cs="Cambria Math" w:eastAsia="Cambria Math" w:hAnsi="Cambria Math"/>
          <w:i w:val="false"/>
          <w:iCs w:val="false"/>
          <w:sz w:val="18"/>
          <w:szCs w:val="18"/>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w:t>
      </w:r>
      <w:r>
        <w:rPr>
          <w:rFonts w:ascii="Times New Roman" w:cs="Times New Roman" w:eastAsia="Times New Roman" w:hAnsi="Times New Roman"/>
          <w:sz w:val="22"/>
          <w:szCs w:val="22"/>
        </w:rPr>
        <w:t xml:space="preserve">Beyond the access decision shown in Figure 6, the prototype continues</w:t>
      </w:r>
      <w:r>
        <w:rPr>
          <w:rFonts w:ascii="Times New Roman" w:cs="Times New Roman" w:eastAsia="Times New Roman" w:hAnsi="Times New Roman"/>
          <w:sz w:val="22"/>
          <w:szCs w:val="22"/>
        </w:rPr>
        <w:t xml:space="preserve"> through patient-initiated revocation and the corresponding on-chain revoke transaction, after which the auditor reviews the record and the verification tool performs an independent verification. </w:t>
      </w:r>
      <w:r>
        <w:rPr>
          <w:rFonts w:ascii="Times New Roman" w:cs="Times New Roman" w:eastAsia="Times New Roman" w:hAnsi="Times New Roman"/>
          <w:sz w:val="22"/>
          <w:szCs w:val="22"/>
        </w:rPr>
        <w:t xml:space="preserve">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w:t>
      </w:r>
      <w:r>
        <w:rPr>
          <w:rFonts w:ascii="Times New Roman" w:cs="Times New Roman" w:eastAsia="Times New Roman" w:hAnsi="Times New Roman"/>
          <w:sz w:val="22"/>
          <w:szCs w:val="22"/>
          <w:highlight w:val="magenta"/>
        </w:rPr>
        <w:t xml:space="preserve">This step addresses a limitation of identity-based and approval-based access control:</w:t>
      </w:r>
      <w:r>
        <w:rPr>
          <w:rFonts w:ascii="Times New Roman" w:cs="Times New Roman" w:eastAsia="Times New Roman" w:hAnsi="Times New Roman"/>
          <w:sz w:val="22"/>
          <w:szCs w:val="22"/>
        </w:rPr>
        <w:t xml:space="preserve">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requested purpose must be consistent with the purpose specified in the consent.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w:t>
      </w:r>
      <w:r>
        <w:rPr>
          <w:rFonts w:ascii="Times New Roman" w:cs="Times New Roman" w:eastAsia="Times New Roman" w:hAnsi="Times New Roman"/>
          <w:b/>
          <w:bCs/>
          <w:sz w:val="26"/>
          <w:szCs w:val="26"/>
        </w:rPr>
        <w:t xml:space="preserve">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6.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is</w:t>
      </w:r>
      <w:r>
        <w:rPr>
          <w:rFonts w:ascii="Times New Roman" w:cs="Times New Roman" w:eastAsia="Times New Roman" w:hAnsi="Times New Roman"/>
          <w:sz w:val="22"/>
          <w:szCs w:val="22"/>
        </w:rPr>
        <w:t xml:space="preserve"> evaluated by the Controller before an access decision is produced</w:t>
      </w:r>
      <w:r>
        <w:rPr>
          <w:rFonts w:ascii="Times New Roman" w:cs="Times New Roman" w:eastAsia="Times New Roman" w:hAnsi="Times New Roman"/>
          <w:sz w:val="22"/>
          <w:szCs w:val="22"/>
        </w:rPr>
        <w:t xml:space="preserve">, and the jurisdiction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of RO4 is evaluated in the same step</w:t>
      </w:r>
      <w:r>
        <w:rPr>
          <w:rFonts w:ascii="Times New Roman" w:cs="Times New Roman" w:eastAsia="Times New Roman" w:hAnsi="Times New Roman"/>
          <w:sz w:val="22"/>
          <w:szCs w:val="22"/>
        </w:rPr>
        <w:t xml:space="preserve">.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w:t>
            </w:r>
            <w:r>
              <w:rPr>
                <w:rFonts w:ascii="Times New Roman" w:cs="Times New Roman" w:eastAsia="Times New Roman" w:hAnsi="Times New Roman"/>
                <w:b w:val="false"/>
                <w:bCs w:val="false"/>
                <w:sz w:val="17"/>
                <w:szCs w:val="17"/>
              </w:rPr>
              <w:t xml:space="preserve">evaluate</w:t>
            </w:r>
            <w:r>
              <w:rPr>
                <w:rFonts w:ascii="Times New Roman" w:cs="Times New Roman" w:eastAsia="Times New Roman" w:hAnsi="Times New Roman"/>
                <w:b w:val="false"/>
                <w:bCs w:val="false"/>
                <w:sz w:val="17"/>
                <w:szCs w:val="17"/>
              </w:rPr>
              <w:t xml:space="preserve">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highlight w:val="magenta"/>
        </w:rPr>
        <w:t xml:space="preserve">The contribution of the proposed architecture is the way MVC is used to carry a trust-oriented authorisation model, not the use of MVC itself.</w:t>
      </w:r>
      <w:r>
        <w:rPr>
          <w:rFonts w:ascii="Times New Roman" w:cs="Times New Roman" w:eastAsia="Times New Roman" w:hAnsi="Times New Roman"/>
          <w:sz w:val="22"/>
          <w:szCs w:val="22"/>
        </w:rPr>
        <w:t xml:space="preserve">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are presented in Sections 6 to 11, and the formal assurance of the complete decision model </w:t>
      </w:r>
      <w:r>
        <w:rPr>
          <w:rFonts w:ascii="Times New Roman" w:cs="Times New Roman" w:eastAsia="Times New Roman" w:hAnsi="Times New Roman"/>
          <w:sz w:val="22"/>
          <w:szCs w:val="22"/>
        </w:rPr>
        <w:t xml:space="preserve">remains for the next stage.</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w:t>
      </w:r>
      <w:r>
        <w:rPr>
          <w:rFonts w:ascii="Times New Roman" w:cs="Times New Roman" w:eastAsia="Times New Roman" w:hAnsi="Times New Roman"/>
          <w:b/>
          <w:bCs/>
          <w:sz w:val="26"/>
          <w:szCs w:val="26"/>
        </w:rPr>
        <w:t xml:space="preserve">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w:t>
      </w:r>
      <w:r>
        <w:rPr>
          <w:rFonts w:ascii="Times New Roman" w:cs="Times New Roman" w:eastAsia="Times New Roman" w:hAnsi="Times New Roman"/>
          <w:b/>
          <w:bCs/>
          <w:sz w:val="26"/>
          <w:szCs w:val="26"/>
        </w:rPr>
        <w:t xml:space="preserve">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219325"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193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w:t>
      </w:r>
      <w:r>
        <w:rPr>
          <w:rFonts w:ascii="Times New Roman" w:cs="Times New Roman" w:eastAsia="Times New Roman" w:hAnsi="Times New Roman"/>
          <w:b/>
          <w:bCs/>
          <w:sz w:val="26"/>
          <w:szCs w:val="26"/>
        </w:rPr>
        <w:t xml:space="preserve">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 </w:t>
      </w:r>
      <w:r>
        <w:rPr>
          <w:rFonts w:ascii="Times New Roman" w:cs="Times New Roman" w:eastAsia="Times New Roman" w:hAnsi="Times New Roman"/>
          <w:sz w:val="22"/>
          <w:szCs w:val="22"/>
          <w:highlight w:val="magenta"/>
        </w:rPr>
        <w:t xml:space="preserve">The resulting object therefore captures the patient's preference and the evidence needed for later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Unlike the consent objects reported in the literature,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w:t>
      </w:r>
      <w:r>
        <w:rPr>
          <w:rFonts w:ascii="Times New Roman" w:cs="Times New Roman" w:eastAsia="Times New Roman" w:hAnsi="Times New Roman"/>
          <w:b/>
          <w:bCs/>
          <w:sz w:val="26"/>
          <w:szCs w:val="26"/>
        </w:rPr>
        <w:t xml:space="preserve">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w:t>
      </w:r>
      <w:r>
        <w:rPr>
          <w:rFonts w:ascii="Times New Roman" w:cs="Times New Roman" w:eastAsia="Times New Roman" w:hAnsi="Times New Roman"/>
          <w:sz w:val="22"/>
          <w:szCs w:val="22"/>
        </w:rPr>
        <w:t xml:space="preserve">The system then validates the guardian set G, which must </w:t>
      </w:r>
      <w:r>
        <w:rPr>
          <w:rFonts w:ascii="Times New Roman" w:cs="Times New Roman" w:eastAsia="Times New Roman" w:hAnsi="Times New Roman"/>
          <w:sz w:val="22"/>
          <w:szCs w:val="22"/>
        </w:rPr>
        <w:t xml:space="preserve">be non-empty, and every guardian in it must have a well-formed DID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w:t>
      </w:r>
      <w:r>
        <w:rPr>
          <w:rFonts w:ascii="Times New Roman" w:cs="Times New Roman" w:eastAsia="Times New Roman" w:hAnsi="Times New Roman"/>
          <w:sz w:val="22"/>
          <w:szCs w:val="22"/>
        </w:rPr>
        <w:t xml:space="preserve">authorised</w:t>
      </w:r>
      <w:r>
        <w:rPr>
          <w:rFonts w:ascii="Times New Roman" w:cs="Times New Roman" w:eastAsia="Times New Roman" w:hAnsi="Times New Roman"/>
          <w:sz w:val="22"/>
          <w:szCs w:val="22"/>
        </w:rPr>
        <w:t xml:space="preserve">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w:t>
      </w:r>
      <w:r>
        <w:rPr>
          <w:rFonts w:ascii="Times New Roman" w:cs="Times New Roman" w:eastAsia="Times New Roman" w:hAnsi="Times New Roman"/>
          <w:sz w:val="22"/>
          <w:szCs w:val="22"/>
        </w:rPr>
        <w:t xml:space="preserve">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w:t>
      </w:r>
      <w:r>
        <w:rPr>
          <w:rFonts w:ascii="Times New Roman" w:cs="Times New Roman" w:eastAsia="Times New Roman" w:hAnsi="Times New Roman"/>
          <w:sz w:val="22"/>
          <w:szCs w:val="22"/>
          <w:highlight w:val="magenta"/>
        </w:rPr>
        <w:t xml:space="preserve">Consent is therefore created only after the identity, authority, purpose, scope, and temporal fields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 any member of G is invalid,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is invalid, or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where I holds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and D, A holds G and the threshold N = |G|, and P holds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 The algorithm does not grant data access directly. Instead, it creates a consent object that can later be evaluated by the authorisation mechanism. </w:t>
      </w:r>
      <w:r>
        <w:rPr>
          <w:rFonts w:ascii="Times New Roman" w:cs="Times New Roman" w:eastAsia="Times New Roman" w:hAnsi="Times New Roman"/>
          <w:sz w:val="22"/>
          <w:szCs w:val="22"/>
        </w:rPr>
        <w:t xml:space="preserve">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w:t>
      </w:r>
      <w:r>
        <w:rPr>
          <w:rFonts w:ascii="Times New Roman" w:cs="Times New Roman" w:eastAsia="Times New Roman" w:hAnsi="Times New Roman"/>
          <w:sz w:val="22"/>
          <w:szCs w:val="22"/>
          <w:highlight w:val="magenta"/>
        </w:rPr>
        <w:t xml:space="preserve">The main contribution of RO1 is that consent is represented as an evaluable authorisation object rather than as a binary permission.</w:t>
      </w:r>
      <w:r>
        <w:rPr>
          <w:rFonts w:ascii="Times New Roman" w:cs="Times New Roman" w:eastAsia="Times New Roman" w:hAnsi="Times New Roman"/>
          <w:sz w:val="22"/>
          <w:szCs w:val="22"/>
        </w:rPr>
        <w:t xml:space="preserve">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w:t>
      </w:r>
      <w:r>
        <w:rPr>
          <w:rFonts w:ascii="Times New Roman" w:cs="Times New Roman" w:eastAsia="Times New Roman" w:hAnsi="Times New Roman"/>
          <w:b/>
          <w:bCs/>
          <w:sz w:val="26"/>
          <w:szCs w:val="26"/>
        </w:rPr>
        <w:t xml:space="preserve">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and authority verification condition can be expressed as Equation (7), where u is the requesting participant and Authority(u, C) establishes whether the verified authority matches the role required by the consent.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w:t>
      </w:r>
      <w:r>
        <w:rPr>
          <w:rFonts w:ascii="Times New Roman" w:cs="Times New Roman" w:eastAsia="Times New Roman" w:hAnsi="Times New Roman"/>
          <w:b/>
          <w:bCs/>
          <w:sz w:val="26"/>
          <w:szCs w:val="26"/>
        </w:rPr>
        <w:t xml:space="preserve">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9,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 (target design</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w:t>
      </w:r>
      <w:r>
        <w:rPr>
          <w:rFonts w:ascii="Times New Roman" w:cs="Times New Roman" w:eastAsia="Times New Roman" w:hAnsi="Times New Roman"/>
          <w:b/>
          <w:bCs/>
          <w:sz w:val="26"/>
          <w:szCs w:val="26"/>
        </w:rPr>
        <w:t xml:space="preserve">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w:t>
      </w:r>
      <w:r>
        <w:rPr>
          <w:rFonts w:ascii="Times New Roman" w:cs="Times New Roman" w:eastAsia="Times New Roman" w:hAnsi="Times New Roman"/>
          <w:sz w:val="22"/>
          <w:szCs w:val="22"/>
        </w:rPr>
        <w:t xml:space="preserve"> The system establishes the binding between the verified participant identity and the corresponding authority, thereby reducing the possibility of an unrelated credential being used to obtain access. Consequently, the procedure can be interpreted as a </w:t>
      </w:r>
      <w:r>
        <w:rPr>
          <w:rFonts w:ascii="Times New Roman" w:cs="Times New Roman" w:eastAsia="Times New Roman" w:hAnsi="Times New Roman"/>
          <w:sz w:val="22"/>
          <w:szCs w:val="22"/>
        </w:rPr>
        <w:t xml:space="preserve">two-layer verification mechanism, VerifyDID(u) ∧ VerifyVC(u)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where VALID corresponds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and INVALID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2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{VALID, INVALID}, where VALID corresponds to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w:t>
      </w:r>
      <w:r>
        <w:rPr>
          <w:rFonts w:ascii="Times New Roman" w:cs="Times New Roman" w:eastAsia="Times New Roman" w:hAnsi="Times New Roman"/>
          <w:sz w:val="22"/>
          <w:szCs w:val="22"/>
          <w:highlight w:val="magenta"/>
        </w:rPr>
        <w:t xml:space="preserve">This mechanism turns identity and authority claims into verifiable evidence.</w:t>
      </w:r>
      <w:r>
        <w:rPr>
          <w:rFonts w:ascii="Times New Roman" w:cs="Times New Roman" w:eastAsia="Times New Roman" w:hAnsi="Times New Roman"/>
          <w:sz w:val="22"/>
          <w:szCs w:val="22"/>
        </w:rPr>
        <w:t xml:space="preserv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w:t>
      </w:r>
      <w:r>
        <w:rPr>
          <w:rFonts w:ascii="Times New Roman" w:cs="Times New Roman" w:eastAsia="Times New Roman" w:hAnsi="Times New Roman"/>
          <w:b/>
          <w:bCs/>
          <w:sz w:val="26"/>
          <w:szCs w:val="26"/>
        </w:rPr>
        <w:t xml:space="preserve">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w:t>
      </w:r>
      <w:r>
        <w:rPr>
          <w:rFonts w:ascii="Times New Roman" w:cs="Times New Roman" w:eastAsia="Times New Roman" w:hAnsi="Times New Roman"/>
          <w:sz w:val="22"/>
          <w:szCs w:val="22"/>
        </w:rPr>
        <w:t xml:space="preserve">approving guardians</w:t>
      </w:r>
      <w:r>
        <w:rPr>
          <w:rFonts w:ascii="Times New Roman" w:cs="Times New Roman" w:eastAsia="Times New Roman" w:hAnsi="Times New Roman"/>
          <w:sz w:val="22"/>
          <w:szCs w:val="22"/>
        </w:rPr>
        <w:t xml:space="preserve"> and N represent the required approval threshold.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w:t>
      </w:r>
      <w:r>
        <w:rPr>
          <w:rFonts w:ascii="Times New Roman" w:cs="Times New Roman" w:eastAsia="Times New Roman" w:hAnsi="Times New Roman"/>
          <w:sz w:val="22"/>
          <w:szCs w:val="22"/>
          <w:highlight w:val="magenta"/>
        </w:rPr>
        <w:t xml:space="preserve">Decentralised identity systems with multi-party verification strengthen the way identity claims are established and validated</w:t>
      </w:r>
      <w:r>
        <w:rPr>
          <w:rFonts w:ascii="Times New Roman" w:cs="Times New Roman" w:eastAsia="Times New Roman" w:hAnsi="Times New Roman"/>
          <w:sz w:val="22"/>
          <w:szCs w:val="22"/>
        </w:rPr>
        <w:t xml:space="preserve">.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w:t>
      </w:r>
      <w:r>
        <w:rPr>
          <w:rFonts w:ascii="Times New Roman" w:cs="Times New Roman" w:eastAsia="Times New Roman" w:hAnsi="Times New Roman"/>
          <w:b/>
          <w:bCs/>
          <w:sz w:val="26"/>
          <w:szCs w:val="26"/>
        </w:rPr>
        <w:t xml:space="preserve">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10,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279082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90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w:t>
      </w:r>
      <w:r>
        <w:rPr>
          <w:rFonts w:ascii="Times New Roman" w:cs="Times New Roman" w:eastAsia="Times New Roman" w:hAnsi="Times New Roman"/>
          <w:b/>
          <w:bCs/>
          <w:sz w:val="26"/>
          <w:szCs w:val="26"/>
        </w:rPr>
        <w:t xml:space="preserve">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w:t>
      </w:r>
      <w:r>
        <w:rPr>
          <w:rFonts w:ascii="Times New Roman" w:cs="Times New Roman" w:eastAsia="Times New Roman" w:hAnsi="Times New Roman"/>
          <w:sz w:val="22"/>
          <w:szCs w:val="22"/>
        </w:rPr>
        <w:t xml:space="preserve">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w:t>
      </w:r>
      <w:r>
        <w:rPr>
          <w:rFonts w:ascii="Times New Roman" w:cs="Times New Roman" w:eastAsia="Times New Roman" w:hAnsi="Times New Roman"/>
          <w:sz w:val="22"/>
          <w:szCs w:val="22"/>
        </w:rPr>
        <w:t xml:space="preserve">counted, and their guardian g is added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{g}.</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w:t>
      </w:r>
      <w:r>
        <w:rPr>
          <w:rFonts w:ascii="Times New Roman" w:cs="Times New Roman" w:eastAsia="Times New Roman" w:hAnsi="Times New Roman"/>
          <w:sz w:val="19"/>
          <w:szCs w:val="19"/>
        </w:rPr>
        <w:t xml:space="preserve">approver</w:t>
      </w:r>
      <w:r>
        <w:rPr>
          <w:rFonts w:ascii="Times New Roman" w:cs="Times New Roman" w:eastAsia="Times New Roman" w:hAnsi="Times New Roman"/>
          <w:sz w:val="19"/>
          <w:szCs w:val="19"/>
        </w:rPr>
        <w:t xml:space="preserve">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highlight w:val="magenta"/>
        </w:rPr>
        <w:t xml:space="preserve">The algorithm also shows that multi-party authorisation is a trust mechanism, not a user-interface feature.</w:t>
      </w:r>
      <w:r>
        <w:rPr>
          <w:rFonts w:ascii="Times New Roman" w:cs="Times New Roman" w:eastAsia="Times New Roman" w:hAnsi="Times New Roman"/>
          <w:sz w:val="22"/>
          <w:szCs w:val="22"/>
        </w:rPr>
        <w:t xml:space="preserv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w:t>
      </w:r>
      <w:r>
        <w:rPr>
          <w:rFonts w:ascii="Times New Roman" w:cs="Times New Roman" w:eastAsia="Times New Roman" w:hAnsi="Times New Roman"/>
          <w:b/>
          <w:bCs/>
          <w:sz w:val="26"/>
          <w:szCs w:val="26"/>
        </w:rPr>
        <w:t xml:space="preserve">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t)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w:t>
      </w:r>
      <w:r>
        <w:rPr>
          <w:rFonts w:ascii="Times New Roman" w:cs="Times New Roman" w:eastAsia="Times New Roman" w:hAnsi="Times New Roman"/>
          <w:sz w:val="22"/>
          <w:szCs w:val="22"/>
        </w:rPr>
        <w:t xml:space="preserve">For example, where N = 2, Equation (12) holds for a consent that has a token identifier and has not been revoked, whereas Equation (13)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Token(C) ≠ ∅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w:t>
      </w:r>
      <w:r>
        <w:rPr>
          <w:rFonts w:ascii="Times New Roman" w:cs="Times New Roman" w:eastAsia="Times New Roman" w:hAnsi="Times New Roman"/>
          <w:sz w:val="22"/>
          <w:szCs w:val="22"/>
        </w:rPr>
        <w:t xml:space="preserve">the </w:t>
      </w:r>
      <w:r>
        <w:rPr>
          <w:rFonts w:ascii="Times New Roman" w:cs="Times New Roman" w:eastAsia="Times New Roman" w:hAnsi="Times New Roman"/>
          <w:sz w:val="22"/>
          <w:szCs w:val="22"/>
        </w:rPr>
        <w:t xml:space="preserve">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w:t>
      </w:r>
      <w:r>
        <w:rPr>
          <w:rFonts w:ascii="Times New Roman" w:cs="Times New Roman" w:eastAsia="Times New Roman" w:hAnsi="Times New Roman"/>
          <w:b/>
          <w:bCs/>
          <w:sz w:val="26"/>
          <w:szCs w:val="26"/>
        </w:rPr>
        <w:t xml:space="preserve">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w:t>
      </w:r>
      <w:r>
        <w:rPr>
          <w:rFonts w:ascii="Times New Roman" w:cs="Times New Roman" w:eastAsia="Times New Roman" w:hAnsi="Times New Roman"/>
          <w:sz w:val="22"/>
          <w:szCs w:val="22"/>
        </w:rPr>
        <w:t xml:space="preserve">, where the jurisdiction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belongs to this objective and is written out in Equation (21)</w:t>
      </w:r>
      <w:r>
        <w:rPr>
          <w:rFonts w:ascii="Times New Roman" w:cs="Times New Roman" w:eastAsia="Times New Roman" w:hAnsi="Times New Roman"/>
          <w:sz w:val="22"/>
          <w:szCs w:val="22"/>
        </w:rPr>
        <w:t xml:space="preserve">.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w:t>
      </w:r>
      <w:r>
        <w:rPr>
          <w:rFonts w:ascii="Times New Roman" w:cs="Times New Roman" w:eastAsia="Times New Roman" w:hAnsi="Times New Roman"/>
          <w:sz w:val="22"/>
          <w:szCs w:val="22"/>
          <w:highlight w:val="magenta"/>
        </w:rPr>
        <w:t xml:space="preserve">Both successful and denied decisions should be recorded, because accountability covers the data that were released and the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w:t>
      </w:r>
      <w:r>
        <w:rPr>
          <w:rFonts w:ascii="Times New Roman" w:cs="Times New Roman" w:eastAsia="Times New Roman" w:hAnsi="Times New Roman"/>
          <w:b/>
          <w:bCs/>
          <w:sz w:val="26"/>
          <w:szCs w:val="26"/>
        </w:rPr>
        <w:t xml:space="preserve">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requested purpose and data scope. The HALAH implementation provides a concrete basis for this objective. As shown in Figure 11, the Doctor interface retrieves a consent, evaluates its state, allows a requested scope to be selected from the consent scope, generates a proof, checks the requested scope, and invokes the authorisation function before returning data. </w:t>
      </w:r>
      <w:r>
        <w:rPr>
          <w:rFonts w:ascii="Times New Roman" w:cs="Times New Roman" w:eastAsia="Times New Roman" w:hAnsi="Times New Roman"/>
          <w:sz w:val="22"/>
          <w:szCs w:val="22"/>
        </w:rPr>
        <w:t xml:space="preserve">Suppose that a consent permits access to the data categories given in Equation (17), and a healthcare professional then requests the categories given in Equation (18).</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w:t>
      </w:r>
      <w:r>
        <w:rPr>
          <w:rFonts w:ascii="Times New Roman" w:cs="Times New Roman" w:eastAsia="Times New Roman" w:hAnsi="Times New Roman"/>
          <w:sz w:val="22"/>
          <w:szCs w:val="22"/>
          <w:highlight w:val="magenta"/>
        </w:rPr>
        <w:t xml:space="preserve">Authorisation to access one category of healthcare information does not imply authorisation to access all categories</w:t>
      </w:r>
      <w:r>
        <w:rPr>
          <w:rFonts w:ascii="Times New Roman" w:cs="Times New Roman" w:eastAsia="Times New Roman" w:hAnsi="Times New Roman"/>
          <w:sz w:val="22"/>
          <w:szCs w:val="22"/>
        </w:rPr>
        <w:t xml:space="preserve">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w:t>
      </w:r>
      <w:r>
        <w:rPr>
          <w:rFonts w:ascii="Times New Roman" w:cs="Times New Roman" w:eastAsia="Times New Roman" w:hAnsi="Times New Roman"/>
          <w:b/>
          <w:bCs/>
          <w:sz w:val="26"/>
          <w:szCs w:val="26"/>
        </w:rPr>
        <w:t xml:space="preserve">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 </w:t>
      </w:r>
      <w:r>
        <w:rPr>
          <w:rFonts w:ascii="Times New Roman" w:cs="Times New Roman" w:eastAsia="Times New Roman" w:hAnsi="Times New Roman"/>
          <w:sz w:val="22"/>
          <w:szCs w:val="22"/>
        </w:rPr>
        <w:t xml:space="preserve">If any mandatory condition fails during the evaluation process, the system returns DENY and records the corresponding denial evidence. </w:t>
      </w:r>
      <w:r>
        <w:rPr>
          <w:rFonts w:ascii="Times New Roman" w:cs="Times New Roman" w:eastAsia="Times New Roman" w:hAnsi="Times New Roman"/>
          <w:sz w:val="22"/>
          <w:szCs w:val="22"/>
        </w:rPr>
        <w:t xml:space="preserve">There are two exceptions in the prototype: a consent that is not ACTIVE, whose refusal is reported only in the doctor interface, and an empty request, which the interface stops before it reaches the ledger.</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r>
        <w:rPr>
          <w:rFonts w:ascii="Times New Roman" w:cs="Times New Roman" w:eastAsia="Times New Roman" w:hAnsi="Times New Roman"/>
          <w:sz w:val="19"/>
          <w:szCs w:val="19"/>
        </w:rPr>
        <w:t xml:space="preserve">   ▷ in the prototype, a consent outside its window is NOT_STARTED or EXPIRED, so this refusal is reported in the doctor interface and is not written to the audit ledger</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in the prototype, the proof is generated and verified before the decision matrix is evaluated</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proof does not verify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r>
        <w:rPr>
          <w:rFonts w:ascii="Times New Roman" w:cs="Times New Roman" w:eastAsia="Times New Roman" w:hAnsi="Times New Roman"/>
          <w:sz w:val="19"/>
          <w:szCs w:val="19"/>
        </w:rPr>
        <w:t xml:space="preserve"> with proof_mode = groth16</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w:t>
      </w:r>
      <w:r>
        <w:rPr>
          <w:rFonts w:ascii="Times New Roman" w:cs="Times New Roman" w:eastAsia="Times New Roman" w:hAnsi="Times New Roman"/>
          <w:sz w:val="22"/>
          <w:szCs w:val="22"/>
          <w:highlight w:val="magenta"/>
        </w:rPr>
        <w:t xml:space="preserve">This ordering prevents the system from treating identity validity or collective approval as unrestricted permission.</w:t>
      </w:r>
      <w:r>
        <w:rPr>
          <w:rFonts w:ascii="Times New Roman" w:cs="Times New Roman" w:eastAsia="Times New Roman" w:hAnsi="Times New Roman"/>
          <w:sz w:val="22"/>
          <w:szCs w:val="22"/>
        </w:rPr>
        <w:t xml:space="preserve">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w:t>
      </w:r>
      <w:r>
        <w:rPr>
          <w:rFonts w:ascii="Times New Roman" w:cs="Times New Roman" w:eastAsia="Times New Roman" w:hAnsi="Times New Roman"/>
          <w:b/>
          <w:bCs/>
          <w:sz w:val="26"/>
          <w:szCs w:val="26"/>
        </w:rPr>
        <w:t xml:space="preserve">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w:t>
      </w:r>
      <w:r>
        <w:rPr>
          <w:rFonts w:ascii="Times New Roman" w:cs="Times New Roman" w:eastAsia="Times New Roman" w:hAnsi="Times New Roman"/>
          <w:sz w:val="22"/>
          <w:szCs w:val="22"/>
        </w:rPr>
        <w:t xml:space="preserve">requires</w:t>
      </w:r>
      <w:r>
        <w:rPr>
          <w:rFonts w:ascii="Times New Roman" w:cs="Times New Roman" w:eastAsia="Times New Roman" w:hAnsi="Times New Roman"/>
          <w:sz w:val="22"/>
          <w:szCs w:val="22"/>
        </w:rPr>
        <w:t xml:space="preserve"> the evidence supporting the access decision</w:t>
      </w:r>
      <w:r>
        <w:rPr>
          <w:rFonts w:ascii="Times New Roman" w:cs="Times New Roman" w:eastAsia="Times New Roman" w:hAnsi="Times New Roman"/>
          <w:sz w:val="22"/>
          <w:szCs w:val="22"/>
        </w:rPr>
        <w:t xml:space="preserve"> to be</w:t>
      </w:r>
      <w:r>
        <w:rPr>
          <w:rFonts w:ascii="Times New Roman" w:cs="Times New Roman" w:eastAsia="Times New Roman" w:hAnsi="Times New Roman"/>
          <w:sz w:val="22"/>
          <w:szCs w:val="22"/>
        </w:rPr>
        <w:t xml:space="preserve"> a Groth16 zero-knowledge proof</w:t>
      </w:r>
      <w:r>
        <w:rPr>
          <w:rFonts w:ascii="Times New Roman" w:cs="Times New Roman" w:eastAsia="Times New Roman" w:hAnsi="Times New Roman"/>
          <w:sz w:val="22"/>
          <w:szCs w:val="22"/>
        </w:rPr>
        <w:t xml:space="preserve"> that has verified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the prototype, the doctor subsystem generates and verifies this proof before the decision matrix is evaluated</w:t>
      </w:r>
      <w:r>
        <w:rPr>
          <w:rFonts w:ascii="Times New Roman" w:cs="Times New Roman" w:eastAsia="Times New Roman" w:hAnsi="Times New Roman"/>
          <w:sz w:val="22"/>
          <w:szCs w:val="22"/>
        </w:rPr>
        <w:t xml:space="preserve">. The proof shows that the prover knows the secret and the expiry time </w:t>
      </w:r>
      <w:r>
        <w:rPr>
          <w:rFonts w:ascii="Times New Roman" w:cs="Times New Roman" w:eastAsia="Times New Roman" w:hAnsi="Times New Roman"/>
          <w:sz w:val="22"/>
          <w:szCs w:val="22"/>
        </w:rPr>
        <w:t xml:space="preserve">behind a Poseidon commitment </w:t>
      </w:r>
      <w:r>
        <w:rPr>
          <w:rFonts w:ascii="Times New Roman" w:cs="Times New Roman" w:eastAsia="Times New Roman" w:hAnsi="Times New Roman"/>
          <w:sz w:val="22"/>
          <w:szCs w:val="22"/>
          <w:highlight w:val="green"/>
        </w:rPr>
        <w:t xml:space="preserve">[70]</w:t>
      </w:r>
      <w:r>
        <w:rPr>
          <w:rFonts w:ascii="Times New Roman" w:cs="Times New Roman" w:eastAsia="Times New Roman" w:hAnsi="Times New Roman"/>
          <w:sz w:val="22"/>
          <w:szCs w:val="22"/>
        </w:rPr>
        <w:t xml:space="preserve"> held</w:t>
      </w:r>
      <w:r>
        <w:rPr>
          <w:rFonts w:ascii="Times New Roman" w:cs="Times New Roman" w:eastAsia="Times New Roman" w:hAnsi="Times New Roman"/>
          <w:sz w:val="22"/>
          <w:szCs w:val="22"/>
        </w:rPr>
        <w:t xml:space="preserve">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p>
    <w:p>
      <w:pPr>
        <w:pStyle w:val="Heading2"/>
        <w:keepNext/>
        <w:spacing w:after="120" w:before="240"/>
      </w:pPr>
      <w:r>
        <w:rPr>
          <w:rFonts w:ascii="Times New Roman" w:cs="Times New Roman" w:eastAsia="Times New Roman" w:hAnsi="Times New Roman"/>
          <w:b/>
          <w:bCs/>
          <w:sz w:val="26"/>
          <w:szCs w:val="26"/>
        </w:rPr>
        <w:t xml:space="preserve">9.5  </w:t>
      </w:r>
      <w:r>
        <w:rPr>
          <w:rFonts w:ascii="Times New Roman" w:cs="Times New Roman" w:eastAsia="Times New Roman" w:hAnsi="Times New Roman"/>
          <w:b/>
          <w:bCs/>
          <w:sz w:val="26"/>
          <w:szCs w:val="26"/>
        </w:rPr>
        <w:t xml:space="preserve">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w:t>
      </w:r>
      <w:r>
        <w:rPr>
          <w:rFonts w:ascii="Times New Roman" w:cs="Times New Roman" w:eastAsia="Times New Roman" w:hAnsi="Times New Roman"/>
          <w:sz w:val="22"/>
          <w:szCs w:val="22"/>
          <w:highlight w:val="magenta"/>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t>
      </w:r>
      <w:r>
        <w:rPr>
          <w:rFonts w:ascii="Times New Roman" w:cs="Times New Roman" w:eastAsia="Times New Roman" w:hAnsi="Times New Roman"/>
          <w:sz w:val="22"/>
          <w:szCs w:val="22"/>
        </w:rPr>
        <w:t xml:space="preserve">was originally planned for the next stage because</w:t>
      </w:r>
      <w:r>
        <w:rPr>
          <w:rFonts w:ascii="Times New Roman" w:cs="Times New Roman" w:eastAsia="Times New Roman" w:hAnsi="Times New Roman"/>
          <w:sz w:val="22"/>
          <w:szCs w:val="22"/>
        </w:rPr>
        <w:t xml:space="preserv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w:t>
      </w:r>
      <w:r>
        <w:rPr>
          <w:rFonts w:ascii="Times New Roman" w:cs="Times New Roman" w:eastAsia="Times New Roman" w:hAnsi="Times New Roman"/>
          <w:b/>
          <w:bCs/>
          <w:sz w:val="26"/>
          <w:szCs w:val="26"/>
        </w:rPr>
        <w:t xml:space="preserve">Temporal </w:t>
      </w:r>
      <w:r>
        <w:rPr>
          <w:rFonts w:ascii="Times New Roman" w:cs="Times New Roman" w:eastAsia="Times New Roman" w:hAnsi="Times New Roman"/>
          <w:b/>
          <w:bCs/>
          <w:sz w:val="26"/>
          <w:szCs w:val="26"/>
        </w:rPr>
        <w:t xml:space="preserve">Trust Conditions</w:t>
      </w:r>
    </w:p>
    <w:p>
      <w:pPr>
        <w:spacing w:after="110" w:line="264"/>
        <w:jc w:val="both"/>
      </w:pPr>
      <w:r>
        <w:rPr>
          <w:rFonts w:ascii="Times New Roman" w:cs="Times New Roman" w:eastAsia="Times New Roman" w:hAnsi="Times New Roman"/>
          <w:sz w:val="22"/>
          <w:szCs w:val="22"/>
        </w:rPr>
        <w:t xml:space="preserve"> A consent that is valid at one point in time cannot necessarily be assumed to remain valid indefinitely.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sz w:val="22"/>
          <w:szCs w:val="22"/>
        </w:rPr>
        <w:t xml:space="preserve">Equation (21)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t>
      </w:r>
      <w:r>
        <w:rPr>
          <w:rFonts w:ascii="Times New Roman" w:cs="Times New Roman" w:eastAsia="Times New Roman" w:hAnsi="Times New Roman"/>
          <w:sz w:val="22"/>
          <w:szCs w:val="22"/>
        </w:rPr>
        <w:t xml:space="preserve">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w:t>
      </w:r>
      <w:r>
        <w:rPr>
          <w:rFonts w:ascii="Times New Roman" w:cs="Times New Roman" w:eastAsia="Times New Roman" w:hAnsi="Times New Roman"/>
          <w:sz w:val="22"/>
          <w:szCs w:val="22"/>
        </w:rPr>
        <w:t xml:space="preserve">As in Section 5.2, revocation and the token state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while the time-based states are evaluated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(22). A valid authorisation decision requires the simultaneous satisfaction of all relevant trust conditions. Consequently, failure of any individual condition results in denial. </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highlight w:val="magenta"/>
        </w:rPr>
        <w:t xml:space="preserve">Authorisation is not permanent. A consent that was valid when approved can later become invalid through expiration or revocation. RO5 is therefore more than an expiry field.</w:t>
      </w:r>
      <w:r>
        <w:rPr>
          <w:rFonts w:ascii="Times New Roman" w:cs="Times New Roman" w:eastAsia="Times New Roman" w:hAnsi="Times New Roman"/>
          <w:sz w:val="22"/>
          <w:szCs w:val="22"/>
        </w:rPr>
        <w:t xml:space="preserve">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w:t>
      </w:r>
      <w:r>
        <w:rPr>
          <w:rFonts w:ascii="Times New Roman" w:cs="Times New Roman" w:eastAsia="Times New Roman" w:hAnsi="Times New Roman"/>
          <w:b/>
          <w:bCs/>
          <w:sz w:val="26"/>
          <w:szCs w:val="26"/>
        </w:rPr>
        <w:t xml:space="preserve">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w:t>
      </w:r>
      <w:r>
        <w:rPr>
          <w:rFonts w:ascii="Times New Roman" w:cs="Times New Roman" w:eastAsia="Times New Roman" w:hAnsi="Times New Roman"/>
          <w:sz w:val="22"/>
          <w:szCs w:val="22"/>
        </w:rPr>
        <w:t xml:space="preserve"> PENDING_TOKEN is the brief state between the last verified approval and the recording of the local token identifier</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implementation performs the two in one step, which is why Algorithm 3 and Figure 10 show them together.</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At each evaluation,</w:t>
      </w:r>
      <w:r>
        <w:rPr>
          <w:rFonts w:ascii="Times New Roman" w:cs="Times New Roman" w:eastAsia="Times New Roman" w:hAnsi="Times New Roman"/>
          <w:sz w:val="22"/>
          <w:szCs w:val="22"/>
        </w:rPr>
        <w:t xml:space="preserve">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13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w:t>
      </w:r>
      <w:r>
        <w:rPr>
          <w:rFonts w:ascii="Times New Roman" w:cs="Times New Roman" w:eastAsia="Times New Roman" w:hAnsi="Times New Roman"/>
          <w:sz w:val="22"/>
          <w:szCs w:val="22"/>
          <w:highlight w:val="magenta"/>
        </w:rPr>
        <w:t xml:space="preserve">The system therefore checks whether authorisation is still valid at the time an operation is requested, instead of treating authorisation as a one-time event.</w:t>
      </w:r>
      <w:r>
        <w:rPr>
          <w:rFonts w:ascii="Times New Roman" w:cs="Times New Roman" w:eastAsia="Times New Roman" w:hAnsi="Times New Roman"/>
          <w:sz w:val="22"/>
          <w:szCs w:val="22"/>
        </w:rPr>
        <w:t xml:space="preserve">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w:t>
      </w:r>
      <w:r>
        <w:rPr>
          <w:rFonts w:ascii="Times New Roman" w:cs="Times New Roman" w:eastAsia="Times New Roman" w:hAnsi="Times New Roman"/>
          <w:b/>
          <w:bCs/>
          <w:sz w:val="26"/>
          <w:szCs w:val="26"/>
        </w:rPr>
        <w:t xml:space="preserve">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w:t>
      </w:r>
      <w:r>
        <w:rPr>
          <w:rFonts w:ascii="Times New Roman" w:cs="Times New Roman" w:eastAsia="Times New Roman" w:hAnsi="Times New Roman"/>
          <w:sz w:val="22"/>
          <w:szCs w:val="22"/>
        </w:rPr>
        <w:t xml:space="preserve">Five elements remain for the next stage.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w:t>
      </w:r>
      <w:r>
        <w:rPr>
          <w:rFonts w:ascii="Times New Roman" w:cs="Times New Roman" w:eastAsia="Times New Roman" w:hAnsi="Times New Roman"/>
          <w:sz w:val="22"/>
          <w:szCs w:val="22"/>
        </w:rPr>
        <w:t xml:space="preserve">The next stage will therefore extend</w:t>
      </w:r>
      <w:r>
        <w:rPr>
          <w:rFonts w:ascii="Times New Roman" w:cs="Times New Roman" w:eastAsia="Times New Roman" w:hAnsi="Times New Roman"/>
          <w:sz w:val="22"/>
          <w:szCs w:val="22"/>
        </w:rPr>
        <w:t xml:space="preserve">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w:t>
      </w:r>
      <w:r>
        <w:rPr>
          <w:rFonts w:ascii="Times New Roman" w:cs="Times New Roman" w:eastAsia="Times New Roman" w:hAnsi="Times New Roman"/>
          <w:sz w:val="22"/>
          <w:szCs w:val="22"/>
        </w:rPr>
        <w:t xml:space="preserve">will record</w:t>
      </w:r>
      <w:r>
        <w:rPr>
          <w:rFonts w:ascii="Times New Roman" w:cs="Times New Roman" w:eastAsia="Times New Roman" w:hAnsi="Times New Roman"/>
          <w:sz w:val="22"/>
          <w:szCs w:val="22"/>
        </w:rPr>
        <w:t xml:space="preserve"> an unauthorised state-transition event and </w:t>
      </w:r>
      <w:r>
        <w:rPr>
          <w:rFonts w:ascii="Times New Roman" w:cs="Times New Roman" w:eastAsia="Times New Roman" w:hAnsi="Times New Roman"/>
          <w:sz w:val="22"/>
          <w:szCs w:val="22"/>
        </w:rPr>
        <w:t xml:space="preserve">return</w:t>
      </w:r>
      <w:r>
        <w:rPr>
          <w:rFonts w:ascii="Times New Roman" w:cs="Times New Roman" w:eastAsia="Times New Roman" w:hAnsi="Times New Roman"/>
          <w:sz w:val="22"/>
          <w:szCs w:val="22"/>
        </w:rPr>
        <w:t xml:space="preserve"> INVALID, but this </w:t>
      </w:r>
      <w:r>
        <w:rPr>
          <w:rFonts w:ascii="Times New Roman" w:cs="Times New Roman" w:eastAsia="Times New Roman" w:hAnsi="Times New Roman"/>
          <w:sz w:val="22"/>
          <w:szCs w:val="22"/>
        </w:rPr>
        <w:t xml:space="preserve">check is not yet implemented.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implemented temporal and revocation checks already ensure</w:t>
      </w:r>
      <w:r>
        <w:rPr>
          <w:rFonts w:ascii="Times New Roman" w:cs="Times New Roman" w:eastAsia="Times New Roman" w:hAnsi="Times New Roman"/>
          <w:sz w:val="22"/>
          <w:szCs w:val="22"/>
        </w:rPr>
        <w:t xml:space="preserve">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w:t>
      </w:r>
      <w:r>
        <w:rPr>
          <w:rFonts w:ascii="Times New Roman" w:cs="Times New Roman" w:eastAsia="Times New Roman" w:hAnsi="Times New Roman"/>
          <w:sz w:val="22"/>
          <w:szCs w:val="22"/>
        </w:rPr>
        <w:t xml:space="preserve"> The main activities of the next stage</w:t>
      </w:r>
      <w:r>
        <w:rPr>
          <w:rFonts w:ascii="Times New Roman" w:cs="Times New Roman" w:eastAsia="Times New Roman" w:hAnsi="Times New Roman"/>
          <w:sz w:val="22"/>
          <w:szCs w:val="22"/>
        </w:rPr>
        <w:t xml:space="preserve">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t>
      </w:r>
      <w:r>
        <w:rPr>
          <w:rFonts w:ascii="Times New Roman" w:cs="Times New Roman" w:eastAsia="Times New Roman" w:hAnsi="Times New Roman"/>
          <w:sz w:val="22"/>
          <w:szCs w:val="22"/>
        </w:rPr>
        <w:t xml:space="preserve">will be conducted in the next stage.</w:t>
      </w:r>
    </w:p>
    <w:p>
      <w:pPr>
        <w:pStyle w:val="Heading2"/>
        <w:keepNext/>
        <w:spacing w:after="120" w:before="240"/>
      </w:pPr>
      <w:r>
        <w:rPr>
          <w:rFonts w:ascii="Times New Roman" w:cs="Times New Roman" w:eastAsia="Times New Roman" w:hAnsi="Times New Roman"/>
          <w:b/>
          <w:bCs/>
          <w:sz w:val="26"/>
          <w:szCs w:val="26"/>
        </w:rPr>
        <w:t xml:space="preserve">11.1  </w:t>
      </w:r>
      <w:r>
        <w:rPr>
          <w:rFonts w:ascii="Times New Roman" w:cs="Times New Roman" w:eastAsia="Times New Roman" w:hAnsi="Times New Roman"/>
          <w:b/>
          <w:bCs/>
          <w:sz w:val="26"/>
          <w:szCs w:val="26"/>
        </w:rPr>
        <w:t xml:space="preserve">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 </w:t>
      </w:r>
      <w:r>
        <w:rPr>
          <w:rFonts w:ascii="Times New Roman" w:cs="Times New Roman" w:eastAsia="Times New Roman" w:hAnsi="Times New Roman"/>
          <w:sz w:val="22"/>
          <w:szCs w:val="22"/>
        </w:rPr>
        <w:t xml:space="preserve">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w:t>
      </w:r>
      <w:r>
        <w:rPr>
          <w:rFonts w:ascii="Times New Roman" w:cs="Times New Roman" w:eastAsia="Times New Roman" w:hAnsi="Times New Roman"/>
          <w:sz w:val="22"/>
          <w:szCs w:val="22"/>
          <w:highlight w:val="magenta"/>
        </w:rPr>
        <w:t xml:space="preserve">Functional correctness and security correctness are therefore tested separately.</w:t>
      </w:r>
      <w:r>
        <w:rPr>
          <w:rFonts w:ascii="Times New Roman" w:cs="Times New Roman" w:eastAsia="Times New Roman" w:hAnsi="Times New Roman"/>
          <w:sz w:val="22"/>
          <w:szCs w:val="22"/>
        </w:rPr>
        <w:t xml:space="preserve">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 A valid authorisation decision requires the simultaneous satisfaction of all relevant trust conditions. Each </w:t>
      </w:r>
      <w:r>
        <w:rPr>
          <w:rFonts w:ascii="Times New Roman" w:cs="Times New Roman" w:eastAsia="Times New Roman" w:hAnsi="Times New Roman"/>
          <w:sz w:val="22"/>
          <w:szCs w:val="22"/>
        </w:rPr>
        <w:t xml:space="preserve">of the five predicates of Equation (22)</w:t>
      </w:r>
      <w:r>
        <w:rPr>
          <w:rFonts w:ascii="Times New Roman" w:cs="Times New Roman" w:eastAsia="Times New Roman" w:hAnsi="Times New Roman"/>
          <w:sz w:val="22"/>
          <w:szCs w:val="22"/>
        </w:rPr>
        <w:t xml:space="preserve">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t)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or when the requested purpose or data scope violates the consent policy.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w:t>
      </w:r>
      <w:r>
        <w:rPr>
          <w:rFonts w:ascii="Times New Roman" w:cs="Times New Roman" w:eastAsia="Times New Roman" w:hAnsi="Times New Roman"/>
          <w:b/>
          <w:bCs/>
          <w:sz w:val="26"/>
          <w:szCs w:val="26"/>
        </w:rPr>
        <w:t xml:space="preserve">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role-based consent management platform. The current system includes separate patient, guardian, doctor, and auditor interfaces. It also records consent creation, guardian approval, token minting, state checks, and data-access events. Following successful threshold satisfaction, the system generates activation or token evidence associated with the authorisation decision through ConsentSBTv3, compiled in Remix and deployed via MetaMask. Each token stores the pseudonymous patient and requester addresses, a hash of the purpose, the validity window, a two-letter jurisdiction code, and a revocation flag. </w:t>
      </w:r>
      <w:r>
        <w:rPr>
          <w:rFonts w:ascii="Times New Roman" w:cs="Times New Roman" w:eastAsia="Times New Roman" w:hAnsi="Times New Roman"/>
          <w:sz w:val="22"/>
          <w:szCs w:val="22"/>
        </w:rPr>
        <w:t xml:space="preserve">The SBT, a soulbound ERC-721 token </w:t>
      </w:r>
      <w:r>
        <w:rPr>
          <w:rFonts w:ascii="Times New Roman" w:cs="Times New Roman" w:eastAsia="Times New Roman" w:hAnsi="Times New Roman"/>
          <w:sz w:val="22"/>
          <w:szCs w:val="22"/>
          <w:highlight w:val="green"/>
        </w:rPr>
        <w:t xml:space="preserve">[71]</w:t>
      </w:r>
      <w:r>
        <w:rPr>
          <w:rFonts w:ascii="Times New Roman" w:cs="Times New Roman" w:eastAsia="Times New Roman" w:hAnsi="Times New Roman"/>
          <w:sz w:val="22"/>
          <w:szCs w:val="22"/>
        </w:rPr>
        <w:t xml:space="preserve"> that follows ERC-5484 </w:t>
      </w:r>
      <w:r>
        <w:rPr>
          <w:rFonts w:ascii="Times New Roman" w:cs="Times New Roman" w:eastAsia="Times New Roman" w:hAnsi="Times New Roman"/>
          <w:sz w:val="22"/>
          <w:szCs w:val="22"/>
          <w:highlight w:val="green"/>
        </w:rPr>
        <w:t xml:space="preserve">[72]</w:t>
      </w:r>
      <w:r>
        <w:rPr>
          <w:rFonts w:ascii="Times New Roman" w:cs="Times New Roman" w:eastAsia="Times New Roman" w:hAnsi="Times New Roman"/>
          <w:sz w:val="22"/>
          <w:szCs w:val="22"/>
        </w:rPr>
        <w:t xml:space="preserve"> and whose transfer between accounts is blocked,</w:t>
      </w:r>
      <w:r>
        <w:rPr>
          <w:rFonts w:ascii="Times New Roman" w:cs="Times New Roman" w:eastAsia="Times New Roman" w:hAnsi="Times New Roman"/>
          <w:sz w:val="22"/>
          <w:szCs w:val="22"/>
        </w:rPr>
        <w:t xml:space="preserve">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w:t>
      </w:r>
      <w:r>
        <w:rPr>
          <w:rFonts w:ascii="Times New Roman" w:cs="Times New Roman" w:eastAsia="Times New Roman" w:hAnsi="Times New Roman"/>
          <w:sz w:val="22"/>
          <w:szCs w:val="22"/>
        </w:rPr>
        <w:t xml:space="preserve"> The system represents patients and healthcare participants using decentralised identities and provides mechanisms for consent creation, participant verification, multi-party approval, and access-control evaluation. Synthetic healthcare records derived from the Synthea dataset are used to construct representative consent workflows.</w:t>
      </w:r>
      <w:r>
        <w:rPr>
          <w:rFonts w:ascii="Times New Roman" w:cs="Times New Roman" w:eastAsia="Times New Roman" w:hAnsi="Times New Roman"/>
          <w:sz w:val="22"/>
          <w:szCs w:val="22"/>
        </w:rPr>
        <w:t xml:space="preserve"> The records are taken from the Synthea 1K sample of synthetic patient records (synthea.mitre.org) in its CSV export. The prototype loads a subset of patients with their observations, conditions, medications and procedures, and no real patient data is involved.</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w:t>
      </w:r>
      <w:r>
        <w:rPr>
          <w:rFonts w:ascii="Times New Roman" w:cs="Times New Roman" w:eastAsia="Times New Roman" w:hAnsi="Times New Roman"/>
          <w:sz w:val="22"/>
          <w:szCs w:val="22"/>
        </w:rPr>
        <w:t xml:space="preserve">Figure 17 shows the evaluated consent f050c29a.</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creation, approval, and record-display screens (Figure 15, Figure 16 and Figure 18) were captured from a second lifecycle, 04da25f5, which used the same code, contract, and configuration and was anchored as token #2.</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15,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w:t>
      </w:r>
      <w:r>
        <w:rPr>
          <w:rFonts w:ascii="Times New Roman" w:cs="Times New Roman" w:eastAsia="Times New Roman" w:hAnsi="Times New Roman"/>
          <w:sz w:val="22"/>
          <w:szCs w:val="22"/>
          <w:highlight w:val="magenta"/>
        </w:rPr>
        <w:t xml:space="preserve">The consent object therefore holds the information needed for identity verification, multi-party authorisation, policy evaluation, and auditability. It is a structured authorisation artefact, not only a record of patient preference</w:t>
      </w:r>
      <w:r>
        <w:rPr>
          <w:rFonts w:ascii="Times New Roman" w:cs="Times New Roman" w:eastAsia="Times New Roman" w:hAnsi="Times New Roman"/>
          <w:sz w:val="22"/>
          <w:szCs w:val="22"/>
        </w:rPr>
        <w:t xml:space="preserve">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16. </w:t>
      </w:r>
      <w:r>
        <w:rPr>
          <w:rFonts w:ascii="Times New Roman" w:cs="Times New Roman" w:eastAsia="Times New Roman" w:hAnsi="Times New Roman"/>
          <w:sz w:val="22"/>
          <w:szCs w:val="22"/>
        </w:rPr>
        <w:t xml:space="preserve">The public anchoring of the evaluated consent f050c29a in block 11,771,243 (block 11,771,581 for consent 04da25f5 in Figure 16)</w:t>
      </w:r>
      <w:r>
        <w:rPr>
          <w:rFonts w:ascii="Times New Roman" w:cs="Times New Roman" w:eastAsia="Times New Roman" w:hAnsi="Times New Roman"/>
          <w:sz w:val="22"/>
          <w:szCs w:val="22"/>
        </w:rPr>
        <w:t xml:space="preserve">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17,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18,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524250"/>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4695825" cy="5334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6958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19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w:t>
      </w:r>
      <w:r>
        <w:rPr>
          <w:rFonts w:ascii="Times New Roman" w:cs="Times New Roman" w:eastAsia="Times New Roman" w:hAnsi="Times New Roman"/>
          <w:sz w:val="22"/>
          <w:szCs w:val="22"/>
        </w:rPr>
        <w:t xml:space="preserve">is refused by the doctor subsystem at the consent-state check, because the consent is no longer ACTIVE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predicate itself rejects a revoked consent, which test A8 exercises.</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20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highlight w:val="magenta"/>
        </w:rPr>
        <w:t xml:space="preserve">An auditor can examine whether access occurred, whether the requester possessed a valid identity</w:t>
      </w:r>
      <w:r>
        <w:rPr>
          <w:rFonts w:ascii="Times New Roman" w:cs="Times New Roman" w:eastAsia="Times New Roman" w:hAnsi="Times New Roman"/>
          <w:sz w:val="22"/>
          <w:szCs w:val="22"/>
        </w:rPr>
        <w:t xml:space="preserve">, whether the required authorisation threshold was satisfied, whether the requested data complied with the authorised scope, and which conditions produced the final decision. As shown in Figure 21,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w:t>
      </w:r>
      <w:r>
        <w:rPr>
          <w:rFonts w:ascii="Times New Roman" w:cs="Times New Roman" w:eastAsia="Times New Roman" w:hAnsi="Times New Roman"/>
          <w:sz w:val="22"/>
          <w:szCs w:val="22"/>
        </w:rPr>
        <w:t xml:space="preserve">compares the on-chain record and revocation state of tokens #1 and #2 on the current contract with the local state, with the result shown in Figure 22.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7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w:t>
      </w:r>
      <w:r>
        <w:rPr>
          <w:rFonts w:ascii="Times New Roman" w:cs="Times New Roman" w:eastAsia="Times New Roman" w:hAnsi="Times New Roman"/>
          <w:sz w:val="22"/>
          <w:szCs w:val="22"/>
          <w:highlight w:val="magenta"/>
        </w:rPr>
        <w:t xml:space="preserve">The subsystems have different responsibilities, and none of them decides on its own whether access should be granted.</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w:t>
      </w:r>
      <w:r>
        <w:rPr>
          <w:rFonts w:ascii="Times New Roman" w:cs="Times New Roman" w:eastAsia="Times New Roman" w:hAnsi="Times New Roman"/>
          <w:b/>
          <w:bCs/>
          <w:sz w:val="26"/>
          <w:szCs w:val="26"/>
        </w:rPr>
        <w:t xml:space="preserve">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8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23,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9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proof mode itself is written only on granted rows, which is why Table 9 shows it as not logged for that row</w:t>
      </w:r>
      <w:r>
        <w:rPr>
          <w:rFonts w:ascii="Times New Roman" w:cs="Times New Roman" w:eastAsia="Times New Roman" w:hAnsi="Times New Roman"/>
          <w:sz w:val="22"/>
          <w:szCs w:val="22"/>
        </w:rPr>
        <w:t xml:space="preserve">. In each of the six logged evaluations, the recorded audit evidence is consistent with the actual authorisation decision. </w:t>
      </w:r>
      <w:r>
        <w:rPr>
          <w:rFonts w:ascii="Times New Roman" w:cs="Times New Roman" w:eastAsia="Times New Roman" w:hAnsi="Times New Roman"/>
          <w:sz w:val="22"/>
          <w:szCs w:val="22"/>
          <w:highlight w:val="magenta"/>
        </w:rPr>
        <w:t xml:space="preserve">Validation therefore checks the evidence behind each decision as well as the final ALLOW or DENY.</w:t>
      </w:r>
      <w:r>
        <w:rPr>
          <w:rFonts w:ascii="Times New Roman" w:cs="Times New Roman" w:eastAsia="Times New Roman" w:hAnsi="Times New Roman"/>
          <w:sz w:val="22"/>
          <w:szCs w:val="22"/>
        </w:rPr>
        <w:t xml:space="preserve">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10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8</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24,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0 is not plotted, as its values are close to those of the checkValidAt read" title="Processing time of the decision components on a logarithmic axis (median and minimum to maximum). The checkValid read of Table 10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 The checkValid read of Table 10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11.4  </w:t>
      </w:r>
      <w:r>
        <w:rPr>
          <w:rFonts w:ascii="Times New Roman" w:cs="Times New Roman" w:eastAsia="Times New Roman" w:hAnsi="Times New Roman"/>
          <w:b/>
          <w:bCs/>
          <w:sz w:val="26"/>
          <w:szCs w:val="26"/>
        </w:rPr>
        <w:t xml:space="preserve">Unit-Level Adversarial Tests</w:t>
      </w:r>
    </w:p>
    <w:p>
      <w:pPr>
        <w:spacing w:after="110" w:line="264"/>
        <w:jc w:val="both"/>
      </w:pPr>
      <w:r>
        <w:rPr>
          <w:rFonts w:ascii="Times New Roman" w:cs="Times New Roman" w:eastAsia="Times New Roman" w:hAnsi="Times New Roman"/>
          <w:sz w:val="22"/>
          <w:szCs w:val="22"/>
          <w:highlight w:val="magenta"/>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w:t>
      </w:r>
      <w:r>
        <w:rPr>
          <w:rFonts w:ascii="Times New Roman" w:cs="Times New Roman" w:eastAsia="Times New Roman" w:hAnsi="Times New Roman"/>
          <w:sz w:val="22"/>
          <w:szCs w:val="22"/>
        </w:rPr>
        <w:t xml:space="preserve">the component of C that it targets, as listed in Table 11</w:t>
      </w:r>
      <w:r>
        <w:rPr>
          <w:rFonts w:ascii="Times New Roman" w:cs="Times New Roman" w:eastAsia="Times New Roman" w:hAnsi="Times New Roman"/>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 and Figure 25 record whether each scenario has passed or failed. Before the hardening, three attacks, A1, A3, and A5, were accepted when the service functions were called directly. </w:t>
      </w:r>
      <w:r>
        <w:rPr>
          <w:rFonts w:ascii="Times New Roman" w:cs="Times New Roman" w:eastAsia="Times New Roman" w:hAnsi="Times New Roman"/>
          <w:sz w:val="22"/>
          <w:szCs w:val="22"/>
          <w:highlight w:val="magenta"/>
        </w:rPr>
        <w:t xml:space="preserve">A design can be correct while its implementation is not, and functional tests alone do not show this.</w:t>
      </w:r>
      <w:r>
        <w:rPr>
          <w:rFonts w:ascii="Times New Roman" w:cs="Times New Roman" w:eastAsia="Times New Roman" w:hAnsi="Times New Roman"/>
          <w:sz w:val="22"/>
          <w:szCs w:val="22"/>
        </w:rPr>
        <w:t xml:space="preserve"> Any failed scenario is analysed to determine the source and significance of the failure. </w:t>
      </w:r>
      <w:r>
        <w:rPr>
          <w:rFonts w:ascii="Times New Roman" w:cs="Times New Roman" w:eastAsia="Times New Roman" w:hAnsi="Times New Roman"/>
          <w:sz w:val="22"/>
          <w:szCs w:val="22"/>
          <w:highlight w:val="magenta"/>
        </w:rPr>
        <w:t xml:space="preserve">The analysis records the unsuccessful cases and classifies each one as a violation of an intended security property or as a limitation to be addressed in the next stage.</w:t>
      </w:r>
      <w:r>
        <w:rPr>
          <w:rFonts w:ascii="Times New Roman" w:cs="Times New Roman" w:eastAsia="Times New Roman" w:hAnsi="Times New Roman"/>
          <w:sz w:val="22"/>
          <w:szCs w:val="22"/>
        </w:rPr>
        <w:t xml:space="preserve">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Unit-level adversarial tests A1 to A12, their targeted component and their outcome before the hardening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highlight w:val="magenta"/>
        </w:rPr>
        <w:t xml:space="preserve">The analysis separates implementation defects from incomplete security controls and from limitations of the test environment.</w:t>
      </w:r>
      <w:r>
        <w:rPr>
          <w:rFonts w:ascii="Times New Roman" w:cs="Times New Roman" w:eastAsia="Times New Roman" w:hAnsi="Times New Roman"/>
          <w:sz w:val="22"/>
          <w:szCs w:val="22"/>
        </w:rPr>
        <w:t xml:space="preserve">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w:t>
      </w:r>
      <w:r>
        <w:rPr>
          <w:rFonts w:ascii="Times New Roman" w:cs="Times New Roman" w:eastAsia="Times New Roman" w:hAnsi="Times New Roman"/>
          <w:b/>
          <w:bCs/>
          <w:sz w:val="26"/>
          <w:szCs w:val="26"/>
        </w:rPr>
        <w:t xml:space="preserve">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t>
      </w:r>
      <w:r>
        <w:rPr>
          <w:rFonts w:ascii="Times New Roman" w:cs="Times New Roman" w:eastAsia="Times New Roman" w:hAnsi="Times New Roman"/>
          <w:sz w:val="22"/>
          <w:szCs w:val="22"/>
        </w:rPr>
        <w:t xml:space="preserve">will be conducted in the next stage and consist</w:t>
      </w:r>
      <w:r>
        <w:rPr>
          <w:rFonts w:ascii="Times New Roman" w:cs="Times New Roman" w:eastAsia="Times New Roman" w:hAnsi="Times New Roman"/>
          <w:sz w:val="22"/>
          <w:szCs w:val="22"/>
        </w:rPr>
        <w:t xml:space="preserve">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next stage will extend</w:t>
      </w:r>
      <w:r>
        <w:rPr>
          <w:rFonts w:ascii="Times New Roman" w:cs="Times New Roman" w:eastAsia="Times New Roman" w:hAnsi="Times New Roman"/>
          <w:sz w:val="22"/>
          <w:szCs w:val="22"/>
        </w:rPr>
        <w:t xml:space="preserve"> the current prototype-based evaluation to include both successful and adversarial access requests. The twelve attack scenarios will be extended to larger sets of positive, negative, and adversarial scenarios, and enforcement accuracy will be reported over this extended set. </w:t>
      </w:r>
      <w:r>
        <w:rPr>
          <w:rFonts w:ascii="Times New Roman" w:cs="Times New Roman" w:eastAsia="Times New Roman" w:hAnsi="Times New Roman"/>
          <w:sz w:val="22"/>
          <w:szCs w:val="22"/>
          <w:highlight w:val="magenta"/>
        </w:rPr>
        <w:t xml:space="preserve">The formal security model will be compared with the observed behaviour of the implemented system.</w:t>
      </w:r>
    </w:p>
    <w:p>
      <w:pPr>
        <w:spacing w:after="110" w:line="264"/>
        <w:jc w:val="both"/>
      </w:pPr>
      <w:r>
        <w:rPr>
          <w:rFonts w:ascii="Times New Roman" w:cs="Times New Roman" w:eastAsia="Times New Roman" w:hAnsi="Times New Roman"/>
          <w:sz w:val="22"/>
          <w:szCs w:val="22"/>
        </w:rPr>
        <w:t xml:space="preserve">The next stage will address</w:t>
      </w:r>
      <w:r>
        <w:rPr>
          <w:rFonts w:ascii="Times New Roman" w:cs="Times New Roman" w:eastAsia="Times New Roman" w:hAnsi="Times New Roman"/>
          <w:sz w:val="22"/>
          <w:szCs w:val="22"/>
        </w:rPr>
        <w:t xml:space="preserve"> the prototype limitations that the evaluation has exposed, which include the N-of-N approval rule, the server-derived guardian keys, the unauthenticated requester role, the absence of cryptographic DID resolution and VC validation, </w:t>
      </w:r>
      <w:r>
        <w:rPr>
          <w:rFonts w:ascii="Times New Roman" w:cs="Times New Roman" w:eastAsia="Times New Roman" w:hAnsi="Times New Roman"/>
          <w:sz w:val="22"/>
          <w:szCs w:val="22"/>
        </w:rPr>
        <w:t xml:space="preserve">the purpose check that does not yet compare a separately declared request purpose, </w:t>
      </w:r>
      <w:r>
        <w:rPr>
          <w:rFonts w:ascii="Times New Roman" w:cs="Times New Roman" w:eastAsia="Times New Roman" w:hAnsi="Times New Roman"/>
          <w:sz w:val="22"/>
          <w:szCs w:val="22"/>
        </w:rPr>
        <w:t xml:space="preserve">the missing lifecycle transition check, and the unkeyed and unchained audit digest. </w:t>
      </w:r>
      <w:r>
        <w:rPr>
          <w:rFonts w:ascii="Times New Roman" w:cs="Times New Roman" w:eastAsia="Times New Roman" w:hAnsi="Times New Roman"/>
          <w:sz w:val="22"/>
          <w:szCs w:val="22"/>
          <w:highlight w:val="magenta"/>
        </w:rPr>
        <w:t xml:space="preserve">This work establishes explicit security properties</w:t>
      </w:r>
      <w:r>
        <w:rPr>
          <w:rFonts w:ascii="Times New Roman" w:cs="Times New Roman" w:eastAsia="Times New Roman" w:hAnsi="Times New Roman"/>
          <w:sz w:val="22"/>
          <w:szCs w:val="22"/>
        </w:rPr>
        <w:t xml:space="preserve">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w:t>
      </w:r>
      <w:r>
        <w:rPr>
          <w:rFonts w:ascii="Times New Roman" w:cs="Times New Roman" w:eastAsia="Times New Roman" w:hAnsi="Times New Roman"/>
          <w:sz w:val="22"/>
          <w:szCs w:val="22"/>
        </w:rPr>
        <w:t xml:space="preserve">identify as remaining for the next stage.</w:t>
      </w:r>
      <w:r>
        <w:rPr>
          <w:rFonts w:ascii="Times New Roman" w:cs="Times New Roman" w:eastAsia="Times New Roman" w:hAnsi="Times New Roman"/>
          <w:sz w:val="22"/>
          <w:szCs w:val="22"/>
        </w:rPr>
        <w:t xml:space="preserve"> RO5 and RO6 constitute </w:t>
      </w:r>
      <w:r>
        <w:rPr>
          <w:rFonts w:ascii="Times New Roman" w:cs="Times New Roman" w:eastAsia="Times New Roman" w:hAnsi="Times New Roman"/>
          <w:sz w:val="22"/>
          <w:szCs w:val="22"/>
        </w:rPr>
        <w:t xml:space="preserve">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 </w:t>
      </w:r>
      <w:r>
        <w:rPr>
          <w:rFonts w:ascii="Times New Roman" w:cs="Times New Roman" w:eastAsia="Times New Roman" w:hAnsi="Times New Roman"/>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t>
      </w:r>
      <w:r>
        <w:rPr>
          <w:rFonts w:ascii="Times New Roman" w:cs="Times New Roman" w:eastAsia="Times New Roman" w:hAnsi="Times New Roman"/>
          <w:sz w:val="22"/>
          <w:szCs w:val="22"/>
          <w:highlight w:val="magenta"/>
        </w:rPr>
        <w:t xml:space="preserve">will extend the framework of the current stage to dynamic consent governance, formal security assurance, and a fuller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lifecycle transition check, the formal lifecycle model, and c</w:t>
      </w:r>
      <w:r>
        <w:rPr>
          <w:rFonts w:ascii="Times New Roman" w:cs="Times New Roman" w:eastAsia="Times New Roman" w:hAnsi="Times New Roman"/>
          <w:sz w:val="22"/>
          <w:szCs w:val="22"/>
        </w:rPr>
        <w:t xml:space="preserve">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14.</w:t>
      </w:r>
    </w:p>
    <w:p>
      <w:pPr>
        <w:keepNext/>
        <w:spacing w:after="80" w:before="200"/>
        <w:jc w:val="center"/>
      </w:pPr>
      <w:r>
        <w:rPr>
          <w:rFonts w:ascii="Times New Roman" w:cs="Times New Roman" w:eastAsia="Times New Roman" w:hAnsi="Times New Roman"/>
          <w:b/>
          <w:bCs/>
          <w:sz w:val="18"/>
          <w:szCs w:val="18"/>
        </w:rPr>
        <w:t xml:space="preserve">Table 14: </w:t>
      </w:r>
      <w:r>
        <w:rPr>
          <w:rFonts w:ascii="Times New Roman" w:cs="Times New Roman" w:eastAsia="Times New Roman" w:hAnsi="Times New Roman"/>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w:t>
            </w:r>
            <w:r>
              <w:rPr>
                <w:rFonts w:ascii="Times New Roman" w:cs="Times New Roman" w:eastAsia="Times New Roman" w:hAnsi="Times New Roman"/>
                <w:b w:val="false"/>
                <w:bCs w:val="false"/>
                <w:sz w:val="17"/>
                <w:szCs w:val="17"/>
              </w:rPr>
              <w:t xml:space="preserve">, a declared request purpose</w:t>
            </w:r>
            <w:r>
              <w:rPr>
                <w:rFonts w:ascii="Times New Roman" w:cs="Times New Roman" w:eastAsia="Times New Roman" w:hAnsi="Times New Roman"/>
                <w:b w:val="false"/>
                <w:bCs w:val="false"/>
                <w:sz w:val="17"/>
                <w:szCs w:val="17"/>
              </w:rPr>
              <w:t xml:space="preserve">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14:50791–50810,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9(11):e27816,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In Proceedings of the 20th International Conference on Security and Cryptography (SECRYPT 2023), pages 159–170. SciTePress,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15(1):44419,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In 2026 IEEE International Conference on Blockchain and Cryptocurrency (ICBC), </w:t>
      </w:r>
      <w:r>
        <w:rPr>
          <w:rFonts w:ascii="Times New Roman" w:cs="Times New Roman" w:eastAsia="Times New Roman" w:hAnsi="Times New Roman"/>
          <w:sz w:val="18"/>
          <w:szCs w:val="18"/>
        </w:rPr>
        <w:t xml:space="preserve">pages 1–2, </w:t>
      </w:r>
      <w:r>
        <w:rPr>
          <w:rFonts w:ascii="Times New Roman" w:cs="Times New Roman" w:eastAsia="Times New Roman" w:hAnsi="Times New Roman"/>
          <w:sz w:val="18"/>
          <w:szCs w:val="18"/>
        </w:rPr>
        <w:t xml:space="preserve">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187:105465,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V. Jaiman and V. Urovi. A consent model for blockchain-based health data sharing platforms. IEEE Access, 8:143734–143745,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13(2):2970–2987,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8:225777–225791,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22(6):5223–5238,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[12]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13(14):30933–30940,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D. P. Panagoulias, A. I. Damian, C. Stamate, V. Toderian, P. Butusina, A. De Franceschi, et al. Blockchain-enabled trust and compliance for clinical AI: Decentralized governance without decentralized data storage. Electronics, 15(14):3046,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[14]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14:20309–20327,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[15]	</w:t>
      </w:r>
      <w:r>
        <w:rPr>
          <w:rFonts w:ascii="Times New Roman" w:cs="Times New Roman" w:eastAsia="Times New Roman" w:hAnsi="Times New Roman"/>
          <w:sz w:val="18"/>
          <w:szCs w:val="18"/>
        </w:rPr>
        <w:t xml:space="preserve">S. Phuyal, M. Bhandari, R. Bista, and J. C. Ferreira. A blockchain-based architecture for dynamic and auditable patient consent in secondary use of health data. Blockchain in Healthcare Today, 9(1)</w:t>
      </w:r>
      <w:r>
        <w:rPr>
          <w:rFonts w:ascii="Times New Roman" w:cs="Times New Roman" w:eastAsia="Times New Roman" w:hAnsi="Times New Roman"/>
          <w:sz w:val="18"/>
          <w:szCs w:val="18"/>
        </w:rPr>
        <w:t xml:space="preserve">:491</w:t>
      </w:r>
      <w:r>
        <w:rPr>
          <w:rFonts w:ascii="Times New Roman" w:cs="Times New Roman" w:eastAsia="Times New Roman" w:hAnsi="Times New Roman"/>
          <w:sz w:val="18"/>
          <w:szCs w:val="18"/>
        </w:rPr>
        <w:t xml:space="preserve">,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A. Punia, P. Gulia, N. S. Gill, D. Kaushik, N. Alduaiji, P. K. Shukla, et al. An access control system for cloud-based healthcare systems driven by blockchain. Journal of Cloud Computing, 14(1):78,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11:12727–12741,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S. Hema, G. B. S. Reddy, and R. Shalini. Patient centric cryptographic protection of cloud electronic health records. In 2026 6th International Conference on Expert Clouds and Applications (ICOECA), pages 293–300,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9(3):ooag111,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[20]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30(4):4773–4795,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26(4):265–273,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7(1):101432,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C.-H. Tseng, Y.-H. Hsieh, H.-Y. Lin, and S.-M. Yuan. EMR-Chain: Decentralized electronic medical record exchange system. Technologies, 13(10):446,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LNNS, vol. 541, pages 3–14. Springer, 2022.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A. Ghafoor, I. Symeonidis, A. Rydberg, C. Lindahl, and A. Q. Abbasi. Towards empowering stakeholders through decentralized trust and secure livestock data sharing. Cryptography, 9(3):52, 2025. doi:10.3390/cryptography9030052</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R. K. Lomotey, S. Kumi, and R. Deters. Data trusts as a service: Providing a platform for multi-party data sharing. International Journal of Information Management Data Insights, 2(1):100075, 2022. doi:10.1016/j.jjimei.2022.100075</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T. L. Nguyen, L. Nguyen, T. Hoang, D. Bandara, Q. Wang, Q. Lu, et al. Blockchain-empowered trustworthy data sharing: Fundamentals, applications, and challenges. ACM Computing Surveys, 57(8):195, 2025. doi:10.1145/3718082</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E. C. Webber, D. Brick, J. P. Scibilia, P. Dehnel, Council on Clinical Information Technology, et al. Electronic communication of the health record and information with pediatric patients and their guardians. Pediatrics, 144(1):e20191359, 2019. doi:10.1542/peds.2019-1359</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C. Welzel, M. Ostermann, H. L. Smith, T. Minssen, T. Kirsten, and S. Gilbert. Enabling secure and self determined health data sharing and consent management. npj Digital Medicine, 8(1):560, 2025. doi:10.1038/s41746-025-01945-z</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M. R. Narkhede, N. I. Wankhede, and A. M. Kamble. Enhancing patient autonomy in data ownership: Privacy models and consent frameworks for healthcare. Journal of Digital Health, 4(1):1–23, 2025. doi:10.55976/jdh.4202513361-23</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R. McClelland and C. M. Harper. Information privacy in healthcare — the vital role of informed consent. European Journal of Health Law, 30(4):469–480, 2023. doi:10.1163/15718093-bja10097</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K. Kaplow, M. Downey, D. Stewart, A. B. Massie, J. D. Motter, L. Taylor, et al. Data professionals’ attitudes on data privacy, sharing, and consent in healthcare and research. Digital Health, 10:20552076241290964, 2024. doi:10.1177/20552076241290964</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A. Nazir, M. H. Rehmani, B. Butler, and D. O’Shea. Access control in healthcare IoT: A comprehensive survey. Engineering Reports, 8(4):e70766, 2026. doi:10.1002/eng2.70766</w:t>
      </w:r>
    </w:p>
    <w:p>
      <w:pPr>
        <w:tabs>
          <w:tab w:val="left" w:pos="560"/>
        </w:tabs>
        <w:spacing w:after="50" w:line="240"/>
        <w:ind w:left="560" w:hanging="560"/>
        <w:jc w:val="left"/>
      </w:pPr>
      <w:r>
        <w:rPr>
          <w:rFonts w:ascii="Times New Roman" w:cs="Times New Roman" w:eastAsia="Times New Roman" w:hAnsi="Times New Roman"/>
          <w:sz w:val="18"/>
          <w:szCs w:val="18"/>
        </w:rPr>
        <w:t xml:space="preserve">[35]	</w:t>
      </w:r>
      <w:r>
        <w:rPr>
          <w:rFonts w:ascii="Times New Roman" w:cs="Times New Roman" w:eastAsia="Times New Roman" w:hAnsi="Times New Roman"/>
          <w:sz w:val="18"/>
          <w:szCs w:val="18"/>
        </w:rPr>
        <w:t xml:space="preserve">A. M. Tawfik, A. Al-Ahwal, A. S. Tag Eldien, and H. H. Zayed. Blockchain-based access control and privacy preservation in healthcare: A comprehensive survey. Cluster Computing, 28:529, 2025. doi:10.1007/s10586-025-05308-x</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A. M. Ibrahim, H. R. Abdel-Aziz, H. A. H. Mohamed, D. E. F. Zaghamir, N. M. I. Wahba, G. A. Hassan, et al. Balancing confidentiality and care coordination: Challenges in patient privacy. BMC Nursing, 23(1):564, 2024. doi:10.1186/s12912-024-02231-1</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L. Theodorakopoulos, A. Theodoropoulou, and C. Halkiopoulos. Enhancing decentralized decision-making with big data and blockchain technology: A comprehensive review. Applied Sciences, 14(16):7007, 2024. doi:10.3390/app14167007</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A. Al Mamun, S. Azam, and C. Gritti. Blockchain-based electronic health records management: A comprehensive review and future research direction. IEEE Access, 10:5768–5789, 2022. doi:10.1109/ACCESS.2022.3141079</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R. Hellstern, D. C. Park, V. Lemieux, and G. Salimjan. Leveraging blockchain-based archival solutions for sensitive documentation: A Xinjiang case study. Digital Society, 1(1):4, 2022. doi:10.1007/s44206-022-00007-1</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L. Li, C. Z. Liu, and S. Shrestha. Analytical entropy approach for measuring blockchain immutability and tamper-resilient trust. Entropy, 28(6):690, 2026. doi:10.3390/e28060690</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C. Mazzocca, A. Acar, A. S. Uluagac, R. Montanari, P. Bellavista, and M. Conti. A survey on decentralized identifiers and verifiable credentials. IEEE Communications Surveys &amp; Tutorials, 27(6):3641–3671, 2025. doi:10.1109/COMST.2025.3543197</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A. Flamini, G. Sciarretta, M. Scuro, A. Sharif, A. Tomasi, and S. Ranise. On cryptographic mechanisms for the selective disclosure of verifiable credentials. Journal of Information Security and Applications, 83:103789, 2024. doi:10.1016/j.jisa.2024.103789</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J. Andrew, D. P. Isravel, K. M. Sagayam, B. Bhushan, Y. Sei, and J. Eunice. Blockchain for healthcare systems: Architecture, security challenges, trends and future directions. Journal of Network and Computer Applications, 215:103633, 2023. doi:10.1016/j.jnca.2023.103633</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M. I. Khalid, M. Ahmed, M. Helfert, and J. Kim. Privacy-first paradigm for dynamic consent management systems: Empowering data subjects through decentralized data controllers and privacy-preserving techniques. Electronics, 12(24):4973, 2023. doi:10.3390/electronics12244973</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V. Jesus and H. J. Pandit. Consent receipts for a usable and auditable web of personal data. IEEE Access, 10:28545–28563, 2022. doi:10.1109/ACCESS.2022.3157850</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B. Khayer, S. Mirzaei, H. Alavizadeh, and A. Salehi Shahraki. Blockchain for secure IoT: A review of identity management, access control, and trust mechanisms. IoT, 6(4):65, 2025. doi:10.3390/iot6040065</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In 2025 IEEE International Conference on Distributed Ledger Technologies (ICDLT), pages 1–10,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J. Ménétrey, C. Göttel, A. Khurshid, M. Pasin, P. Felber, V. Schiavoni, et al. Attestation mechanisms for trusted execution environments demystified. In IFIP International Conference on Distributed Applications and Interoperable Systems (DAIS 2022), LNCS, vol. 13272, pages 95–113. Springer, 2022. doi:10.1007/978-3-031-16092-9_7</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L. Li, C. Z. Liu, K. Huang, R. Deng, M. A. Alrowaily, M. Alghamdi, et al. Trust-aware environmental state consensus for smart agriculture with TEE-enabled sensing and Byzantine-resilient blockchain coordination. Sensors, 26(14):4577, 2026. doi:10.3390/s26144577</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J. Walonoski, M. Kramer, J. Nichols, A. Quina, C. Moesel, D. Hall, et al.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A. Kharlamov, R. Hohmann, and G. Parry. Data sharing decisions: Perceptions and intentions in healthcare. Strategic Change, 32(6):223–237, 2023. doi:10.1002/jsc.2558</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P. K. Ghosh, A. Chakraborty, M. Hasan, K. Rashid, and A. H. Siddique. Blockchain application in healthcare systems: A review. Systems, 11(1):38, 2023. doi:10.3390/systems11010038</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M. S. Arbabi, C. Lal, N. R. Veeraragavan, D. Marijan, J. F. Nygård, and R. Vitenberg. A survey on blockchain for healthcare: Challenges, benefits, and future directions. IEEE Communications Surveys &amp; Tutorials, 25(1):386–424, 2023. doi:10.1109/COMST.2022.3224644</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M. N. Turan, I. A. Hashimzai, and M. Q. Qiam. A blockchain-based framework for secure and transparent environmental data sharing in smart cities: Enhancing trust, integrity, and interoperability in urban sustainability systems. Nata Palemahan: Journal of Environmental Engineering Innovations, 2(2):70–79, 2025. doi:10.38043/natapalemahan.v2i2.6996</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J. Yin, Y. Xiao, Q. Chen, Y. Z. Lim, X. Liu, Q. Pei, et al. DP-DID: A dynamic and proactive decentralized identity system. IEEE Transactions on Information Forensics and Security, 20:4999–5014, 2025. doi:10.1109/TIFS.2025.3561662</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H. Deng, J. Liang, C. Zhang, X. Liu, L. Zhu, and S. Guo. FutureDID: A fully decentralized identity system with multi-party verification. IEEE Transactions on Computers, 73(8):2051–2065, 2024. doi:10.1109/TC.2024.3398509</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C. D. Nassar Kyriakidou, A. M. Papathanasiou, and G. C. Polyzos. Decentralized identity with applications to security and privacy for the internet of things. Computer Networks and Communications, 1(2):244–271, 2023. doi:10.37256/cnc.1220233048</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R. P. Parameswarath, P. Gope, and B. Sikdar. User-empowered privacy-preserving authentication protocol for electric vehicle charging based on decentralized identity and verifiable credential. ACM Transactions on Management Information Systems, 13(4):44, 2022. doi:10.1145/3532869</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H. Yin, Y. Zhao, L. Zhang, B. Qiao, W. Chen, and H. Wang. Attribute-based searchable encryption with decentralized key management for healthcare data sharing. Journal of Systems Architecture, 148:103081, 2024. doi:10.1016/j.sysarc.2024.103081</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R. Jiang, X. Chen, Y. Yu, Y. Zhang, and W. Ding. Risk and UCON-based access control model for healthcare big data. Journal of Big Data, 10(1):104, 2023. doi:10.1186/s40537-023-00783-8</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sz w:val="18"/>
          <w:szCs w:val="18"/>
        </w:rPr>
        <w:t xml:space="preserve">M. J. Page, J. E. McKenzie, P. M. Bossuyt, I. Boutron, T. C. Hoffmann, C. D. Mulrow, et al. The PRISMA 2020 statement: An updated guideline for reporting systematic reviews. BMJ, 372:n71, 2021. doi:10.1136/bmj.n71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In 2025 International Conference on Electrical, Computer and Communication Engineering (ECCE), pages 1–6,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M. S. Prashanth, R. Karnati, M. S. Velpuru, and H. Venkateshwara Reddy. Enhancing health record security and privacy with blockchain-based access management. In Pervasive Knowledge and Collective Intelligence on Web and Social Media (PerSOM 2023), LNICST, vol. 517, pages 182–202. Springer,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In Proceedings of the 19th ACM International Conference on Computing Frontiers (CF ’22), pages 58–66,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A. Teeda and Y. V. Subba Rao. A patient-centric blockchain based electronic health records for data privacy and confidentiality. In International Conference on Smart Computing and Informatics, LNNS, vol. 1684, pages 179–192. Springer,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sz w:val="18"/>
          <w:szCs w:val="18"/>
        </w:rPr>
        <w:t xml:space="preserve">R. Bloemen, L. Logvinov, and J. Evans. EIP-712: Typed structured data hashing and signing. Ethereum Improvement Proposals, no. 712, 2017.</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In 2026 3rd International Conference on Emerging Trends in Engineering and Medical Sciences (ICETEMS), pages 1–6,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[68]	</w:t>
      </w:r>
      <w:r>
        <w:rPr>
          <w:rFonts w:ascii="Times New Roman" w:cs="Times New Roman" w:eastAsia="Times New Roman" w:hAnsi="Times New Roman"/>
          <w:sz w:val="18"/>
          <w:szCs w:val="18"/>
        </w:rPr>
        <w:t xml:space="preserve">N. M. Sawant and J. Gomes. A decentralized solution for smarter and safer healthcare systems with FabricMedChain. Iranian Journal of Science and Technology, Transactions of Electrical Engineering, 50:2843–2869, 2026. doi:10.1007/s40998-025-00994-0</w:t>
      </w:r>
    </w:p>
    <w:p>
      <w:pPr>
        <w:tabs>
          <w:tab w:val="left" w:pos="560"/>
        </w:tabs>
        <w:spacing w:after="50" w:line="240"/>
        <w:ind w:left="560" w:hanging="560"/>
        <w:jc w:val="left"/>
      </w:pPr>
      <w:r>
        <w:rPr>
          <w:rFonts w:ascii="Times New Roman" w:cs="Times New Roman" w:eastAsia="Times New Roman" w:hAnsi="Times New Roman"/>
          <w:sz w:val="18"/>
          <w:szCs w:val="18"/>
        </w:rPr>
        <w:t xml:space="preserve">[69]	</w:t>
      </w:r>
      <w:r>
        <w:rPr>
          <w:rFonts w:ascii="Times New Roman" w:cs="Times New Roman" w:eastAsia="Times New Roman" w:hAnsi="Times New Roman"/>
          <w:sz w:val="18"/>
          <w:szCs w:val="18"/>
        </w:rPr>
        <w:t xml:space="preserve">J. Groth. On the size of pairing-based non-interactive arguments. In Advances in Cryptology – EUROCRYPT 2016, LNCS, vol. 9666, pages 305–326. Springer, 2016. doi:10.1007/978-3-662-49896-5_11</w:t>
      </w:r>
    </w:p>
    <w:p>
      <w:pPr>
        <w:tabs>
          <w:tab w:val="left" w:pos="560"/>
        </w:tabs>
        <w:spacing w:after="50" w:line="240"/>
        <w:ind w:left="560" w:hanging="560"/>
        <w:jc w:val="left"/>
      </w:pPr>
      <w:r>
        <w:rPr>
          <w:rFonts w:ascii="Times New Roman" w:cs="Times New Roman" w:eastAsia="Times New Roman" w:hAnsi="Times New Roman"/>
          <w:sz w:val="18"/>
          <w:szCs w:val="18"/>
        </w:rPr>
        <w:t xml:space="preserve">[70]	</w:t>
      </w:r>
      <w:r>
        <w:rPr>
          <w:rFonts w:ascii="Times New Roman" w:cs="Times New Roman" w:eastAsia="Times New Roman" w:hAnsi="Times New Roman"/>
          <w:sz w:val="18"/>
          <w:szCs w:val="18"/>
        </w:rPr>
        <w:t xml:space="preserve">L. Grassi, D. Khovratovich, C. Rechberger, A. Roy, and M. Schofnegger. Poseidon: A new hash function for zero-knowledge proof systems. In Proceedings of the 30th USENIX Security Symposium, pages 519–535, 2021.</w:t>
      </w:r>
    </w:p>
    <w:p>
      <w:pPr>
        <w:tabs>
          <w:tab w:val="left" w:pos="560"/>
        </w:tabs>
        <w:spacing w:after="50" w:line="240"/>
        <w:ind w:left="560" w:hanging="560"/>
        <w:jc w:val="left"/>
      </w:pPr>
      <w:r>
        <w:rPr>
          <w:rFonts w:ascii="Times New Roman" w:cs="Times New Roman" w:eastAsia="Times New Roman" w:hAnsi="Times New Roman"/>
          <w:sz w:val="18"/>
          <w:szCs w:val="18"/>
        </w:rPr>
        <w:t xml:space="preserve">[71]	</w:t>
      </w:r>
      <w:r>
        <w:rPr>
          <w:rFonts w:ascii="Times New Roman" w:cs="Times New Roman" w:eastAsia="Times New Roman" w:hAnsi="Times New Roman"/>
          <w:sz w:val="18"/>
          <w:szCs w:val="18"/>
        </w:rPr>
        <w:t xml:space="preserve">W. Entriken, D. Shirley, J. Evans, and N. Sachs. ERC-721: Non-fungible token standard. Ethereum Improvement Proposals, no. 721, 2018.</w:t>
      </w:r>
    </w:p>
    <w:p>
      <w:pPr>
        <w:tabs>
          <w:tab w:val="left" w:pos="560"/>
        </w:tabs>
        <w:spacing w:after="50" w:line="240"/>
        <w:ind w:left="560" w:hanging="560"/>
        <w:jc w:val="left"/>
      </w:pPr>
      <w:r>
        <w:rPr>
          <w:rFonts w:ascii="Times New Roman" w:cs="Times New Roman" w:eastAsia="Times New Roman" w:hAnsi="Times New Roman"/>
          <w:sz w:val="18"/>
          <w:szCs w:val="18"/>
        </w:rPr>
        <w:t xml:space="preserve">[72]	</w:t>
      </w:r>
      <w:r>
        <w:rPr>
          <w:rFonts w:ascii="Times New Roman" w:cs="Times New Roman" w:eastAsia="Times New Roman" w:hAnsi="Times New Roman"/>
          <w:sz w:val="18"/>
          <w:szCs w:val="18"/>
        </w:rPr>
        <w:t xml:space="preserve">B. Cai. ERC-5484: Consensual soulbound tokens. Ethereum Improvement Proposals, no. 5484, 2022.</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4f75743c835265daafdcbac66f2bdd6c1034f620.png"/><Relationship Id="rId14" Type="http://schemas.openxmlformats.org/officeDocument/2006/relationships/image" Target="media/03c920405551cc59ae0ad5edcc55300e0a8ed15e.png"/><Relationship Id="rId15" Type="http://schemas.openxmlformats.org/officeDocument/2006/relationships/image" Target="media/2b20591a43c6eb19bfdab74102d4f7f1165b386f.png"/><Relationship Id="rId16" Type="http://schemas.openxmlformats.org/officeDocument/2006/relationships/image" Target="media/11081a2422bebced6d030d22f0ebf13798832173.png"/><Relationship Id="rId17" Type="http://schemas.openxmlformats.org/officeDocument/2006/relationships/image" Target="media/fc5a6be7647fd964b300798307c832eee656672b.png"/><Relationship Id="rId18" Type="http://schemas.openxmlformats.org/officeDocument/2006/relationships/image" Target="media/7ce013ee8724e8dcb1576e7f068db7f8890e5be3.png"/><Relationship Id="rId19" Type="http://schemas.openxmlformats.org/officeDocument/2006/relationships/image" Target="media/f1f163df8a47e4df987495706c8e057d78128af6.png"/><Relationship Id="rId20" Type="http://schemas.openxmlformats.org/officeDocument/2006/relationships/image" Target="media/3f71846d42f224996eb357c7ac4f2281babf68df.png"/><Relationship Id="rId21" Type="http://schemas.openxmlformats.org/officeDocument/2006/relationships/image" Target="media/2bdcc233d9d5ad41e4df5ec32cccb0f936be6fdd.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e59b5686af22a06dff9cd4bfae93b397759ea42a.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8b0dede8cf949138f1ca18f2a0be3b9f91a5a8b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9cb74c21136b6eec65353d28ee54d88601225eab.png"/><Relationship Id="rId33" Type="http://schemas.openxmlformats.org/officeDocument/2006/relationships/image" Target="media/1cde75c3ba6eefdc88f22c3d35398d022b2cb385.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2026-10-07T05:59:59.153Z</dcterms:created>
  <dcterms:modified xsi:type="dcterms:W3CDTF">2026-10-07T05:59:59.153Z</dcterms:modified>
</cp:coreProperties>
</file>

<file path=docProps/custom.xml><?xml version="1.0" encoding="utf-8"?>
<Properties xmlns="http://schemas.openxmlformats.org/officeDocument/2006/custom-properties" xmlns:vt="http://schemas.openxmlformats.org/officeDocument/2006/docPropsVTypes"/>
</file>