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Digital services make collaboration easier, but they also raise a governance question: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In these settings, authorisation is a distributed governance problem, not just a check of a user's login and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Consent must therefore be treated as an active, evaluable part of the authorisation process, not as a static record of permission,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Having the security mechanisms is one thing</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All screening, coding, and quality assessment up to the reporting checkpoint were carried out by the author,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four stream-5 systems that enforce time inside the decision are all single-party, with [49]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An inverse relation between predicate breadth and assurance strength was observed.</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Each research question therefore has one research activity, and each objective contributes to the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6,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strengthen the way identity claims are established and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The system therefore checks whether authorisation is still valid at the time an operation is requested, instead of treating authorisation as a one-time event.</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(22)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17 shows the evaluated consent f050c29a. 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analysis records the unsuccessful cases and classifies each one as a violation of an intended security property or as a limitation to be addressed in the next stage.</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The formal security model will be compared with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This work establishes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extend the framework of the current stage to dynamic consent governance, formal security assurance, and a fuller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2026-10-06T16:23:12.748Z</dcterms:created>
  <dcterms:modified xsi:type="dcterms:W3CDTF">2026-10-06T16:23:12.748Z</dcterms:modified>
</cp:coreProperties>
</file>

<file path=docProps/custom.xml><?xml version="1.0" encoding="utf-8"?>
<Properties xmlns="http://schemas.openxmlformats.org/officeDocument/2006/custom-properties" xmlns:vt="http://schemas.openxmlformats.org/officeDocument/2006/docPropsVTypes"/>
</file>