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rPr>
          <w:highlight w:val="yellow"/>
        </w:rP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rPr>
          <w:highlight w:val="yellow"/>
        </w:rP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rPr>
          <w:highlight w:val="yellow"/>
        </w:rPr>
        <w:t>Each study was coded as Yes or No against</w:t>
      </w:r>
      <w:r>
        <w:t xml:space="preserve"> seven trust dimensions, T1 (identity), T2 (authority), T3 (multi-party), T4 (policy), T5 (temporal), T6 (lifecycle), and T7 (audit), and against the requirements, with a page reference for every positive coding. </w:t>
      </w:r>
      <w:r>
        <w:rPr>
          <w:highlight w:val="yellow"/>
        </w:rPr>
        <w:t>A study passed when its score on QA1 to QA4 of the six quality items was at least 3.</w:t>
      </w:r>
      <w:r>
        <w:t xml:space="preserve"> Table 2.1 shows the quality items, how each one was scored, and the rule used for inclusion. A study is core if its gap-impact verdict is contradicts, weakens, or narrows, </w:t>
      </w:r>
      <w:r>
        <w:rPr>
          <w:highlight w:val="yellow"/>
        </w:rP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items and inclusion rule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gridCol w:w="2400"/>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Question</w:t>
            </w:r>
          </w:p>
        </w:tc>
        <w:tc>
          <w:tcPr>
            <w:tcW w:w="24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92A54BA" w14:textId="77777777" w:rsidR="009262C4" w:rsidRPr="009E0511" w:rsidRDefault="00000000" w:rsidP="009E0511">
            <w:pPr>
              <w:jc w:val="center"/>
              <w:rPr>
                <w:sz w:val="20"/>
                <w:szCs w:val="20"/>
              </w:rPr>
            </w:pPr>
            <w:r>
              <w:rPr>
                <w:b/>
                <w:bCs/>
                <w:sz w:val="20"/>
                <w:szCs w:val="20"/>
              </w:rPr>
              <w:t>Used for</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define a consent model covering identity, authority, policy, and evidence?</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verify participant identities and their authorisation authority?</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support consent decisions requiring approval from multiple authorised participants?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enforce purpose, data scope, and approval rules before allowing access?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manage consent validity, expiry, and revocation?</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validate security and access decisions through formal analysis or implementation testing?</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Scoring</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Yes = 1, No = 0.</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Rule</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A study is included when QA1 + QA2 + QA3 + QA4 ≥ 3.</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rPr>
          <w:highlight w:val="yellow"/>
        </w:rP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rPr>
          <w:highlight w:val="yellow"/>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highlight w:val="yellow"/>
        </w:rPr>
        <w:t>Req 4 is graded Yes in 10 studies and No in 15 in Table 2.4.</w:t>
      </w:r>
      <w:r>
        <w:t xml:space="preserve"> However, purpose-of-use enters the decision in only six studies (Eneh et al. 2026; Panagoulias et al. 2026), </w:t>
      </w:r>
      <w:r>
        <w:rPr>
          <w:highlight w:val="yellow"/>
        </w:rP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highlight w:val="yellow"/>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highlight w:val="yellow"/>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highlight w:val="yellow"/>
        </w:rP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highlight w:val="yellow"/>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highlight w:val="yellow"/>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rPr>
          <w:highlight w:val="yellow"/>
        </w:rP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highlight w:val="yellow"/>
          <w:u w:val="single"/>
        </w:rPr>
        <w:t>Inability to represent consent as an evaluable authorisation object (Req 1):</w:t>
      </w:r>
      <w:r>
        <w:rPr>
          <w:highlight w:val="yellow"/>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highlight w:val="yellow"/>
          <w:u w:val="single"/>
        </w:rPr>
        <w:t>Inability to verify authority separately from identity (Req 2):</w:t>
      </w:r>
      <w:r>
        <w:rPr>
          <w:highlight w:val="yellow"/>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highlight w:val="yellow"/>
          <w:u w:val="single"/>
        </w:rPr>
        <w:t>Absence of multi-party approval as a standing condition of every access decision (Req 3):</w:t>
      </w:r>
      <w:r>
        <w:rPr>
          <w:highlight w:val="yellow"/>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highlight w:val="yellow"/>
          <w:u w:val="single"/>
        </w:rPr>
        <w:t>Inability to bind purpose and data scope to the same decision as identity, authority and approval (Req 4):</w:t>
      </w:r>
      <w:r>
        <w:rPr>
          <w:highlight w:val="yellow"/>
        </w:rP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highlight w:val="yellow"/>
          <w:u w:val="single"/>
        </w:rPr>
        <w:t>Absence of temporal and lifecycle evaluation at the time of each access request (Req 5):</w:t>
      </w:r>
      <w:r>
        <w:rPr>
          <w:highlight w:val="yellow"/>
        </w:rP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highlight w:val="yellow"/>
          <w:u w:val="single"/>
        </w:rPr>
        <w:t>Absence of formal and empirical assurance of the complete decision (Req 6):</w:t>
      </w:r>
      <w:r>
        <w:rPr>
          <w:highlight w:val="yellow"/>
        </w:rP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rPr>
          <w:highlight w:val="yellow"/>
        </w:rP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rPr>
          <w:highlight w:val="yellow"/>
        </w:rP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highlight w:val="yellow"/>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highlight w:val="yellow"/>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rPr>
          <w:highlight w:val="yellow"/>
        </w:rPr>
        <w:t>From a thorough review of the existing literature documented in Section 2, we have identified the following six gaps:</w:t>
      </w:r>
    </w:p>
    <w:p>
      <w:pPr>
        <w:spacing w:after="110" w:line="264" w:lineRule="auto"/>
        <w:ind w:left="624" w:hanging="340"/>
        <w:jc w:val="both"/>
      </w:pPr>
      <w:r>
        <w:rPr>
          <w:highlight w:val="yellow"/>
        </w:rP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rPr>
          <w:highlight w:val="yellow"/>
        </w:rP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rPr>
          <w:highlight w:val="yellow"/>
        </w:rP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rPr>
          <w:highlight w:val="yellow"/>
        </w:rPr>
        <w:t>4. There is no enforcement that binds the purpose and the data scope of a request to the same decision as identity, authority and collective approval.</w:t>
      </w:r>
    </w:p>
    <w:p>
      <w:pPr>
        <w:spacing w:after="110" w:line="264" w:lineRule="auto"/>
        <w:ind w:left="624" w:hanging="340"/>
        <w:jc w:val="both"/>
      </w:pPr>
      <w:r>
        <w:rPr>
          <w:highlight w:val="yellow"/>
        </w:rP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rPr>
          <w:highlight w:val="yellow"/>
        </w:rP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rPr>
          <w:highlight w:val="yellow"/>
        </w:rP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rPr>
          <w:highlight w:val="yellow"/>
        </w:rP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rPr>
          <w:highlight w:val="yellow"/>
        </w:rP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rPr>
          <w:highlight w:val="yellow"/>
        </w:rP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highlight w:val="yellow"/>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highlight w:val="yellow"/>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rPr>
          <w:highlight w:val="yellow"/>
        </w:rP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rPr>
          <w:highlight w:val="yellow"/>
        </w:rP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highlight w:val="yellow"/>
        </w:rPr>
        <w:t xml:space="preserve">Step 1 – Validate Patient Identity. </w:t>
      </w:r>
      <w:r>
        <w:rPr>
          <w:highlight w:val="yellow"/>
        </w:rP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highlight w:val="yellow"/>
        </w:rPr>
        <w:t xml:space="preserve">Step 2 – Validate the Authorised Doctor. </w:t>
      </w:r>
      <w:r>
        <w:rPr>
          <w:highlight w:val="yellow"/>
        </w:rP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highlight w:val="yellow"/>
        </w:rPr>
        <w:t xml:space="preserve">Step 3 – Validate Guardian or Proxy Participants. </w:t>
      </w:r>
      <w:r>
        <w:rPr>
          <w:highlight w:val="yellow"/>
        </w:rP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highlight w:val="yellow"/>
        </w:rPr>
        <w:t xml:space="preserve">Step 4 – Validate the Intended Purpose. </w:t>
      </w:r>
      <w:r>
        <w:rPr>
          <w:highlight w:val="yellow"/>
        </w:rP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highlight w:val="yellow"/>
        </w:rPr>
        <w:t xml:space="preserve">Step 5 – Validate the Data Scope. </w:t>
      </w:r>
      <w:r>
        <w:rPr>
          <w:highlight w:val="yellow"/>
        </w:rP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highlight w:val="yellow"/>
        </w:rPr>
        <w:t xml:space="preserve">Step 6 – Validate the Consent Validity Interval. </w:t>
      </w:r>
      <w:r>
        <w:rPr>
          <w:highlight w:val="yellow"/>
        </w:rP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highlight w:val="yellow"/>
        </w:rPr>
        <w:t xml:space="preserve">Step 7 – Define the Authorisation Requirement. </w:t>
      </w:r>
      <w:r>
        <w:rPr>
          <w:highlight w:val="yellow"/>
        </w:rP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highlight w:val="yellow"/>
        </w:rPr>
        <w:t xml:space="preserve">Step 8 – Generate a Unique Consent Identifier. </w:t>
      </w:r>
      <w:r>
        <w:rPr>
          <w:highlight w:val="yellow"/>
        </w:rP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highlight w:val="yellow"/>
        </w:rPr>
        <w:t xml:space="preserve">Step 9 – Construct the Consent Object. </w:t>
      </w:r>
      <w:r>
        <w:rPr>
          <w:highlight w:val="yellow"/>
        </w:rPr>
        <w:t xml:space="preserve">The validated information is combined to construct the consent object C = (I, A, P, </w:t>
      </w:r>
      <w:r>
        <w:rPr>
          <w:highlight w:val="yellow"/>
        </w:rPr>
        <w:t xml:space="preserve">T, L, </w:t>
      </w:r>
      <w:r>
        <w:rPr>
          <w:highlight w:val="yellow"/>
        </w:rPr>
        <w:t xml:space="preserve">E), where I represents the verified identity information, A represents the authorisation requirements, P represents the consent purpose and associated permissions, </w:t>
      </w:r>
      <w:r>
        <w:rPr>
          <w:highlight w:val="yellow"/>
        </w:rPr>
        <w:t xml:space="preserve">T represents the validity interval, L represents the lifecycle state, </w:t>
      </w:r>
      <w:r>
        <w:rPr>
          <w:highlight w:val="yellow"/>
        </w:rP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highlight w:val="yellow"/>
        </w:rPr>
        <w:t xml:space="preserve">Step 10 – Persist the Consent Object. </w:t>
      </w:r>
      <w:r>
        <w:rPr>
          <w:highlight w:val="yellow"/>
        </w:rP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highlight w:val="yellow"/>
        </w:rPr>
        <w:t xml:space="preserve">Step 11 – Record Consent Creation Evidence. </w:t>
      </w:r>
      <w:r>
        <w:rPr>
          <w:highlight w:val="yellow"/>
        </w:rP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highlight w:val="yellow"/>
        </w:rPr>
        <w:t xml:space="preserve">Step 12 – Return the Consent Result. </w:t>
      </w:r>
      <w:r>
        <w:rPr>
          <w:highlight w:val="yellow"/>
        </w:rP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rPr>
          <w:highlight w:val="yellow"/>
        </w:rPr>
        <w:t>The overall procedure can therefore be represented as a sequential trust establishment process that Ip → D → G → Pu → SC → T → A → idC → C → E.</w:t>
      </w:r>
    </w:p>
    <w:p>
      <w:pPr>
        <w:spacing w:after="110" w:line="264" w:lineRule="auto"/>
        <w:jc w:val="both"/>
      </w:pPr>
      <w:r>
        <w:rPr>
          <w:highlight w:val="yellow"/>
        </w:rP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rPr>
          <w:highlight w:val="yellow"/>
        </w:rP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rPr>
          <w:highlight w:val="yellow"/>
        </w:rPr>
        <w:t>Table 6.1: Validation of the trust-centric consent model: the check applied to each component of C at creation, the evidence and the result</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highlight w:val="yellow"/>
              </w:rPr>
              <w:t>Component</w:t>
            </w:r>
          </w:p>
        </w:tc>
        <w:tc>
          <w:tcPr>
            <w:tcW w:type="dxa" w:w="2381"/>
          </w:tcPr>
          <w:p>
            <w:r>
              <w:rPr>
                <w:sz w:val="18"/>
              </w:rPr>
            </w:r>
            <w:r>
              <w:rPr>
                <w:b/>
                <w:sz w:val="18"/>
                <w:highlight w:val="yellow"/>
              </w:rPr>
              <w:t>Check at creation (Algorithm 1)</w:t>
            </w:r>
          </w:p>
        </w:tc>
        <w:tc>
          <w:tcPr>
            <w:tcW w:type="dxa" w:w="2835"/>
          </w:tcPr>
          <w:p>
            <w:r>
              <w:rPr>
                <w:sz w:val="18"/>
              </w:rPr>
            </w:r>
            <w:r>
              <w:rPr>
                <w:b/>
                <w:sz w:val="18"/>
                <w:highlight w:val="yellow"/>
              </w:rPr>
              <w:t>Evidence</w:t>
            </w:r>
          </w:p>
        </w:tc>
        <w:tc>
          <w:tcPr>
            <w:tcW w:type="dxa" w:w="1757"/>
          </w:tcPr>
          <w:p>
            <w:r>
              <w:rPr>
                <w:sz w:val="18"/>
              </w:rPr>
            </w:r>
            <w:r>
              <w:rPr>
                <w:b/>
                <w:sz w:val="18"/>
                <w:highlight w:val="yellow"/>
              </w:rPr>
              <w:t>Result</w:t>
            </w:r>
          </w:p>
        </w:tc>
      </w:tr>
      <w:tr>
        <w:tc>
          <w:tcPr>
            <w:tcW w:type="dxa" w:w="1531"/>
          </w:tcPr>
          <w:p>
            <w:r>
              <w:rPr>
                <w:sz w:val="18"/>
              </w:rPr>
            </w:r>
            <w:r>
              <w:rPr>
                <w:sz w:val="18"/>
                <w:highlight w:val="yellow"/>
              </w:rPr>
              <w:t>I  Identity</w:t>
            </w:r>
          </w:p>
        </w:tc>
        <w:tc>
          <w:tcPr>
            <w:tcW w:type="dxa" w:w="2381"/>
          </w:tcPr>
          <w:p>
            <w:r>
              <w:rPr>
                <w:sz w:val="18"/>
              </w:rPr>
            </w:r>
            <w:r>
              <w:rPr>
                <w:sz w:val="18"/>
                <w:highlight w:val="yellow"/>
              </w:rPr>
              <w:t>Steps 1 to 3: the patient identity, the authorised doctor DID holding a valid doctor credential, and each guardian DID holding a valid guardian credential.</w:t>
            </w:r>
          </w:p>
        </w:tc>
        <w:tc>
          <w:tcPr>
            <w:tcW w:type="dxa" w:w="2835"/>
          </w:tcPr>
          <w:p>
            <w:r>
              <w:rPr>
                <w:sz w:val="18"/>
              </w:rPr>
            </w:r>
            <w:r>
              <w:rPr>
                <w:sz w:val="18"/>
                <w:highlight w:val="yellow"/>
              </w:rPr>
              <w:t>Since 11 October 2026, a doctor DID or a guardian DID without a valid credential for its role is refused before the consent is stored (Section 11.4). Attack A12 (Section 11.6).</w:t>
            </w:r>
          </w:p>
        </w:tc>
        <w:tc>
          <w:tcPr>
            <w:tcW w:type="dxa" w:w="1757"/>
          </w:tcPr>
          <w:p>
            <w:r>
              <w:rPr>
                <w:sz w:val="18"/>
              </w:rPr>
            </w:r>
            <w:r>
              <w:rPr>
                <w:sz w:val="18"/>
                <w:highlight w:val="yellow"/>
              </w:rPr>
              <w:t>Invalid identities rejected before anything is stored; valid identities accepted.</w:t>
            </w:r>
          </w:p>
        </w:tc>
      </w:tr>
      <w:tr>
        <w:tc>
          <w:tcPr>
            <w:tcW w:type="dxa" w:w="1531"/>
          </w:tcPr>
          <w:p>
            <w:r>
              <w:rPr>
                <w:sz w:val="18"/>
              </w:rPr>
            </w:r>
            <w:r>
              <w:rPr>
                <w:sz w:val="18"/>
                <w:highlight w:val="yellow"/>
              </w:rPr>
              <w:t>A  Authorisation</w:t>
            </w:r>
          </w:p>
        </w:tc>
        <w:tc>
          <w:tcPr>
            <w:tcW w:type="dxa" w:w="2381"/>
          </w:tcPr>
          <w:p>
            <w:r>
              <w:rPr>
                <w:sz w:val="18"/>
              </w:rPr>
            </w:r>
            <w:r>
              <w:rPr>
                <w:sz w:val="18"/>
                <w:highlight w:val="yellow"/>
              </w:rPr>
              <w:t>Step 3: the guardian set G and the threshold N; no guardian may appear twice.</w:t>
            </w:r>
          </w:p>
        </w:tc>
        <w:tc>
          <w:tcPr>
            <w:tcW w:type="dxa" w:w="2835"/>
          </w:tcPr>
          <w:p>
            <w:r>
              <w:rPr>
                <w:sz w:val="18"/>
              </w:rPr>
            </w:r>
            <w:r>
              <w:rPr>
                <w:sz w:val="18"/>
                <w:highlight w:val="yellow"/>
              </w:rPr>
              <w:t>A guardian listed twice is refused (Section 11.4). Scenario 1 created consent f050c29a with two designated guardians. Attacks A1 and A3 (Section 11.6).</w:t>
            </w:r>
          </w:p>
        </w:tc>
        <w:tc>
          <w:tcPr>
            <w:tcW w:type="dxa" w:w="1757"/>
          </w:tcPr>
          <w:p>
            <w:r>
              <w:rPr>
                <w:sz w:val="18"/>
              </w:rPr>
            </w:r>
            <w:r>
              <w:rPr>
                <w:sz w:val="18"/>
                <w:highlight w:val="yellow"/>
              </w:rPr>
              <w:t>Duplicate guardian rejected; consent created with N set to the number of guardians.</w:t>
            </w:r>
          </w:p>
        </w:tc>
      </w:tr>
      <w:tr>
        <w:tc>
          <w:tcPr>
            <w:tcW w:type="dxa" w:w="1531"/>
          </w:tcPr>
          <w:p>
            <w:r>
              <w:rPr>
                <w:sz w:val="18"/>
              </w:rPr>
            </w:r>
            <w:r>
              <w:rPr>
                <w:sz w:val="18"/>
                <w:highlight w:val="yellow"/>
              </w:rPr>
              <w:t>P  Policy</w:t>
            </w:r>
          </w:p>
        </w:tc>
        <w:tc>
          <w:tcPr>
            <w:tcW w:type="dxa" w:w="2381"/>
          </w:tcPr>
          <w:p>
            <w:r>
              <w:rPr>
                <w:sz w:val="18"/>
              </w:rPr>
            </w:r>
            <w:r>
              <w:rPr>
                <w:sz w:val="18"/>
                <w:highlight w:val="yellow"/>
              </w:rPr>
              <w:t>Steps 4 and 5: the purpose and the data scope; the data scope must not be empty.</w:t>
            </w:r>
          </w:p>
        </w:tc>
        <w:tc>
          <w:tcPr>
            <w:tcW w:type="dxa" w:w="2835"/>
          </w:tcPr>
          <w:p>
            <w:r>
              <w:rPr>
                <w:sz w:val="18"/>
              </w:rPr>
            </w:r>
            <w:r>
              <w:rPr>
                <w:sz w:val="18"/>
                <w:highlight w:val="yellow"/>
              </w:rPr>
              <w:t>A consent with an empty data scope is rejected (Section 11.4). Attack A5 (Section 11.6). Scenario 1 recorded the four EMR modules and the purpose Treatment.</w:t>
            </w:r>
          </w:p>
        </w:tc>
        <w:tc>
          <w:tcPr>
            <w:tcW w:type="dxa" w:w="1757"/>
          </w:tcPr>
          <w:p>
            <w:r>
              <w:rPr>
                <w:sz w:val="18"/>
              </w:rPr>
            </w:r>
            <w:r>
              <w:rPr>
                <w:sz w:val="18"/>
                <w:highlight w:val="yellow"/>
              </w:rPr>
              <w:t>Empty scope rejected; purpose and scope recorded in the consent object.</w:t>
            </w:r>
          </w:p>
        </w:tc>
      </w:tr>
      <w:tr>
        <w:tc>
          <w:tcPr>
            <w:tcW w:type="dxa" w:w="1531"/>
          </w:tcPr>
          <w:p>
            <w:r>
              <w:rPr>
                <w:sz w:val="18"/>
              </w:rPr>
            </w:r>
            <w:r>
              <w:rPr>
                <w:sz w:val="18"/>
                <w:highlight w:val="yellow"/>
              </w:rPr>
              <w:t>T  Time</w:t>
            </w:r>
          </w:p>
        </w:tc>
        <w:tc>
          <w:tcPr>
            <w:tcW w:type="dxa" w:w="2381"/>
          </w:tcPr>
          <w:p>
            <w:r>
              <w:rPr>
                <w:sz w:val="18"/>
              </w:rPr>
            </w:r>
            <w:r>
              <w:rPr>
                <w:sz w:val="18"/>
                <w:highlight w:val="yellow"/>
              </w:rPr>
              <w:t>Step 6: the validity interval T = (ts, te); the expiry time must be later than the start time.</w:t>
            </w:r>
          </w:p>
        </w:tc>
        <w:tc>
          <w:tcPr>
            <w:tcW w:type="dxa" w:w="2835"/>
          </w:tcPr>
          <w:p>
            <w:r>
              <w:rPr>
                <w:sz w:val="18"/>
              </w:rPr>
            </w:r>
            <w:r>
              <w:rPr>
                <w:sz w:val="18"/>
                <w:highlight w:val="yellow"/>
              </w:rPr>
              <w:t>The expiry time must be later than the start time (Section 11.4). Attack A6 and the expiry run of 11 October 2026 (Section 10.3).</w:t>
            </w:r>
          </w:p>
        </w:tc>
        <w:tc>
          <w:tcPr>
            <w:tcW w:type="dxa" w:w="1757"/>
          </w:tcPr>
          <w:p>
            <w:r>
              <w:rPr>
                <w:sz w:val="18"/>
              </w:rPr>
            </w:r>
            <w:r>
              <w:rPr>
                <w:sz w:val="18"/>
                <w:highlight w:val="yellow"/>
              </w:rPr>
              <w:t>Validity interval recorded; the interval is enforced at every request by VT (Section 10).</w:t>
            </w:r>
          </w:p>
        </w:tc>
      </w:tr>
      <w:tr>
        <w:tc>
          <w:tcPr>
            <w:tcW w:type="dxa" w:w="1531"/>
          </w:tcPr>
          <w:p>
            <w:r>
              <w:rPr>
                <w:sz w:val="18"/>
              </w:rPr>
            </w:r>
            <w:r>
              <w:rPr>
                <w:sz w:val="18"/>
                <w:highlight w:val="yellow"/>
              </w:rPr>
              <w:t>L  Lifecycle</w:t>
            </w:r>
          </w:p>
        </w:tc>
        <w:tc>
          <w:tcPr>
            <w:tcW w:type="dxa" w:w="2381"/>
          </w:tcPr>
          <w:p>
            <w:r>
              <w:rPr>
                <w:sz w:val="18"/>
              </w:rPr>
            </w:r>
            <w:r>
              <w:rPr>
                <w:sz w:val="18"/>
                <w:highlight w:val="yellow"/>
              </w:rPr>
              <w:t>Steps 8 and 9: the consent identifier is generated and the object is created in the state PENDING_SIGNATURE.</w:t>
            </w:r>
          </w:p>
        </w:tc>
        <w:tc>
          <w:tcPr>
            <w:tcW w:type="dxa" w:w="2835"/>
          </w:tcPr>
          <w:p>
            <w:r>
              <w:rPr>
                <w:sz w:val="18"/>
              </w:rPr>
            </w:r>
            <w:r>
              <w:rPr>
                <w:sz w:val="18"/>
                <w:highlight w:val="yellow"/>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highlight w:val="yellow"/>
              </w:rPr>
              <w:t>Created in PENDING_SIGNATURE; no access is possible until the state is ACTIVE (Section 10).</w:t>
            </w:r>
          </w:p>
        </w:tc>
      </w:tr>
      <w:tr>
        <w:tc>
          <w:tcPr>
            <w:tcW w:type="dxa" w:w="1531"/>
          </w:tcPr>
          <w:p>
            <w:r>
              <w:rPr>
                <w:sz w:val="18"/>
              </w:rPr>
            </w:r>
            <w:r>
              <w:rPr>
                <w:sz w:val="18"/>
                <w:highlight w:val="yellow"/>
              </w:rPr>
              <w:t>E  Evidence</w:t>
            </w:r>
          </w:p>
        </w:tc>
        <w:tc>
          <w:tcPr>
            <w:tcW w:type="dxa" w:w="2381"/>
          </w:tcPr>
          <w:p>
            <w:r>
              <w:rPr>
                <w:sz w:val="18"/>
              </w:rPr>
            </w:r>
            <w:r>
              <w:rPr>
                <w:sz w:val="18"/>
                <w:highlight w:val="yellow"/>
              </w:rPr>
              <w:t>Step 11: the creation event is written to the audit ledger with the consent identifier, participants and timestamp.</w:t>
            </w:r>
          </w:p>
        </w:tc>
        <w:tc>
          <w:tcPr>
            <w:tcW w:type="dxa" w:w="2835"/>
          </w:tcPr>
          <w:p>
            <w:r>
              <w:rPr>
                <w:sz w:val="18"/>
              </w:rPr>
            </w:r>
            <w:r>
              <w:rPr>
                <w:sz w:val="18"/>
                <w:highlight w:val="yellow"/>
              </w:rPr>
              <w:t>The creation events of f050c29a and 04da25f5 are in the exported audit ledger of Section 11.5, each with the result SUCCESS. Nothing is logged for a rejected specification.</w:t>
            </w:r>
          </w:p>
        </w:tc>
        <w:tc>
          <w:tcPr>
            <w:tcW w:type="dxa" w:w="1757"/>
          </w:tcPr>
          <w:p>
            <w:r>
              <w:rPr>
                <w:sz w:val="18"/>
              </w:rPr>
            </w:r>
            <w:r>
              <w:rPr>
                <w:sz w:val="18"/>
                <w:highlight w:val="yellow"/>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highlight w:val="yellow"/>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highlight w:val="yellow"/>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rPr>
          <w:highlight w:val="yellow"/>
        </w:rP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highlight w:val="yellow"/>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rPr>
          <w:highlight w:val="yellow"/>
        </w:rP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rPr>
          <w:highlight w:val="yellow"/>
        </w:rP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rPr>
          <w:highlight w:val="yellow"/>
        </w:rP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rPr>
          <w:highlight w:val="yellow"/>
        </w:rP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