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rPr>
          <w:color w:val="FF0000"/>
        </w:rPr>
        <w:t>5.1 Introduction</w:t>
      </w:r>
    </w:p>
    <w:p>
      <w:pPr/>
      <w:r>
        <w:rPr>
          <w:color w:val="FF0000"/>
        </w:rP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rPr>
          <w:color w:val="FF0000"/>
        </w:rPr>
        <w:t>1.</w:t>
        <w:tab/>
      </w:r>
      <w:r>
        <w:rPr>
          <w:b/>
          <w:color w:val="FF0000"/>
        </w:rPr>
        <w:t xml:space="preserve">Blockchain: </w:t>
      </w:r>
      <w:r>
        <w:rPr>
          <w:color w:val="FF0000"/>
        </w:rP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rPr>
          <w:color w:val="FF0000"/>
        </w:rPr>
        <w:t>2.</w:t>
        <w:tab/>
      </w:r>
      <w:r>
        <w:rPr>
          <w:b/>
          <w:color w:val="FF0000"/>
        </w:rPr>
        <w:t xml:space="preserve">Solidity: </w:t>
      </w:r>
      <w:r>
        <w:rPr>
          <w:color w:val="FF0000"/>
        </w:rP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rPr>
          <w:color w:val="FF0000"/>
        </w:rPr>
        <w:t>3.</w:t>
        <w:tab/>
      </w:r>
      <w:r>
        <w:rPr>
          <w:b/>
          <w:color w:val="FF0000"/>
        </w:rPr>
        <w:t xml:space="preserve">Python and Streamlit: </w:t>
      </w:r>
      <w:r>
        <w:rPr>
          <w:color w:val="FF0000"/>
        </w:rP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rPr>
          <w:color w:val="FF0000"/>
        </w:rPr>
        <w:t>4.</w:t>
        <w:tab/>
      </w:r>
      <w:r>
        <w:rPr>
          <w:b/>
          <w:color w:val="FF0000"/>
        </w:rPr>
        <w:t xml:space="preserve">EIP-712 and Groth16: </w:t>
      </w:r>
      <w:r>
        <w:rPr>
          <w:color w:val="FF0000"/>
        </w:rP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rPr>
          <w:color w:val="FF0000"/>
        </w:rPr>
        <w:t>5.</w:t>
        <w:tab/>
      </w:r>
      <w:r>
        <w:rPr>
          <w:b/>
          <w:color w:val="FF0000"/>
        </w:rPr>
        <w:t xml:space="preserve">Synthea: </w:t>
      </w:r>
      <w:r>
        <w:rPr>
          <w:color w:val="FF0000"/>
        </w:rPr>
        <w:t>The healthcare records of the prototype are synthetic patients produced by the Synthea generator (Walonoski et al. 2018). The dataset is described in Section 5.7.</w:t>
      </w:r>
    </w:p>
    <w:p>
      <w:pPr/>
      <w:r>
        <w:rPr>
          <w:color w:val="FF0000"/>
        </w:rP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rPr>
          <w:color w:val="FF0000"/>
        </w:rPr>
        <w:t>This thesis denotes</w:t>
      </w:r>
      <w:r>
        <w:t xml:space="preserve"> that check V</w:t>
      </w:r>
      <w:r>
        <w:rPr>
          <w:vertAlign w:val="subscript"/>
        </w:rPr>
        <w:t>J</w:t>
      </w:r>
      <w:r>
        <w:t xml:space="preserve"> and treats jurisdiction as a contextual policy condition for the next stage </w:t>
      </w:r>
      <w:r>
        <w:rPr>
          <w:color w:val="FF0000"/>
        </w:rP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rP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rPr>
        <w:t>(5.1)</w:t>
      </w:r>
    </w:p>
    <w:p w14:paraId="63094BBA" w14:textId="77777777" w:rsidR="009262C4" w:rsidRDefault="00000000">
      <w:pPr>
        <w:spacing w:after="110" w:line="264" w:lineRule="auto"/>
        <w:jc w:val="both"/>
      </w:pPr>
      <w:r>
        <w:rPr>
          <w:color w:val="FF0000"/>
        </w:rP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rPr>
          <w:color w:val="FF0000"/>
        </w:rP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color w:val="FF0000"/>
          <w:sz w:val="20"/>
          <w:szCs w:val="18"/>
        </w:rPr>
        <w:t>given in Chapter 9</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5.9.</w:t>
      </w:r>
    </w:p>
    <w:p>
      <w:pPr>
        <w:pStyle w:val="3"/>
      </w:pPr>
      <w:r>
        <w:rPr>
          <w:color w:val="FF0000"/>
        </w:rPr>
        <w:t>5.6.1 Aims of Engineering the Prototype System</w:t>
      </w:r>
    </w:p>
    <w:p>
      <w:pPr/>
      <w:r>
        <w:rPr>
          <w:color w:val="FF0000"/>
        </w:rP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rPr>
          <w:color w:val="FF0000"/>
        </w:rP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rPr>
          <w:color w:val="FF0000"/>
        </w:rP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rPr>
          <w:color w:val="FF0000"/>
        </w:rP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color w:val="FF0000"/>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w:t>
            </w:r>
          </w:p>
        </w:tc>
      </w:tr>
    </w:tbl>
    <w:p>
      <w:pPr>
        <w:pStyle w:val="2"/>
      </w:pPr>
      <w:r>
        <w:rPr>
          <w:color w:val="FF0000"/>
        </w:rPr>
        <w:t>5.8 Steps in the Working of the Prototype System for Consent Creation</w:t>
      </w:r>
    </w:p>
    <w:p>
      <w:pPr/>
      <w:r>
        <w:rPr>
          <w:color w:val="FF0000"/>
        </w:rP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rPr>
          <w:color w:val="FF0000"/>
        </w:rPr>
        <w:t>5.8.1 Steps in the patient interface</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rPr>
          <w:color w:val="FF0000"/>
        </w:rPr>
        <w:t>5.8.2 Steps in the service layer</w:t>
      </w:r>
    </w:p>
    <w:p>
      <w:pPr/>
      <w:r>
        <w:rPr>
          <w:color w:val="FF0000"/>
        </w:rP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 the consent specification on the left and right, and the confirmation with the consent identifier below.</w:t>
      </w:r>
    </w:p>
    <w:p>
      <w:pPr>
        <w:pStyle w:val="2"/>
      </w:pPr>
      <w:r>
        <w:rPr>
          <w:color w:val="FF0000"/>
        </w:rPr>
        <w:t>5.9 Prototype Evaluation and Discussion</w:t>
      </w:r>
    </w:p>
    <w:p>
      <w:pPr/>
      <w:r>
        <w:rPr>
          <w:color w:val="FF0000"/>
        </w:rPr>
        <w:t>Objective one involves the representation of patient consent as an evaluable authorisation object. The results of the validation carried out for this objective are shown in Figure 5.8 and Table 5.4, and the evaluation of the architecture against its security properties is shown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rPr>
          <w:color w:val="FF0000"/>
        </w:rPr>
        <w:t>5.9.1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5.4: Evaluation of the trust-centric consent model: the check applied to each component of C at creation, the evidence and the result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Every creation is logged; a rejected specification stores and logs nothing.</w:t>
            </w:r>
          </w:p>
        </w:tc>
      </w:tr>
    </w:tbl>
    <w:p>
      <w:pPr>
        <w:pStyle w:val="3"/>
      </w:pPr>
      <w:r>
        <w:rPr>
          <w:color w:val="FF0000"/>
        </w:rPr>
        <w:t>5.9.2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rPr>
          <w:color w:val="FF0000"/>
        </w:rPr>
        <w:t>5.9.3 Discussion</w:t>
      </w:r>
    </w:p>
    <w:p>
      <w:pPr/>
      <w:r>
        <w:rPr>
          <w:color w:val="FF0000"/>
        </w:rP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rPr>
          <w:color w:val="FF0000"/>
        </w:rP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rPr>
          <w:color w:val="FF0000"/>
        </w:rPr>
        <w:t>5.10 Conclusion</w:t>
      </w:r>
    </w:p>
    <w:p>
      <w:pPr/>
      <w:r>
        <w:rPr>
          <w:color w:val="FF0000"/>
        </w:rP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rPr>
          <w:color w:val="FF0000"/>
        </w:rP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rPr>
          <w:color w:val="FF0000"/>
        </w:rP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2026-10-22T07:41:10Z</dcterms:created>
  <dcterms:modified xsi:type="dcterms:W3CDTF">2026-10-22T07:41:10Z</dcterms:modified>
</cp:coreProperties>
</file>