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142.png" ContentType="image/png"/>
  <Override PartName="/word/media/rId146.png" ContentType="image/png"/>
  <Override PartName="/word/media/rId149.png" ContentType="image/png"/>
  <Override PartName="/word/media/rId153.png" ContentType="image/png"/>
  <Override PartName="/word/media/rId23.png" ContentType="image/png"/>
  <Override PartName="/word/media/rId28.png" ContentType="image/png"/>
  <Override PartName="/word/media/rId65.png" ContentType="image/png"/>
  <Override PartName="/word/media/rId68.png" ContentType="image/png"/>
  <Override PartName="/word/media/rId72.png" ContentType="image/png"/>
  <Override PartName="/word/media/rId79.png" ContentType="image/png"/>
  <Override PartName="/word/media/rId93.png" ContentType="image/png"/>
  <Override PartName="/word/media/rId100.png" ContentType="image/png"/>
  <Override PartName="/word/media/rId107.png" ContentType="image/png"/>
  <Override PartName="/word/media/rId114.png" ContentType="image/png"/>
  <Override PartName="/word/media/rId121.png" ContentType="image/png"/>
  <Override PartName="/word/media/rId128.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Trusted Authorisation Framework for Multi-Party Patient Consent in Healthcare Data Sharing</w:t>
      </w:r>
    </w:p>
    <w:p>
      <w:pPr>
        <w:pStyle w:val="Subtitle"/>
      </w:pPr>
      <w:r>
        <w:t xml:space="preserve">Principal Supervisor: Professor Farookh Hussain</w:t>
      </w:r>
      <w:r>
        <w:br/>
      </w:r>
      <w:r>
        <w:t xml:space="preserve">Co-Supervisor: Dr. Firas Al-Doghman</w:t>
      </w:r>
      <w:r>
        <w:br/>
      </w:r>
      <w:r>
        <w:t xml:space="preserve">Presenter: Yasir Dhaifallah O Alyoubi</w:t>
      </w:r>
      <w:r>
        <w:br/>
      </w:r>
      <w:r>
        <w:t xml:space="preserve">Student ID: 24724078</w:t>
      </w:r>
      <w:r>
        <w:br/>
      </w:r>
      <w:r>
        <w:t xml:space="preserve">September 2026</w:t>
      </w:r>
    </w:p>
    <w:p>
      <w:r>
        <w:br w:type="page"/>
      </w:r>
    </w:p>
    <w:sdt>
      <w:sdtPr>
        <w:docPartObj>
          <w:docPartGallery w:val="Table of Contents"/>
          <w:docPartUnique/>
        </w:docPartObj>
      </w:sdtPr>
      <w:sdtContent>
        <w:p>
          <w:pPr>
            <w:pStyle w:val="TOCHeading"/>
          </w:pPr>
          <w:r>
            <w:t>Contents</w:t>
          </w:r>
        </w:p>
        <w:p>
          <w:r>
            <w:fldChar w:fldCharType="begin" w:dirty="true"/>
            <w:instrText xml:space="preserve"> TOC \o "1-3" \h \z \u </w:instrText>
            <w:fldChar w:fldCharType="separate"/>
            <w:t>Right-click here and choose "Update Field" to build the table of contents.</w:t>
            <w:fldChar w:fldCharType="end"/>
          </w:r>
        </w:p>
      </w:sdtContent>
    </w:sdt>
    <w:p>
      <w:r>
        <w:br w:type="page"/>
      </w:r>
    </w:p>
    <w:bookmarkStart w:id="13" w:name="introduction"/>
    <w:p>
      <w:pPr>
        <w:pStyle w:val="Heading1"/>
      </w:pPr>
      <w:r>
        <w:t xml:space="preserve">1 Introduction</w:t>
      </w:r>
    </w:p>
    <w:bookmarkStart w:id="9" w:name="research-context"/>
    <w:p>
      <w:pPr>
        <w:pStyle w:val="Heading2"/>
      </w:pPr>
      <w:r>
        <w:t xml:space="preserve">1.1 Research Context</w:t>
      </w:r>
    </w:p>
    <w:p>
      <w:pPr>
        <w:pStyle w:val="FirstParagraph"/>
      </w:pPr>
      <w: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how that information is used [6, 19].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pStyle w:val="BodyText"/>
      </w:pPr>
      <w: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to participate in data-sharing processes [14, 31, 32].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 [12, 22, 24].</w:t>
      </w:r>
    </w:p>
    <w:p>
      <w:pPr>
        <w:pStyle w:val="BodyText"/>
      </w:pPr>
      <w:r>
        <w:t xml:space="preserve">Traditional access-control architectures are commonly based on centralised identity providers, institution-specific authentication systems, and relatively static permission-management mechanisms [11, 25, 28].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pStyle w:val="BodyText"/>
      </w:pPr>
      <w:r>
        <w:t xml:space="preserve">This problem is particularly relevant in healthcare, where data-sharing decisions may require the coordinated participation of patients, guardians, healthcare professionals, institutional authorities, and other authorised stakeholders [9, 31].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pStyle w:val="BodyText"/>
      </w:pPr>
      <w: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Verifiable credentials can provide cryptographically verifiable evidence concerning roles, attributes, qualifications, or authority, and cryptographic and policy-based access-control mechanisms can restrict access to authorised resources [2, 3, 7]. More broadly, blockchain-based approaches have demonstrated the potential to improve the integrity, transparency, and traceability of decentralised data-management processes [1, 26].</w:t>
      </w:r>
    </w:p>
    <w:p>
      <w:pPr>
        <w:pStyle w:val="BodyText"/>
      </w:pPr>
      <w:r>
        <w:t xml:space="preserve">However, the availability of these technologies does not, by itself, establish trustworthy authorisation. Blockchain can preserve evidence that a consent event or transaction has occurred, but the existence of an immutable record does not necessarily demonstrate that the participating entities were legitimate, that they possessed the required authority, that all necessary parties participated in the decision, or that a subsequent data-access request remains consistent with the conditions originally authorised.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pStyle w:val="BodyText"/>
      </w:pPr>
      <w: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an active and evaluable component of a broader authorisation process.</w:t>
      </w:r>
    </w:p>
    <w:p>
      <w:pPr>
        <w:pStyle w:val="BodyText"/>
      </w:pPr>
      <w:r>
        <w:rPr>
          <w:b/>
          <w:bCs/>
        </w:rPr>
        <w:t xml:space="preserve">Australian regulatory context.</w:t>
      </w:r>
      <w:r>
        <w:t xml:space="preserve"> </w:t>
      </w:r>
      <w:r>
        <w:t xml:space="preserve">In Australia, health information is classified as</w:t>
      </w:r>
      <w:r>
        <w:t xml:space="preserve"> </w:t>
      </w:r>
      <w:r>
        <w:rPr>
          <w:i/>
          <w:iCs/>
        </w:rPr>
        <w:t xml:space="preserve">sensitive information</w:t>
      </w:r>
      <w:r>
        <w:t xml:space="preserve"> </w:t>
      </w:r>
      <w:r>
        <w:t xml:space="preserve">under the</w:t>
      </w:r>
      <w:r>
        <w:t xml:space="preserve"> </w:t>
      </w:r>
      <w:r>
        <w:rPr>
          <w:i/>
          <w:iCs/>
        </w:rPr>
        <w:t xml:space="preserve">Privacy Act 1988</w:t>
      </w:r>
      <w:r>
        <w:t xml:space="preserve"> </w:t>
      </w:r>
      <w:r>
        <w:t xml:space="preserve">(Cth) [34]. Under the Australian Privacy Principles (APPs), sensitive information may generally be collected only with the individual’s consent (APP 3), and may be used or disclosed only for the primary purpose of collection, or for a directly related secondary purpose that the individual would reasonably expect, unless another exception applies (APP 6). The</w:t>
      </w:r>
      <w:r>
        <w:t xml:space="preserve"> </w:t>
      </w:r>
      <w:r>
        <w:rPr>
          <w:i/>
          <w:iCs/>
        </w:rPr>
        <w:t xml:space="preserve">My Health Records Act 2012</w:t>
      </w:r>
      <w:r>
        <w:t xml:space="preserve"> </w:t>
      </w:r>
      <w:r>
        <w:t xml:space="preserve">(Cth) [35] additionally allows consumers to control which healthcare provider organisations can access their record or particular documents, and the</w:t>
      </w:r>
      <w:r>
        <w:t xml:space="preserve"> </w:t>
      </w:r>
      <w:r>
        <w:rPr>
          <w:i/>
          <w:iCs/>
        </w:rPr>
        <w:t xml:space="preserve">Healthcare Identifiers Act 2010</w:t>
      </w:r>
      <w:r>
        <w:t xml:space="preserve"> </w:t>
      </w:r>
      <w:r>
        <w:t xml:space="preserve">(Cth) [36] governs the national identifiers used for individuals (IHI), practitioners (HPI-I) and organisations (HPI-O). These instruments illustrate, in a concrete jurisdiction, the three conditions examined in this research: verified identity, patient-controlled authority over disclosure, and purpose- and scope-limited use. The HALAH prototype (Chapter 7) reflects this context through purpose-bound consent, module-level data scope and an explicit jurisdiction attribute (default</w:t>
      </w:r>
      <w:r>
        <w:t xml:space="preserve"> </w:t>
      </w:r>
      <w:r>
        <w:t xml:space="preserve">‘AU’</w:t>
      </w:r>
      <w:r>
        <w:t xml:space="preserve">).</w:t>
      </w:r>
    </w:p>
    <w:bookmarkEnd w:id="9"/>
    <w:bookmarkStart w:id="10" w:name="problem-statement"/>
    <w:p>
      <w:pPr>
        <w:pStyle w:val="Heading2"/>
      </w:pPr>
      <w:r>
        <w:t xml:space="preserve">1.2 Problem Statement</w:t>
      </w:r>
    </w:p>
    <w:p>
      <w:pPr>
        <w:pStyle w:val="FirstParagraph"/>
      </w:pPr>
      <w:r>
        <w:t xml:space="preserve">Existing consent-management and decentralised access-control approaches commonly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pStyle w:val="BodyText"/>
      </w:pPr>
      <w:r>
        <w:t xml:space="preserve">This creates a fundamental distinction between</w:t>
      </w:r>
      <w:r>
        <w:t xml:space="preserve"> </w:t>
      </w:r>
      <w:r>
        <w:rPr>
          <w:i/>
          <w:iCs/>
        </w:rPr>
        <w:t xml:space="preserve">consent representation</w:t>
      </w:r>
      <w:r>
        <w:t xml:space="preserve"> </w:t>
      </w:r>
      <w:r>
        <w:t xml:space="preserve">and</w:t>
      </w:r>
      <w:r>
        <w:t xml:space="preserve"> </w:t>
      </w:r>
      <w:r>
        <w:rPr>
          <w:i/>
          <w:iCs/>
        </w:rPr>
        <w:t xml:space="preserve">trustworthy</w:t>
      </w:r>
      <w:r>
        <w:t xml:space="preserve"> </w:t>
      </w:r>
      <w:r>
        <w:rPr>
          <w:i/>
          <w:iCs/>
        </w:rPr>
        <w:t xml:space="preserve">authorisation enforcement</w:t>
      </w:r>
      <w:r>
        <w:t xml:space="preserve">.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pStyle w:val="BodyText"/>
      </w:pPr>
      <w: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pStyle w:val="BodyText"/>
      </w:pPr>
      <w: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pStyle w:val="BodyText"/>
      </w:pPr>
      <w:r>
        <w:t xml:space="preserve">The central problem addressed by this research is therefore the absence of an integrated trust-oriented mechanism that connects these different conditions within a coherent authorisation decision. Existing approaches provide important technological components, including decentralised identity, verifiable credentials, blockchain-based records, multi-party approval mechanisms, and policy-based access control [15, 20]. However, these mechanisms are often investigated independently or integrated primarily at the implementation level without providing a unified Trust Computing model explaining how their combined operation establishes a trustworthy authorisation outcome.</w:t>
      </w:r>
    </w:p>
    <w:p>
      <w:pPr>
        <w:pStyle w:val="BodyText"/>
      </w:pPr>
      <w: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pStyle w:val="BodyText"/>
      </w:pPr>
      <w: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bookmarkEnd w:id="10"/>
    <w:bookmarkStart w:id="11" w:name="research-motivation"/>
    <w:p>
      <w:pPr>
        <w:pStyle w:val="Heading2"/>
      </w:pPr>
      <w:r>
        <w:t xml:space="preserve">1.3 Research Motivation</w:t>
      </w:r>
    </w:p>
    <w:p>
      <w:pPr>
        <w:pStyle w:val="FirstParagrap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pStyle w:val="BodyText"/>
      </w:pPr>
      <w: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Multi-party authorisation concerns whether all required independent participants have jointly established the authorisation condition. Policy compliance concerns whether the requested access is consistent with the authorised purpose and data scope. Together, these conditions provide the foundation for determining not only whether access has been requested, but whether the resulting authorisation decision has a sufficient basis to be trusted.</w:t>
      </w:r>
    </w:p>
    <w:p>
      <w:pPr>
        <w:pStyle w:val="BodyText"/>
      </w:pPr>
      <w: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pStyle w:val="BodyText"/>
      </w:pPr>
      <w: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In this report, the</w:t>
      </w:r>
      <w:r>
        <w:t xml:space="preserve"> </w:t>
      </w:r>
      <w:r>
        <w:rPr>
          <w:i/>
          <w:iCs/>
        </w:rPr>
        <w:t xml:space="preserve">current stage</w:t>
      </w:r>
      <w:r>
        <w:t xml:space="preserve"> </w:t>
      </w:r>
      <w:r>
        <w:t xml:space="preserve">refers to Stage 1 (CA2: RO1–RO4) and the</w:t>
      </w:r>
      <w:r>
        <w:t xml:space="preserve"> </w:t>
      </w:r>
      <w:r>
        <w:rPr>
          <w:i/>
          <w:iCs/>
        </w:rPr>
        <w:t xml:space="preserve">next stage</w:t>
      </w:r>
      <w:r>
        <w:t xml:space="preserve"> </w:t>
      </w:r>
      <w:r>
        <w:t xml:space="preserve">to Stage 2 (CA3: RO5–RO6).</w:t>
      </w:r>
    </w:p>
    <w:p>
      <w:pPr>
        <w:pStyle w:val="BodyText"/>
      </w:pPr>
      <w:r>
        <w:t xml:space="preserve">These four dimensions collectively define the foundational scope of Multi-Party Patient Consent.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pStyle w:val="BodyText"/>
      </w:pPr>
      <w:r>
        <w:t xml:space="preserve">The next-stage (CA3) research will extend this foundation towards dynamic trust management and stronger security assurance. In particular, the framework will be expanded to investigate temporal validity and lifecycle trust, including the effects of validity periods, expiration, revocation, and controlled state transitions on the continuing legitimacy of an authorisation decision. This extension is important because trust cannot be regarded as permanently established at the moment a consent is created. A consent that was valid when initially approved may subsequently become invalid due to expiration, revocation, or a change in its authorised lifecycle state.</w:t>
      </w:r>
    </w:p>
    <w:p>
      <w:pPr>
        <w:pStyle w:val="BodyText"/>
      </w:pPr>
      <w:r>
        <w:t xml:space="preserve">The next stage will also investigate formal security assurance and comprehensive empirical validation. 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This will be complemented by adversarial and negative testing, as well as comprehensive empirical evaluation using the HALAH prototype and representative healthcare data-sharing scenarios. The objective is not simply to demonstrate that the prototype can execute successful workflows, but to determine whether the implementation consistently allows access when the required trust conditions are satisfied and rejects access when those conditions are violated. The distinction between the current contribution and the subsequent research is summarised in Table 1.1.</w:t>
      </w:r>
    </w:p>
    <w:p>
      <w:pPr>
        <w:pStyle w:val="BodyText"/>
      </w:pPr>
      <w:r>
        <w:t xml:space="preserve">This separation establishes a clear progression between the current and subsequent stages of the research. The current research is concerned primarily with establishing the conceptual and technical foundations through which trustworthy multi-party authorisation can be constructed. The next stage will build upon these foundations by investigating how authorisation trust can be maintained dynamically over time, formally reasoned about under defined security assumptions, and comprehensively validated through prototype-based experimentation.</w:t>
      </w:r>
    </w:p>
    <w:p>
      <w:pPr>
        <w:pStyle w:val="BodyText"/>
      </w:pPr>
      <w: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Trust Computing framework in which these independently verifiable conditions contribute collectively to a defensible and explainable decision about whether a particular healthcare data-access request should be permitted.</w:t>
      </w:r>
    </w:p>
    <w:p>
      <w:pPr>
        <w:pStyle w:val="TableCaption"/>
      </w:pPr>
      <w:r>
        <w:t xml:space="preserve">Table 1.1: Research Scope and Progression</w:t>
      </w:r>
    </w:p>
    <w:tbl>
      <w:tblPr>
        <w:tblStyle w:val="Table"/>
        <w:tblW w:type="pct" w:w="5000"/>
        <w:tblLayout w:type="fixed"/>
        <w:tblLook w:firstRow="1" w:lastRow="0" w:firstColumn="0" w:lastColumn="0" w:noHBand="0" w:noVBand="0" w:val="0020"/>
        <w:tblCaption w:val="Table 1.1: Research Scope and Progression"/>
      </w:tblPr>
      <w:tblGrid>
        <w:gridCol w:w="833"/>
        <w:gridCol w:w="3543"/>
        <w:gridCol w:w="354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Research Dimension</w:t>
            </w:r>
          </w:p>
        </w:tc>
        <w:tc>
          <w:tcPr>
            <w:tcBorders>
              <w:bottom w:val="single" w:sz="8" w:space="0" w:color="000000"/>
            </w:tcBorders>
            <w:shd w:val="clear" w:color="auto" w:fill="E7E6E6"/>
            <w:vAlign w:val="center"/>
          </w:tcPr>
          <w:p>
            <w:pPr>
              <w:pStyle w:val="Compact"/>
              <w:jc w:val="left"/>
            </w:pPr>
            <w:r>
              <w:rPr>
                <w:b/>
                <w:bCs/>
              </w:rPr>
              <w:t xml:space="preserve">Purpose and Core Objective</w:t>
            </w:r>
          </w:p>
        </w:tc>
      </w:tr>
      <w:tr>
        <w:trPr>
          <w:cantSplit/>
        </w:trPr>
        <w:tc>
          <w:tcPr/>
          <w:p>
            <w:pPr>
              <w:pStyle w:val="Compact"/>
              <w:jc w:val="left"/>
            </w:pPr>
            <w:r>
              <w:t xml:space="preserve">Current</w:t>
            </w:r>
          </w:p>
        </w:tc>
        <w:tc>
          <w:tcPr/>
          <w:p>
            <w:pPr>
              <w:pStyle w:val="Compact"/>
              <w:jc w:val="left"/>
            </w:pPr>
            <w:r>
              <w:t xml:space="preserve">RO1: Trust-Centric Consent Modelling</w:t>
            </w:r>
          </w:p>
        </w:tc>
        <w:tc>
          <w:tcPr/>
          <w:p>
            <w:pPr>
              <w:pStyle w:val="Compact"/>
              <w:jc w:val="left"/>
            </w:pPr>
            <w:r>
              <w:t xml:space="preserve">Develop a structured and evaluable representation of patient consent as a trust-aware authorisation object that explicitly connects identity, authority requirements, policy constraints, and authorisation evidence.</w:t>
            </w:r>
          </w:p>
        </w:tc>
      </w:tr>
      <w:tr>
        <w:trPr>
          <w:cantSplit/>
        </w:trPr>
        <w:tc>
          <w:tcPr/>
          <w:p>
            <w:pPr>
              <w:pStyle w:val="Compact"/>
              <w:jc w:val="left"/>
            </w:pPr>
            <w:r>
              <w:t xml:space="preserve">Current</w:t>
            </w:r>
          </w:p>
        </w:tc>
        <w:tc>
          <w:tcPr/>
          <w:p>
            <w:pPr>
              <w:pStyle w:val="Compact"/>
              <w:jc w:val="left"/>
            </w:pPr>
            <w:r>
              <w:t xml:space="preserve">RO2: Decentralised Identity and Authority Trust</w:t>
            </w:r>
          </w:p>
        </w:tc>
        <w:tc>
          <w:tcPr/>
          <w:p>
            <w:pPr>
              <w:pStyle w:val="Compact"/>
              <w:jc w:val="left"/>
            </w:pPr>
            <w:r>
              <w:t xml:space="preserve">Establish trustworthy participants using decentralised identifiers and verifiable credentials while explicitly separating identity authentication from authorisation authority.</w:t>
            </w:r>
          </w:p>
        </w:tc>
      </w:tr>
      <w:tr>
        <w:trPr>
          <w:cantSplit/>
        </w:trPr>
        <w:tc>
          <w:tcPr/>
          <w:p>
            <w:pPr>
              <w:pStyle w:val="Compact"/>
              <w:jc w:val="left"/>
            </w:pPr>
            <w:r>
              <w:t xml:space="preserve">Current</w:t>
            </w:r>
          </w:p>
        </w:tc>
        <w:tc>
          <w:tcPr/>
          <w:p>
            <w:pPr>
              <w:pStyle w:val="Compact"/>
              <w:jc w:val="left"/>
            </w:pPr>
            <w:r>
              <w:t xml:space="preserve">RO3: Trustworthy Multi-Party Authorisation</w:t>
            </w:r>
          </w:p>
        </w:tc>
        <w:tc>
          <w:tcPr/>
          <w:p>
            <w:pPr>
              <w:pStyle w:val="Compact"/>
              <w:jc w:val="left"/>
            </w:pPr>
            <w:r>
              <w:t xml:space="preserve">Establish collective trust by requiring multiple independently verified participants to satisfy predefined authorisation conditions before sensitive healthcare data access can be granted.</w:t>
            </w:r>
          </w:p>
        </w:tc>
      </w:tr>
      <w:tr>
        <w:trPr>
          <w:cantSplit/>
        </w:trPr>
        <w:tc>
          <w:tcPr/>
          <w:p>
            <w:pPr>
              <w:pStyle w:val="Compact"/>
              <w:jc w:val="left"/>
            </w:pPr>
            <w:r>
              <w:t xml:space="preserve">Current</w:t>
            </w:r>
          </w:p>
        </w:tc>
        <w:tc>
          <w:tcPr/>
          <w:p>
            <w:pPr>
              <w:pStyle w:val="Compact"/>
              <w:jc w:val="left"/>
            </w:pPr>
            <w:r>
              <w:t xml:space="preserve">RO4: Policy- and Context-Aware Authorisation</w:t>
            </w:r>
          </w:p>
        </w:tc>
        <w:tc>
          <w:tcPr/>
          <w:p>
            <w:pPr>
              <w:pStyle w:val="Compact"/>
              <w:jc w:val="left"/>
            </w:pPr>
            <w: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trPr>
        <w:tc>
          <w:tcPr/>
          <w:p>
            <w:pPr>
              <w:pStyle w:val="Compact"/>
              <w:jc w:val="left"/>
            </w:pPr>
            <w:r>
              <w:t xml:space="preserve">Next</w:t>
            </w:r>
          </w:p>
        </w:tc>
        <w:tc>
          <w:tcPr/>
          <w:p>
            <w:pPr>
              <w:pStyle w:val="Compact"/>
              <w:jc w:val="left"/>
            </w:pPr>
            <w:r>
              <w:t xml:space="preserve">RO5: Temporal and Lifecycle Trust</w:t>
            </w:r>
          </w:p>
        </w:tc>
        <w:tc>
          <w:tcPr/>
          <w:p>
            <w:pPr>
              <w:pStyle w:val="Compact"/>
              <w:jc w:val="left"/>
            </w:pPr>
            <w:r>
              <w:t xml:space="preserve">Extend the authorisation model with validity periods, expiration, revocation, and controlled consent-state transitions to support dynamic and lifecycle-aware trust evaluation.</w:t>
            </w:r>
          </w:p>
        </w:tc>
      </w:tr>
      <w:tr>
        <w:trPr>
          <w:cantSplit/>
        </w:trPr>
        <w:tc>
          <w:tcPr/>
          <w:p>
            <w:pPr>
              <w:pStyle w:val="Compact"/>
              <w:jc w:val="left"/>
            </w:pPr>
            <w:r>
              <w:t xml:space="preserve">Next</w:t>
            </w:r>
          </w:p>
        </w:tc>
        <w:tc>
          <w:tcPr/>
          <w:p>
            <w:pPr>
              <w:pStyle w:val="Compact"/>
              <w:jc w:val="left"/>
            </w:pPr>
            <w:r>
              <w:t xml:space="preserve">RO6: Formal Security Assurance and Empirical Validation</w:t>
            </w:r>
          </w:p>
        </w:tc>
        <w:tc>
          <w:tcPr/>
          <w:p>
            <w:pPr>
              <w:pStyle w:val="Compact"/>
              <w:jc w:val="left"/>
            </w:pPr>
            <w:r>
              <w:t xml:space="preserve">Formally define and analyse the security and authorisation properties of the proposed framework and empirically evaluate the complete HALAH implementation using representative healthcare data-sharing, negative, and adversarial scenarios.</w:t>
            </w:r>
          </w:p>
        </w:tc>
      </w:tr>
    </w:tbl>
    <w:bookmarkEnd w:id="11"/>
    <w:bookmarkStart w:id="12" w:name="structure-of-the-report"/>
    <w:p>
      <w:pPr>
        <w:pStyle w:val="Heading2"/>
      </w:pPr>
      <w:r>
        <w:t xml:space="preserve">1.4 Structure of the Report</w:t>
      </w:r>
    </w:p>
    <w:p>
      <w:pPr>
        <w:pStyle w:val="FirstParagraph"/>
      </w:pPr>
      <w:r>
        <w:t xml:space="preserve">The remainder of this report is organised as follows. Chapter 2 presents the systematic literature review: it defines the five key requirements that a trust-oriented consent authorisation framework should satisfy, describes the four-step process used to shortlist the studies, summarises the shortlisted studies by category and identifies the research gaps from the requirement perspective. Chapter 3 states the research gap, the main research question and the six sub-research questions, and Chapter 4 translates them into six research objectives. Chapter 5 describes the MVC-based research architecture, and Chapter 6 presents the proposed solution for each objective through its workflow, procedure and algorithm. Chapter 7 presents the HALAH prototype, its four subsystems, the mapping to the source code, the automated test evidence and the on-chain evidence. Chapter 8 reports the progress of each objective, Chapter 9 summarises the publication plan and Chapter 10 sets out the research plan for the next stage.</w:t>
      </w:r>
    </w:p>
    <w:bookmarkEnd w:id="12"/>
    <w:bookmarkEnd w:id="13"/>
    <w:bookmarkStart w:id="44" w:name="X8d950ebaf958e7860fc944fc7601a3578d63a09"/>
    <w:p>
      <w:pPr>
        <w:pStyle w:val="Heading1"/>
      </w:pPr>
      <w:r>
        <w:t xml:space="preserve">2 A Systematic Literature Review</w:t>
      </w:r>
    </w:p>
    <w:bookmarkStart w:id="14" w:name="overview-introduction"/>
    <w:p>
      <w:pPr>
        <w:pStyle w:val="Heading2"/>
      </w:pPr>
      <w:r>
        <w:t xml:space="preserve">2.1</w:t>
      </w:r>
      <w:r>
        <w:t xml:space="preserve"> </w:t>
      </w:r>
      <w:r>
        <w:t xml:space="preserve"> </w:t>
      </w:r>
      <w:r>
        <w:t xml:space="preserve">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 [12, 14, 22, 24, 31]. Blockchain-based data-governance research has investigated immutable records, distributed auditability, and decentralised consent management [2, 3, 7, 26]. Research on decentralised identity and verifiable credentials has developed mechanisms for self-controlled identity representation, credential verification, selective disclosure, and privacy-preserving authentication [4, 5, 16, 20, 27, 33]. Access-control research has further investigated role-based, attribute-based, risk-aware, and usage-control approaches for protecting sensitive healthcare information [11, 25, 28, 32].</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 The objective of this chapter is therefore to examine, through a systematic literature review, how far the existing approaches satisfy the conditions of a trustworthy authorisation decision and where the gap addressed by the proposed framework lies.</w:t>
      </w:r>
    </w:p>
    <w:p>
      <w:pPr>
        <w:pStyle w:val="BodyText"/>
      </w:pPr>
      <w: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 3.</w:t>
      </w:r>
    </w:p>
    <w:bookmarkEnd w:id="14"/>
    <w:bookmarkStart w:id="20" w:name="Xe31d4d16f418816f7cdb8bb7e2c33f7a12ca646"/>
    <w:p>
      <w:pPr>
        <w:pStyle w:val="Heading2"/>
      </w:pPr>
      <w:r>
        <w:t xml:space="preserve">2.2 Key Requirements for a Trust-Oriented Consent Authorisation Framework</w:t>
      </w:r>
    </w:p>
    <w:p>
      <w:pPr>
        <w:pStyle w:val="FirstParagraph"/>
      </w:pPr>
      <w: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t xml:space="preserve"> </w:t>
      </w:r>
      <w:r>
        <w:rPr>
          <w:i/>
          <w:iCs/>
        </w:rPr>
        <w:t xml:space="preserve">Privacy Act 1988</w:t>
      </w:r>
      <w:r>
        <w:t xml:space="preserve"> </w:t>
      </w:r>
      <w:r>
        <w:t xml:space="preserve">[34], the</w:t>
      </w:r>
      <w:r>
        <w:t xml:space="preserve"> </w:t>
      </w:r>
      <w:r>
        <w:rPr>
          <w:i/>
          <w:iCs/>
        </w:rPr>
        <w:t xml:space="preserve">My Health Records Act 2012</w:t>
      </w:r>
      <w:r>
        <w:t xml:space="preserve"> </w:t>
      </w:r>
      <w:r>
        <w:t xml:space="preserve">[35] and the</w:t>
      </w:r>
      <w:r>
        <w:t xml:space="preserve"> </w:t>
      </w:r>
      <w:r>
        <w:rPr>
          <w:i/>
          <w:iCs/>
        </w:rPr>
        <w:t xml:space="preserve">Healthcare Identifiers Act 2010</w:t>
      </w:r>
      <w:r>
        <w:t xml:space="preserve"> </w:t>
      </w:r>
      <w:r>
        <w:t xml:space="preserve">[36]. They form the basis on which the shortlisted studies are compared in Section 2.4 and against which the research gaps are stated in Section 2.5.</w:t>
      </w:r>
    </w:p>
    <w:bookmarkStart w:id="15" w:name="Xb2c1c1d0f9cf3a779daabe364a3fe8b072535a1"/>
    <w:p>
      <w:pPr>
        <w:pStyle w:val="Heading3"/>
      </w:pPr>
      <w:r>
        <w:t xml:space="preserve">2.2.1 Consent as an evaluable authorisation object (Req 1)</w:t>
      </w:r>
    </w:p>
    <w:p>
      <w:pPr>
        <w:pStyle w:val="FirstParagraph"/>
      </w:pPr>
      <w: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[10], dynamic consent models [13, 24] and the legal conditions of valid consent [22] all point in this direction, but they stop at recording consent rather than making it evaluable.</w:t>
      </w:r>
    </w:p>
    <w:bookmarkEnd w:id="15"/>
    <w:bookmarkStart w:id="16" w:name="Xa885eda08813ad5fc0a2256dc7473e8c07c13b3"/>
    <w:p>
      <w:pPr>
        <w:pStyle w:val="Heading3"/>
      </w:pPr>
      <w:r>
        <w:t xml:space="preserve">2.2.2 Verifiable identity separated from authority (Req 2)</w:t>
      </w:r>
    </w:p>
    <w:p>
      <w:pPr>
        <w:pStyle w:val="FirstParagraph"/>
      </w:pPr>
      <w: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[20, 4], and the</w:t>
      </w:r>
      <w:r>
        <w:t xml:space="preserve"> </w:t>
      </w:r>
      <w:r>
        <w:rPr>
          <w:i/>
          <w:iCs/>
        </w:rPr>
        <w:t xml:space="preserve">Healthcare Identifiers Act 2010</w:t>
      </w:r>
      <w:r>
        <w:t xml:space="preserve"> </w:t>
      </w:r>
      <w:r>
        <w:t xml:space="preserve">already gives every provider and individual a persistent identifier [36]. The second step is frequently overlooked: a valid credential shows that a person is, for example, a registered practitioner or a legal guardian [31], but not that this person is authorised for this patient, this purpose and this data. The second requirement is that identity verification and authority verification be modelled as distinct conditions.</w:t>
      </w:r>
    </w:p>
    <w:bookmarkEnd w:id="16"/>
    <w:bookmarkStart w:id="17" w:name="X3f1caa9985cd93675a873a4a1b7cf3386e492f2"/>
    <w:p>
      <w:pPr>
        <w:pStyle w:val="Heading3"/>
      </w:pPr>
      <w:r>
        <w:t xml:space="preserve">2.2.3 Multi-party threshold authorisation (Req 3)</w:t>
      </w:r>
    </w:p>
    <w:p>
      <w:pPr>
        <w:pStyle w:val="FirstParagraph"/>
      </w:pPr>
      <w:r>
        <w:t xml:space="preserve">In paediatric, aged-care and shared-guardianship settings the decision to release data does not belong to a single party. Guardians, the treating clinician and, where applicable, the institution each hold part of the authority [31].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[4] and multi-party governance of data trusts [19] provide building blocks, but neither treats the approval threshold as a verifiable condition attached to the consent itself.</w:t>
      </w:r>
    </w:p>
    <w:bookmarkEnd w:id="17"/>
    <w:bookmarkStart w:id="18" w:name="purpose--and-scope-bound-access-req-4"/>
    <w:p>
      <w:pPr>
        <w:pStyle w:val="Heading3"/>
      </w:pPr>
      <w:r>
        <w:t xml:space="preserve">2.2.4 Purpose- and scope-bound access (Req 4)</w:t>
      </w:r>
    </w:p>
    <w:p>
      <w:pPr>
        <w:pStyle w:val="FirstParagraph"/>
      </w:pPr>
      <w:r>
        <w:t xml:space="preserve">Even when the requester is verified and the required approvals exist, the request must remain within the purpose and the data scope that the patient authorised. Attribute-based, risk-aware and usage-control models can express fine-grained restrictions [11, 32, 25, 28], and the Australian Privacy Principles require that health information be used only for the primary purpose of collection or a directly related purpose [34]. The fourth requirement is that the framework evaluate the requested purpose and data scope against the consent as an explicit condition of the decision rather than as a separate access-control layer.</w:t>
      </w:r>
    </w:p>
    <w:bookmarkEnd w:id="18"/>
    <w:bookmarkStart w:id="19" w:name="Xa8ff9ba73be0aeb7c197ff9dd13ad790ec9629a"/>
    <w:p>
      <w:pPr>
        <w:pStyle w:val="Heading3"/>
      </w:pPr>
      <w:r>
        <w:t xml:space="preserve">2.2.5 Lifecycle validity and auditable evidence (Req 5)</w:t>
      </w:r>
    </w:p>
    <w:p>
      <w:pPr>
        <w:pStyle w:val="FirstParagraph"/>
      </w:pPr>
      <w: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[1, 26], and dynamic identity systems handle revocation at the identity level [33]; the fifth requirement is that the same properties hold for the consent object and for the authorisation decisions made on it.</w:t>
      </w:r>
    </w:p>
    <w:p>
      <w:pPr>
        <w:pStyle w:val="BodyText"/>
      </w:pPr>
      <w: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9"/>
    <w:bookmarkEnd w:id="20"/>
    <w:bookmarkStart w:id="33" w:name="Xc890dc5c16727df01c4dec67a5cc738423fdfed"/>
    <w:p>
      <w:pPr>
        <w:pStyle w:val="Heading2"/>
      </w:pPr>
      <w:r>
        <w:t xml:space="preserve"> </w:t>
      </w:r>
      <w:r>
        <w:t xml:space="preserve">2.3</w:t>
      </w:r>
      <w:r>
        <w:t xml:space="preserve"> </w:t>
      </w:r>
      <w:r>
        <w:t xml:space="preserve"> </w:t>
      </w:r>
      <w:r>
        <w:t xml:space="preserve">Process Adopted for Shortlisting the Papers for the SLR</w:t>
      </w:r>
    </w:p>
    <w:p>
      <w:pPr>
        <w:pStyle w:val="FirstParagraph"/>
      </w:pPr>
      <w: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 Sections 2.3.1–2.3.6, and the resulting study selection is summarised in Figure 2.2.Consistent with the four-step approach adopted in this research group, the process is reported as searching the literature (Step 1), applying inclusion and exclusion criteria (Step 2), evaluating quality (Step 3) and extracting and categorising the data (Step 4).</w:t>
      </w:r>
    </w:p>
    <w:bookmarkStart w:id="21" w:name="review-design-and-reporting-framework"/>
    <w:p>
      <w:pPr>
        <w:pStyle w:val="Heading3"/>
      </w:pPr>
      <w:r>
        <w:t xml:space="preserve"> </w:t>
      </w:r>
      <w:r>
        <w:t xml:space="preserve">2.3.1 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 described in Section 2.3.5.</w:t>
      </w:r>
    </w:p>
    <w:bookmarkEnd w:id="21"/>
    <w:bookmarkStart w:id="22" w:name="questions-for-review"/>
    <w:p>
      <w:pPr>
        <w:pStyle w:val="Heading3"/>
      </w:pPr>
      <w:r>
        <w:t xml:space="preserve"> </w:t>
      </w:r>
      <w:r>
        <w:t xml:space="preserve">2.3.2 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22"/>
    <w:bookmarkStart w:id="26" w:name="X84813ed82bde8b681c1e93fab893fb6ffc8ce2b"/>
    <w:p>
      <w:pPr>
        <w:pStyle w:val="Heading3"/>
      </w:pPr>
      <w:r>
        <w:t xml:space="preserve"> </w:t>
      </w:r>
      <w:r>
        <w:t xml:space="preserve">2.3.3</w:t>
      </w:r>
      <w:r>
        <w:t xml:space="preserve"> </w:t>
      </w:r>
      <w:r>
        <w:t xml:space="preserve"> </w:t>
      </w:r>
      <w:r>
        <w:t xml:space="preserve">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 The general search string was defined as shown in Figure 2.1.</w:t>
      </w:r>
    </w:p>
    <w:p>
      <w:pPr>
        <w:pStyle w:val="BodyText"/>
      </w:pPr>
      <w:r>
        <w:drawing>
          <wp:inline>
            <wp:extent cx="5486400" cy="3383782"/>
            <wp:effectExtent b="0" l="0" r="0" t="0"/>
            <wp:docPr descr="Figure 2.1: SLR search string definition" title="" id="24" name="Picture"/>
            <a:graphic>
              <a:graphicData uri="http://schemas.openxmlformats.org/drawingml/2006/picture">
                <pic:pic>
                  <pic:nvPicPr>
                    <pic:cNvPr descr="media/fig01.png" id="25" name="Picture"/>
                    <pic:cNvPicPr>
                      <a:picLocks noChangeArrowheads="1" noChangeAspect="1"/>
                    </pic:cNvPicPr>
                  </pic:nvPicPr>
                  <pic:blipFill>
                    <a:blip r:embed="rId23"/>
                    <a:stretch>
                      <a:fillRect/>
                    </a:stretch>
                  </pic:blipFill>
                  <pic:spPr bwMode="auto">
                    <a:xfrm>
                      <a:off x="0" y="0"/>
                      <a:ext cx="5486400" cy="3383782"/>
                    </a:xfrm>
                    <a:prstGeom prst="rect">
                      <a:avLst/>
                    </a:prstGeom>
                    <a:noFill/>
                    <a:ln w="9525">
                      <a:noFill/>
                      <a:headEnd/>
                      <a:tailEnd/>
                    </a:ln>
                  </pic:spPr>
                </pic:pic>
              </a:graphicData>
            </a:graphic>
          </wp:inline>
        </w:drawing>
      </w:r>
    </w:p>
    <w:p>
      <w:pPr>
        <w:pStyle w:val="BodyText"/>
      </w:pPr>
      <w:r>
        <w:rPr>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b/>
          <w:bCs/>
        </w:rPr>
        <w:t xml:space="preserve">[dd]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odyText"/>
      </w:pPr>
      <w:r>
        <w:rPr>
          <w:b/>
          <w:bCs/>
        </w:rPr>
        <w:t xml:space="preserve">Required information from the selected papers.</w:t>
      </w:r>
      <w:r>
        <w:t xml:space="preserve"> </w:t>
      </w:r>
      <w:r>
        <w:t xml:space="preserve">For each record, the title, abstract, keywords and full text were required, together with the publication venue, year and the digital object identifier used for duplicate detection.</w:t>
      </w:r>
    </w:p>
    <w:p>
      <w:pPr>
        <w:pStyle w:val="BodyText"/>
      </w:pPr>
      <w:r>
        <w:rPr>
          <w:b/>
          <w:bCs/>
        </w:rPr>
        <w:t xml:space="preserve">Publication time of the records.</w:t>
      </w:r>
      <w:r>
        <w:t xml:space="preserve"> </w:t>
      </w:r>
      <w:r>
        <w:t xml:space="preserve">Only studies published between 2022 and 2026 were considered, because decentralised identity standards and consent-aware access control developed rapidly over that period; one earlier policy statement [31] was retained as a foundational source, as explained in Section 2.3.4. The journals and conference proceedings in which the included studies were published are listed in Table 2.1.</w:t>
      </w:r>
    </w:p>
    <w:p>
      <w:pPr>
        <w:pStyle w:val="TableCaption"/>
      </w:pPr>
      <w: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720"/>
        <w:gridCol w:w="4464"/>
        <w:gridCol w:w="1152"/>
        <w:gridCol w:w="158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S/N</w:t>
            </w:r>
          </w:p>
        </w:tc>
        <w:tc>
          <w:tcPr>
            <w:tcBorders>
              <w:bottom w:val="single" w:sz="8" w:space="0" w:color="000000"/>
            </w:tcBorders>
            <w:shd w:val="clear" w:color="auto" w:fill="E7E6E6"/>
            <w:vAlign w:val="center"/>
          </w:tcPr>
          <w:p>
            <w:pPr>
              <w:pStyle w:val="Compact"/>
              <w:jc w:val="left"/>
            </w:pPr>
            <w:r>
              <w:rPr>
                <w:b/>
                <w:bCs/>
              </w:rPr>
              <w:t xml:space="preserve">Journal or conference proceedings</w:t>
            </w:r>
          </w:p>
        </w:tc>
        <w:tc>
          <w:tcPr>
            <w:tcBorders>
              <w:bottom w:val="single" w:sz="8" w:space="0" w:color="000000"/>
            </w:tcBorders>
            <w:shd w:val="clear" w:color="auto" w:fill="E7E6E6"/>
            <w:vAlign w:val="center"/>
          </w:tcPr>
          <w:p>
            <w:pPr>
              <w:pStyle w:val="Compact"/>
              <w:jc w:val="left"/>
            </w:pPr>
            <w:r>
              <w:rPr>
                <w:b/>
                <w:bCs/>
              </w:rPr>
              <w:t xml:space="preserve">Type</w:t>
            </w:r>
          </w:p>
        </w:tc>
        <w:tc>
          <w:tcPr>
            <w:tcBorders>
              <w:bottom w:val="single" w:sz="8" w:space="0" w:color="000000"/>
            </w:tcBorders>
            <w:shd w:val="clear" w:color="auto" w:fill="E7E6E6"/>
            <w:vAlign w:val="center"/>
          </w:tcPr>
          <w:p>
            <w:pPr>
              <w:pStyle w:val="Compact"/>
              <w:jc w:val="left"/>
            </w:pPr>
            <w:r>
              <w:rPr>
                <w:b/>
                <w:bCs/>
              </w:rPr>
              <w:t xml:space="preserve">Included studies</w:t>
            </w:r>
          </w:p>
        </w:tc>
      </w:tr>
      <w:tr>
        <w:trPr>
          <w:cantSplit/>
        </w:trPr>
        <w:tc>
          <w:tcPr/>
          <w:p>
            <w:pPr>
              <w:pStyle w:val="Compact"/>
              <w:jc w:val="left"/>
            </w:pPr>
            <w:r>
              <w:t xml:space="preserve">1</w:t>
            </w:r>
          </w:p>
        </w:tc>
        <w:tc>
          <w:tcPr/>
          <w:p>
            <w:pPr>
              <w:pStyle w:val="Compact"/>
              <w:jc w:val="left"/>
            </w:pPr>
            <w:r>
              <w:t xml:space="preserve">IEEE Access</w:t>
            </w:r>
          </w:p>
        </w:tc>
        <w:tc>
          <w:tcPr/>
          <w:p>
            <w:pPr>
              <w:pStyle w:val="Compact"/>
              <w:jc w:val="left"/>
            </w:pPr>
            <w:r>
              <w:t xml:space="preserve">Journal</w:t>
            </w:r>
          </w:p>
        </w:tc>
        <w:tc>
          <w:tcPr/>
          <w:p>
            <w:pPr>
              <w:pStyle w:val="Compact"/>
              <w:jc w:val="left"/>
            </w:pPr>
            <w:r>
              <w:t xml:space="preserve">S2, S9</w:t>
            </w:r>
          </w:p>
        </w:tc>
      </w:tr>
      <w:tr>
        <w:trPr>
          <w:cantSplit/>
        </w:trPr>
        <w:tc>
          <w:tcPr/>
          <w:p>
            <w:pPr>
              <w:pStyle w:val="Compact"/>
              <w:jc w:val="left"/>
            </w:pPr>
            <w:r>
              <w:t xml:space="preserve">2</w:t>
            </w:r>
          </w:p>
        </w:tc>
        <w:tc>
          <w:tcPr/>
          <w:p>
            <w:pPr>
              <w:pStyle w:val="Compact"/>
              <w:jc w:val="left"/>
            </w:pPr>
            <w:r>
              <w:t xml:space="preserve">IEEE Communications Surveys &amp; Tutorials</w:t>
            </w:r>
          </w:p>
        </w:tc>
        <w:tc>
          <w:tcPr/>
          <w:p>
            <w:pPr>
              <w:pStyle w:val="Compact"/>
              <w:jc w:val="left"/>
            </w:pPr>
            <w:r>
              <w:t xml:space="preserve">Journal</w:t>
            </w:r>
          </w:p>
        </w:tc>
        <w:tc>
          <w:tcPr/>
          <w:p>
            <w:pPr>
              <w:pStyle w:val="Compact"/>
              <w:jc w:val="left"/>
            </w:pPr>
            <w:r>
              <w:t xml:space="preserve">S11, S19</w:t>
            </w:r>
          </w:p>
        </w:tc>
      </w:tr>
      <w:tr>
        <w:trPr>
          <w:cantSplit/>
        </w:trPr>
        <w:tc>
          <w:tcPr/>
          <w:p>
            <w:pPr>
              <w:pStyle w:val="Compact"/>
              <w:jc w:val="left"/>
            </w:pPr>
            <w:r>
              <w:t xml:space="preserve">3</w:t>
            </w:r>
          </w:p>
        </w:tc>
        <w:tc>
          <w:tcPr/>
          <w:p>
            <w:pPr>
              <w:pStyle w:val="Compact"/>
              <w:jc w:val="left"/>
            </w:pPr>
            <w:r>
              <w:t xml:space="preserve">ACM Computing Surveys</w:t>
            </w:r>
          </w:p>
        </w:tc>
        <w:tc>
          <w:tcPr/>
          <w:p>
            <w:pPr>
              <w:pStyle w:val="Compact"/>
              <w:jc w:val="left"/>
            </w:pPr>
            <w:r>
              <w:t xml:space="preserve">Journal</w:t>
            </w:r>
          </w:p>
        </w:tc>
        <w:tc>
          <w:tcPr/>
          <w:p>
            <w:pPr>
              <w:pStyle w:val="Compact"/>
              <w:jc w:val="left"/>
            </w:pPr>
            <w:r>
              <w:t xml:space="preserve">S13</w:t>
            </w:r>
          </w:p>
        </w:tc>
      </w:tr>
      <w:tr>
        <w:trPr>
          <w:cantSplit/>
        </w:trPr>
        <w:tc>
          <w:tcPr/>
          <w:p>
            <w:pPr>
              <w:pStyle w:val="Compact"/>
              <w:jc w:val="left"/>
            </w:pPr>
            <w:r>
              <w:t xml:space="preserve">4</w:t>
            </w:r>
          </w:p>
        </w:tc>
        <w:tc>
          <w:tcPr/>
          <w:p>
            <w:pPr>
              <w:pStyle w:val="Compact"/>
              <w:jc w:val="left"/>
            </w:pPr>
            <w:r>
              <w:t xml:space="preserve">ACM Transactions on Management Information Systems</w:t>
            </w:r>
          </w:p>
        </w:tc>
        <w:tc>
          <w:tcPr/>
          <w:p>
            <w:pPr>
              <w:pStyle w:val="Compact"/>
              <w:jc w:val="left"/>
            </w:pPr>
            <w:r>
              <w:t xml:space="preserve">Journal</w:t>
            </w:r>
          </w:p>
        </w:tc>
        <w:tc>
          <w:tcPr/>
          <w:p>
            <w:pPr>
              <w:pStyle w:val="Compact"/>
              <w:jc w:val="left"/>
            </w:pPr>
            <w:r>
              <w:t xml:space="preserve">S20</w:t>
            </w:r>
          </w:p>
        </w:tc>
      </w:tr>
      <w:tr>
        <w:trPr>
          <w:cantSplit/>
        </w:trPr>
        <w:tc>
          <w:tcPr/>
          <w:p>
            <w:pPr>
              <w:pStyle w:val="Compact"/>
              <w:jc w:val="left"/>
            </w:pPr>
            <w:r>
              <w:t xml:space="preserve">5</w:t>
            </w:r>
          </w:p>
        </w:tc>
        <w:tc>
          <w:tcPr/>
          <w:p>
            <w:pPr>
              <w:pStyle w:val="Compact"/>
              <w:jc w:val="left"/>
            </w:pPr>
            <w:r>
              <w:t xml:space="preserve">IEEE Transactions on Computers</w:t>
            </w:r>
          </w:p>
        </w:tc>
        <w:tc>
          <w:tcPr/>
          <w:p>
            <w:pPr>
              <w:pStyle w:val="Compact"/>
              <w:jc w:val="left"/>
            </w:pPr>
            <w:r>
              <w:t xml:space="preserve">Journal</w:t>
            </w:r>
          </w:p>
        </w:tc>
        <w:tc>
          <w:tcPr/>
          <w:p>
            <w:pPr>
              <w:pStyle w:val="Compact"/>
              <w:jc w:val="left"/>
            </w:pPr>
            <w:r>
              <w:t xml:space="preserve">S15</w:t>
            </w:r>
          </w:p>
        </w:tc>
      </w:tr>
      <w:tr>
        <w:trPr>
          <w:cantSplit/>
        </w:trPr>
        <w:tc>
          <w:tcPr/>
          <w:p>
            <w:pPr>
              <w:pStyle w:val="Compact"/>
              <w:jc w:val="left"/>
            </w:pPr>
            <w:r>
              <w:t xml:space="preserve">6</w:t>
            </w:r>
          </w:p>
        </w:tc>
        <w:tc>
          <w:tcPr/>
          <w:p>
            <w:pPr>
              <w:pStyle w:val="Compact"/>
              <w:jc w:val="left"/>
            </w:pPr>
            <w:r>
              <w:t xml:space="preserve">IEEE Transactions on Information Forensics and Security</w:t>
            </w:r>
          </w:p>
        </w:tc>
        <w:tc>
          <w:tcPr/>
          <w:p>
            <w:pPr>
              <w:pStyle w:val="Compact"/>
              <w:jc w:val="left"/>
            </w:pPr>
            <w:r>
              <w:t xml:space="preserve">Journal</w:t>
            </w:r>
          </w:p>
        </w:tc>
        <w:tc>
          <w:tcPr/>
          <w:p>
            <w:pPr>
              <w:pStyle w:val="Compact"/>
              <w:jc w:val="left"/>
            </w:pPr>
            <w:r>
              <w:t xml:space="preserve">S21</w:t>
            </w:r>
          </w:p>
        </w:tc>
      </w:tr>
      <w:tr>
        <w:trPr>
          <w:cantSplit/>
        </w:trPr>
        <w:tc>
          <w:tcPr/>
          <w:p>
            <w:pPr>
              <w:pStyle w:val="Compact"/>
              <w:jc w:val="left"/>
            </w:pPr>
            <w:r>
              <w:t xml:space="preserve">7</w:t>
            </w:r>
          </w:p>
        </w:tc>
        <w:tc>
          <w:tcPr/>
          <w:p>
            <w:pPr>
              <w:pStyle w:val="Compact"/>
              <w:jc w:val="left"/>
            </w:pPr>
            <w:r>
              <w:t xml:space="preserve">Journal of Network and Computer Applications</w:t>
            </w:r>
          </w:p>
        </w:tc>
        <w:tc>
          <w:tcPr/>
          <w:p>
            <w:pPr>
              <w:pStyle w:val="Compact"/>
              <w:jc w:val="left"/>
            </w:pPr>
            <w:r>
              <w:t xml:space="preserve">Journal</w:t>
            </w:r>
          </w:p>
        </w:tc>
        <w:tc>
          <w:tcPr/>
          <w:p>
            <w:pPr>
              <w:pStyle w:val="Compact"/>
              <w:jc w:val="left"/>
            </w:pPr>
            <w:r>
              <w:t xml:space="preserve">S10</w:t>
            </w:r>
          </w:p>
        </w:tc>
      </w:tr>
      <w:tr>
        <w:trPr>
          <w:cantSplit/>
        </w:trPr>
        <w:tc>
          <w:tcPr/>
          <w:p>
            <w:pPr>
              <w:pStyle w:val="Compact"/>
              <w:jc w:val="left"/>
            </w:pPr>
            <w:r>
              <w:t xml:space="preserve">8</w:t>
            </w:r>
          </w:p>
        </w:tc>
        <w:tc>
          <w:tcPr/>
          <w:p>
            <w:pPr>
              <w:pStyle w:val="Compact"/>
              <w:jc w:val="left"/>
            </w:pPr>
            <w:r>
              <w:t xml:space="preserve">Journal of Systems Architecture</w:t>
            </w:r>
          </w:p>
        </w:tc>
        <w:tc>
          <w:tcPr/>
          <w:p>
            <w:pPr>
              <w:pStyle w:val="Compact"/>
              <w:jc w:val="left"/>
            </w:pPr>
            <w:r>
              <w:t xml:space="preserve">Journal</w:t>
            </w:r>
          </w:p>
        </w:tc>
        <w:tc>
          <w:tcPr/>
          <w:p>
            <w:pPr>
              <w:pStyle w:val="Compact"/>
              <w:jc w:val="left"/>
            </w:pPr>
            <w:r>
              <w:t xml:space="preserve">S27</w:t>
            </w:r>
          </w:p>
        </w:tc>
      </w:tr>
      <w:tr>
        <w:trPr>
          <w:cantSplit/>
        </w:trPr>
        <w:tc>
          <w:tcPr/>
          <w:p>
            <w:pPr>
              <w:pStyle w:val="Compact"/>
              <w:jc w:val="left"/>
            </w:pPr>
            <w:r>
              <w:t xml:space="preserve">9</w:t>
            </w:r>
          </w:p>
        </w:tc>
        <w:tc>
          <w:tcPr/>
          <w:p>
            <w:pPr>
              <w:pStyle w:val="Compact"/>
              <w:jc w:val="left"/>
            </w:pPr>
            <w:r>
              <w:t xml:space="preserve">Journal of Information Security and Applications</w:t>
            </w:r>
          </w:p>
        </w:tc>
        <w:tc>
          <w:tcPr/>
          <w:p>
            <w:pPr>
              <w:pStyle w:val="Compact"/>
              <w:jc w:val="left"/>
            </w:pPr>
            <w:r>
              <w:t xml:space="preserve">Journal</w:t>
            </w:r>
          </w:p>
        </w:tc>
        <w:tc>
          <w:tcPr/>
          <w:p>
            <w:pPr>
              <w:pStyle w:val="Compact"/>
              <w:jc w:val="left"/>
            </w:pPr>
            <w:r>
              <w:t xml:space="preserve">S16</w:t>
            </w:r>
          </w:p>
        </w:tc>
      </w:tr>
      <w:tr>
        <w:trPr>
          <w:cantSplit/>
        </w:trPr>
        <w:tc>
          <w:tcPr/>
          <w:p>
            <w:pPr>
              <w:pStyle w:val="Compact"/>
              <w:jc w:val="left"/>
            </w:pPr>
            <w:r>
              <w:t xml:space="preserve">10</w:t>
            </w:r>
          </w:p>
        </w:tc>
        <w:tc>
          <w:tcPr/>
          <w:p>
            <w:pPr>
              <w:pStyle w:val="Compact"/>
              <w:jc w:val="left"/>
            </w:pPr>
            <w:r>
              <w:t xml:space="preserve">Journal of Big Data</w:t>
            </w:r>
          </w:p>
        </w:tc>
        <w:tc>
          <w:tcPr/>
          <w:p>
            <w:pPr>
              <w:pStyle w:val="Compact"/>
              <w:jc w:val="left"/>
            </w:pPr>
            <w:r>
              <w:t xml:space="preserve">Journal</w:t>
            </w:r>
          </w:p>
        </w:tc>
        <w:tc>
          <w:tcPr/>
          <w:p>
            <w:pPr>
              <w:pStyle w:val="Compact"/>
              <w:jc w:val="left"/>
            </w:pPr>
            <w:r>
              <w:t xml:space="preserve">S24</w:t>
            </w:r>
          </w:p>
        </w:tc>
      </w:tr>
      <w:tr>
        <w:trPr>
          <w:cantSplit/>
        </w:trPr>
        <w:tc>
          <w:tcPr/>
          <w:p>
            <w:pPr>
              <w:pStyle w:val="Compact"/>
              <w:jc w:val="left"/>
            </w:pPr>
            <w:r>
              <w:t xml:space="preserve">11</w:t>
            </w:r>
          </w:p>
        </w:tc>
        <w:tc>
          <w:tcPr/>
          <w:p>
            <w:pPr>
              <w:pStyle w:val="Compact"/>
              <w:jc w:val="left"/>
            </w:pPr>
            <w:r>
              <w:t xml:space="preserve">Cluster Computing</w:t>
            </w:r>
          </w:p>
        </w:tc>
        <w:tc>
          <w:tcPr/>
          <w:p>
            <w:pPr>
              <w:pStyle w:val="Compact"/>
              <w:jc w:val="left"/>
            </w:pPr>
            <w:r>
              <w:t xml:space="preserve">Journal</w:t>
            </w:r>
          </w:p>
        </w:tc>
        <w:tc>
          <w:tcPr/>
          <w:p>
            <w:pPr>
              <w:pStyle w:val="Compact"/>
              <w:jc w:val="left"/>
            </w:pPr>
            <w:r>
              <w:t xml:space="preserve">S26</w:t>
            </w:r>
          </w:p>
        </w:tc>
      </w:tr>
      <w:tr>
        <w:trPr>
          <w:cantSplit/>
        </w:trPr>
        <w:tc>
          <w:tcPr/>
          <w:p>
            <w:pPr>
              <w:pStyle w:val="Compact"/>
              <w:jc w:val="left"/>
            </w:pPr>
            <w:r>
              <w:t xml:space="preserve">12</w:t>
            </w:r>
          </w:p>
        </w:tc>
        <w:tc>
          <w:tcPr/>
          <w:p>
            <w:pPr>
              <w:pStyle w:val="Compact"/>
              <w:jc w:val="left"/>
            </w:pPr>
            <w:r>
              <w:t xml:space="preserve">Engineering Reports</w:t>
            </w:r>
          </w:p>
        </w:tc>
        <w:tc>
          <w:tcPr/>
          <w:p>
            <w:pPr>
              <w:pStyle w:val="Compact"/>
              <w:jc w:val="left"/>
            </w:pPr>
            <w:r>
              <w:t xml:space="preserve">Journal</w:t>
            </w:r>
          </w:p>
        </w:tc>
        <w:tc>
          <w:tcPr/>
          <w:p>
            <w:pPr>
              <w:pStyle w:val="Compact"/>
              <w:jc w:val="left"/>
            </w:pPr>
            <w:r>
              <w:t xml:space="preserve">S25</w:t>
            </w:r>
          </w:p>
        </w:tc>
      </w:tr>
      <w:tr>
        <w:trPr>
          <w:cantSplit/>
        </w:trPr>
        <w:tc>
          <w:tcPr/>
          <w:p>
            <w:pPr>
              <w:pStyle w:val="Compact"/>
              <w:jc w:val="left"/>
            </w:pPr>
            <w:r>
              <w:t xml:space="preserve">13</w:t>
            </w:r>
          </w:p>
        </w:tc>
        <w:tc>
          <w:tcPr/>
          <w:p>
            <w:pPr>
              <w:pStyle w:val="Compact"/>
              <w:jc w:val="left"/>
            </w:pPr>
            <w:r>
              <w:t xml:space="preserve">International Journal of Information Management Data Insights</w:t>
            </w:r>
          </w:p>
        </w:tc>
        <w:tc>
          <w:tcPr/>
          <w:p>
            <w:pPr>
              <w:pStyle w:val="Compact"/>
              <w:jc w:val="left"/>
            </w:pPr>
            <w:r>
              <w:t xml:space="preserve">Journal</w:t>
            </w:r>
          </w:p>
        </w:tc>
        <w:tc>
          <w:tcPr/>
          <w:p>
            <w:pPr>
              <w:pStyle w:val="Compact"/>
              <w:jc w:val="left"/>
            </w:pPr>
            <w:r>
              <w:t xml:space="preserve">S23</w:t>
            </w:r>
          </w:p>
        </w:tc>
      </w:tr>
      <w:tr>
        <w:trPr>
          <w:cantSplit/>
        </w:trPr>
        <w:tc>
          <w:tcPr/>
          <w:p>
            <w:pPr>
              <w:pStyle w:val="Compact"/>
              <w:jc w:val="left"/>
            </w:pPr>
            <w:r>
              <w:t xml:space="preserve">14</w:t>
            </w:r>
          </w:p>
        </w:tc>
        <w:tc>
          <w:tcPr/>
          <w:p>
            <w:pPr>
              <w:pStyle w:val="Compact"/>
              <w:jc w:val="left"/>
            </w:pPr>
            <w:r>
              <w:t xml:space="preserve">Applied Sciences</w:t>
            </w:r>
          </w:p>
        </w:tc>
        <w:tc>
          <w:tcPr/>
          <w:p>
            <w:pPr>
              <w:pStyle w:val="Compact"/>
              <w:jc w:val="left"/>
            </w:pPr>
            <w:r>
              <w:t xml:space="preserve">Journal</w:t>
            </w:r>
          </w:p>
        </w:tc>
        <w:tc>
          <w:tcPr/>
          <w:p>
            <w:pPr>
              <w:pStyle w:val="Compact"/>
              <w:jc w:val="left"/>
            </w:pPr>
            <w:r>
              <w:t xml:space="preserve">S14</w:t>
            </w:r>
          </w:p>
        </w:tc>
      </w:tr>
      <w:tr>
        <w:trPr>
          <w:cantSplit/>
        </w:trPr>
        <w:tc>
          <w:tcPr/>
          <w:p>
            <w:pPr>
              <w:pStyle w:val="Compact"/>
              <w:jc w:val="left"/>
            </w:pPr>
            <w:r>
              <w:t xml:space="preserve">15</w:t>
            </w:r>
          </w:p>
        </w:tc>
        <w:tc>
          <w:tcPr/>
          <w:p>
            <w:pPr>
              <w:pStyle w:val="Compact"/>
              <w:jc w:val="left"/>
            </w:pPr>
            <w:r>
              <w:t xml:space="preserve">Electronics</w:t>
            </w:r>
          </w:p>
        </w:tc>
        <w:tc>
          <w:tcPr/>
          <w:p>
            <w:pPr>
              <w:pStyle w:val="Compact"/>
              <w:jc w:val="left"/>
            </w:pPr>
            <w:r>
              <w:t xml:space="preserve">Journal</w:t>
            </w:r>
          </w:p>
        </w:tc>
        <w:tc>
          <w:tcPr/>
          <w:p>
            <w:pPr>
              <w:pStyle w:val="Compact"/>
              <w:jc w:val="left"/>
            </w:pPr>
            <w:r>
              <w:t xml:space="preserve">S4</w:t>
            </w:r>
          </w:p>
        </w:tc>
      </w:tr>
      <w:tr>
        <w:trPr>
          <w:cantSplit/>
        </w:trPr>
        <w:tc>
          <w:tcPr/>
          <w:p>
            <w:pPr>
              <w:pStyle w:val="Compact"/>
              <w:jc w:val="left"/>
            </w:pPr>
            <w:r>
              <w:t xml:space="preserve">16</w:t>
            </w:r>
          </w:p>
        </w:tc>
        <w:tc>
          <w:tcPr/>
          <w:p>
            <w:pPr>
              <w:pStyle w:val="Compact"/>
              <w:jc w:val="left"/>
            </w:pPr>
            <w:r>
              <w:t xml:space="preserve">Systems</w:t>
            </w:r>
          </w:p>
        </w:tc>
        <w:tc>
          <w:tcPr/>
          <w:p>
            <w:pPr>
              <w:pStyle w:val="Compact"/>
              <w:jc w:val="left"/>
            </w:pPr>
            <w:r>
              <w:t xml:space="preserve">Journal</w:t>
            </w:r>
          </w:p>
        </w:tc>
        <w:tc>
          <w:tcPr/>
          <w:p>
            <w:pPr>
              <w:pStyle w:val="Compact"/>
              <w:jc w:val="left"/>
            </w:pPr>
            <w:r>
              <w:t xml:space="preserve">S12</w:t>
            </w:r>
          </w:p>
        </w:tc>
      </w:tr>
      <w:tr>
        <w:trPr>
          <w:cantSplit/>
        </w:trPr>
        <w:tc>
          <w:tcPr/>
          <w:p>
            <w:pPr>
              <w:pStyle w:val="Compact"/>
              <w:jc w:val="left"/>
            </w:pPr>
            <w:r>
              <w:t xml:space="preserve">17</w:t>
            </w:r>
          </w:p>
        </w:tc>
        <w:tc>
          <w:tcPr/>
          <w:p>
            <w:pPr>
              <w:pStyle w:val="Compact"/>
              <w:jc w:val="left"/>
            </w:pPr>
            <w:r>
              <w:t xml:space="preserve">Cryptography</w:t>
            </w:r>
          </w:p>
        </w:tc>
        <w:tc>
          <w:tcPr/>
          <w:p>
            <w:pPr>
              <w:pStyle w:val="Compact"/>
              <w:jc w:val="left"/>
            </w:pPr>
            <w:r>
              <w:t xml:space="preserve">Journal</w:t>
            </w:r>
          </w:p>
        </w:tc>
        <w:tc>
          <w:tcPr/>
          <w:p>
            <w:pPr>
              <w:pStyle w:val="Compact"/>
              <w:jc w:val="left"/>
            </w:pPr>
            <w:r>
              <w:t xml:space="preserve">S22</w:t>
            </w:r>
          </w:p>
        </w:tc>
      </w:tr>
      <w:tr>
        <w:trPr>
          <w:cantSplit/>
        </w:trPr>
        <w:tc>
          <w:tcPr/>
          <w:p>
            <w:pPr>
              <w:pStyle w:val="Compact"/>
              <w:jc w:val="left"/>
            </w:pPr>
            <w:r>
              <w:t xml:space="preserve">18</w:t>
            </w:r>
          </w:p>
        </w:tc>
        <w:tc>
          <w:tcPr/>
          <w:p>
            <w:pPr>
              <w:pStyle w:val="Compact"/>
              <w:jc w:val="left"/>
            </w:pPr>
            <w:r>
              <w:t xml:space="preserve">IoT</w:t>
            </w:r>
          </w:p>
        </w:tc>
        <w:tc>
          <w:tcPr/>
          <w:p>
            <w:pPr>
              <w:pStyle w:val="Compact"/>
              <w:jc w:val="left"/>
            </w:pPr>
            <w:r>
              <w:t xml:space="preserve">Journal</w:t>
            </w:r>
          </w:p>
        </w:tc>
        <w:tc>
          <w:tcPr/>
          <w:p>
            <w:pPr>
              <w:pStyle w:val="Compact"/>
              <w:jc w:val="left"/>
            </w:pPr>
            <w:r>
              <w:t xml:space="preserve">S17</w:t>
            </w:r>
          </w:p>
        </w:tc>
      </w:tr>
      <w:tr>
        <w:trPr>
          <w:cantSplit/>
        </w:trPr>
        <w:tc>
          <w:tcPr/>
          <w:p>
            <w:pPr>
              <w:pStyle w:val="Compact"/>
              <w:jc w:val="left"/>
            </w:pPr>
            <w:r>
              <w:t xml:space="preserve">19</w:t>
            </w:r>
          </w:p>
        </w:tc>
        <w:tc>
          <w:tcPr/>
          <w:p>
            <w:pPr>
              <w:pStyle w:val="Compact"/>
              <w:jc w:val="left"/>
            </w:pPr>
            <w:r>
              <w:t xml:space="preserve">Computer Networks and Communications</w:t>
            </w:r>
          </w:p>
        </w:tc>
        <w:tc>
          <w:tcPr/>
          <w:p>
            <w:pPr>
              <w:pStyle w:val="Compact"/>
              <w:jc w:val="left"/>
            </w:pPr>
            <w:r>
              <w:t xml:space="preserve">Journal</w:t>
            </w:r>
          </w:p>
        </w:tc>
        <w:tc>
          <w:tcPr/>
          <w:p>
            <w:pPr>
              <w:pStyle w:val="Compact"/>
              <w:jc w:val="left"/>
            </w:pPr>
            <w:r>
              <w:t xml:space="preserve">S18</w:t>
            </w:r>
          </w:p>
        </w:tc>
      </w:tr>
      <w:tr>
        <w:trPr>
          <w:cantSplit/>
        </w:trPr>
        <w:tc>
          <w:tcPr/>
          <w:p>
            <w:pPr>
              <w:pStyle w:val="Compact"/>
              <w:jc w:val="left"/>
            </w:pPr>
            <w:r>
              <w:t xml:space="preserve">20</w:t>
            </w:r>
          </w:p>
        </w:tc>
        <w:tc>
          <w:tcPr/>
          <w:p>
            <w:pPr>
              <w:pStyle w:val="Compact"/>
              <w:jc w:val="left"/>
            </w:pPr>
            <w:r>
              <w:t xml:space="preserve">BMC Nursing</w:t>
            </w:r>
          </w:p>
        </w:tc>
        <w:tc>
          <w:tcPr/>
          <w:p>
            <w:pPr>
              <w:pStyle w:val="Compact"/>
              <w:jc w:val="left"/>
            </w:pPr>
            <w:r>
              <w:t xml:space="preserve">Journal</w:t>
            </w:r>
          </w:p>
        </w:tc>
        <w:tc>
          <w:tcPr/>
          <w:p>
            <w:pPr>
              <w:pStyle w:val="Compact"/>
              <w:jc w:val="left"/>
            </w:pPr>
            <w:r>
              <w:t xml:space="preserve">S1</w:t>
            </w:r>
          </w:p>
        </w:tc>
      </w:tr>
      <w:tr>
        <w:trPr>
          <w:cantSplit/>
        </w:trPr>
        <w:tc>
          <w:tcPr/>
          <w:p>
            <w:pPr>
              <w:pStyle w:val="Compact"/>
              <w:jc w:val="left"/>
            </w:pPr>
            <w:r>
              <w:t xml:space="preserve">21</w:t>
            </w:r>
          </w:p>
        </w:tc>
        <w:tc>
          <w:tcPr/>
          <w:p>
            <w:pPr>
              <w:pStyle w:val="Compact"/>
              <w:jc w:val="left"/>
            </w:pPr>
            <w:r>
              <w:t xml:space="preserve">Digital Health</w:t>
            </w:r>
          </w:p>
        </w:tc>
        <w:tc>
          <w:tcPr/>
          <w:p>
            <w:pPr>
              <w:pStyle w:val="Compact"/>
              <w:jc w:val="left"/>
            </w:pPr>
            <w:r>
              <w:t xml:space="preserve">Journal</w:t>
            </w:r>
          </w:p>
        </w:tc>
        <w:tc>
          <w:tcPr/>
          <w:p>
            <w:pPr>
              <w:pStyle w:val="Compact"/>
              <w:jc w:val="left"/>
            </w:pPr>
            <w:r>
              <w:t xml:space="preserve">S3</w:t>
            </w:r>
          </w:p>
        </w:tc>
      </w:tr>
      <w:tr>
        <w:trPr>
          <w:cantSplit/>
        </w:trPr>
        <w:tc>
          <w:tcPr/>
          <w:p>
            <w:pPr>
              <w:pStyle w:val="Compact"/>
              <w:jc w:val="left"/>
            </w:pPr>
            <w:r>
              <w:t xml:space="preserve">22</w:t>
            </w:r>
          </w:p>
        </w:tc>
        <w:tc>
          <w:tcPr/>
          <w:p>
            <w:pPr>
              <w:pStyle w:val="Compact"/>
              <w:jc w:val="left"/>
            </w:pPr>
            <w:r>
              <w:t xml:space="preserve">Journal of Digital Health</w:t>
            </w:r>
          </w:p>
        </w:tc>
        <w:tc>
          <w:tcPr/>
          <w:p>
            <w:pPr>
              <w:pStyle w:val="Compact"/>
              <w:jc w:val="left"/>
            </w:pPr>
            <w:r>
              <w:t xml:space="preserve">Journal</w:t>
            </w:r>
          </w:p>
        </w:tc>
        <w:tc>
          <w:tcPr/>
          <w:p>
            <w:pPr>
              <w:pStyle w:val="Compact"/>
              <w:jc w:val="left"/>
            </w:pPr>
            <w:r>
              <w:t xml:space="preserve">S7</w:t>
            </w:r>
          </w:p>
        </w:tc>
      </w:tr>
      <w:tr>
        <w:trPr>
          <w:cantSplit/>
        </w:trPr>
        <w:tc>
          <w:tcPr/>
          <w:p>
            <w:pPr>
              <w:pStyle w:val="Compact"/>
              <w:jc w:val="left"/>
            </w:pPr>
            <w:r>
              <w:t xml:space="preserve">23</w:t>
            </w:r>
          </w:p>
        </w:tc>
        <w:tc>
          <w:tcPr/>
          <w:p>
            <w:pPr>
              <w:pStyle w:val="Compact"/>
              <w:jc w:val="left"/>
            </w:pPr>
            <w:r>
              <w:t xml:space="preserve">Strategic Change</w:t>
            </w:r>
          </w:p>
        </w:tc>
        <w:tc>
          <w:tcPr/>
          <w:p>
            <w:pPr>
              <w:pStyle w:val="Compact"/>
              <w:jc w:val="left"/>
            </w:pPr>
            <w:r>
              <w:t xml:space="preserve">Journal</w:t>
            </w:r>
          </w:p>
        </w:tc>
        <w:tc>
          <w:tcPr/>
          <w:p>
            <w:pPr>
              <w:pStyle w:val="Compact"/>
              <w:jc w:val="left"/>
            </w:pPr>
            <w:r>
              <w:t xml:space="preserve">S5</w:t>
            </w:r>
          </w:p>
        </w:tc>
      </w:tr>
      <w:tr>
        <w:trPr>
          <w:cantSplit/>
        </w:trPr>
        <w:tc>
          <w:tcPr/>
          <w:p>
            <w:pPr>
              <w:pStyle w:val="Compact"/>
              <w:jc w:val="left"/>
            </w:pPr>
            <w:r>
              <w:t xml:space="preserve">24</w:t>
            </w:r>
          </w:p>
        </w:tc>
        <w:tc>
          <w:tcPr/>
          <w:p>
            <w:pPr>
              <w:pStyle w:val="Compact"/>
              <w:jc w:val="left"/>
            </w:pPr>
            <w:r>
              <w:t xml:space="preserve">European Journal of Health Law</w:t>
            </w:r>
          </w:p>
        </w:tc>
        <w:tc>
          <w:tcPr/>
          <w:p>
            <w:pPr>
              <w:pStyle w:val="Compact"/>
              <w:jc w:val="left"/>
            </w:pPr>
            <w:r>
              <w:t xml:space="preserve">Journal</w:t>
            </w:r>
          </w:p>
        </w:tc>
        <w:tc>
          <w:tcPr/>
          <w:p>
            <w:pPr>
              <w:pStyle w:val="Compact"/>
              <w:jc w:val="left"/>
            </w:pPr>
            <w:r>
              <w:t xml:space="preserve">S6</w:t>
            </w:r>
          </w:p>
        </w:tc>
      </w:tr>
      <w:tr>
        <w:trPr>
          <w:cantSplit/>
        </w:trPr>
        <w:tc>
          <w:tcPr/>
          <w:p>
            <w:pPr>
              <w:pStyle w:val="Compact"/>
              <w:jc w:val="left"/>
            </w:pPr>
            <w:r>
              <w:t xml:space="preserve">25</w:t>
            </w:r>
          </w:p>
        </w:tc>
        <w:tc>
          <w:tcPr/>
          <w:p>
            <w:pPr>
              <w:pStyle w:val="Compact"/>
              <w:jc w:val="left"/>
            </w:pPr>
            <w:r>
              <w:t xml:space="preserve">Pediatrics</w:t>
            </w:r>
          </w:p>
        </w:tc>
        <w:tc>
          <w:tcPr/>
          <w:p>
            <w:pPr>
              <w:pStyle w:val="Compact"/>
              <w:jc w:val="left"/>
            </w:pPr>
            <w:r>
              <w:t xml:space="preserve">Journal</w:t>
            </w:r>
          </w:p>
        </w:tc>
        <w:tc>
          <w:tcPr/>
          <w:p>
            <w:pPr>
              <w:pStyle w:val="Compact"/>
              <w:jc w:val="left"/>
            </w:pPr>
            <w:r>
              <w:t xml:space="preserve">S8</w:t>
            </w:r>
          </w:p>
        </w:tc>
      </w:tr>
      <w:tr>
        <w:trPr>
          <w:cantSplit/>
        </w:trPr>
        <w:tc>
          <w:tcPr/>
          <w:p>
            <w:pPr>
              <w:pStyle w:val="Compact"/>
              <w:jc w:val="left"/>
            </w:pPr>
            <w:r>
              <w:t xml:space="preserve">26</w:t>
            </w:r>
          </w:p>
        </w:tc>
        <w:tc>
          <w:tcPr/>
          <w:p>
            <w:pPr>
              <w:pStyle w:val="Compact"/>
              <w:jc w:val="left"/>
            </w:pPr>
            <w:r>
              <w:t xml:space="preserve">IFIP International Conference on Distributed Applications and Interoperable Systems (DAIS)</w:t>
            </w:r>
          </w:p>
        </w:tc>
        <w:tc>
          <w:tcPr/>
          <w:p>
            <w:pPr>
              <w:pStyle w:val="Compact"/>
              <w:jc w:val="left"/>
            </w:pPr>
            <w:r>
              <w:t xml:space="preserve">Conference</w:t>
            </w:r>
          </w:p>
        </w:tc>
        <w:tc>
          <w:tcPr/>
          <w:p>
            <w:pPr>
              <w:pStyle w:val="Compact"/>
              <w:jc w:val="left"/>
            </w:pPr>
            <w:r>
              <w:t xml:space="preserve">S28</w:t>
            </w:r>
          </w:p>
        </w:tc>
      </w:tr>
    </w:tbl>
    <w:bookmarkEnd w:id="26"/>
    <w:bookmarkStart w:id="27" w:name="X87f2157b1356acc42089dadf522cb794d6b8b71"/>
    <w:p>
      <w:pPr>
        <w:pStyle w:val="Heading3"/>
      </w:pPr>
      <w:r>
        <w:t xml:space="preserve"> </w:t>
      </w:r>
      <w:r>
        <w:t xml:space="preserve">2.3.4</w:t>
      </w:r>
      <w:r>
        <w:t xml:space="preserve"> </w:t>
      </w:r>
      <w:r>
        <w:t xml:space="preserve"> </w:t>
      </w:r>
      <w:r>
        <w:t xml:space="preserve">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t xml:space="preserve">Consistent with exclusion criterion 6, four studies from outside the healthcare domain were retained because the mechanism they contribute transfers directly to healthcare authorisation: decentralised trust in multi-stakeholder data sharing [6], DID/VC-based privacy-preserving authentication [27], and decentralised identity and access control for constrained devices [15, 16]. Five records that had initially been included were removed at the full-text stage. Four fall outside the review scope because their subject matter is not healthcare data sharing, consent, identity or access control: decentralised archival evidence management for human-rights documentation (Hellstern et al., 2022), TEE-enabled sensing for smart agriculture (Li et al., 2026), an information-theoretic analysis of ledger immutability (Li, Liu and Shrestha, 2026) and environmental data sharing in smart cities (Turan et al., 2025). The fifth, a paper attributed to McCall (2024), could not be located in IEEE Xplore, Scopus, Web of Science or Crossref and was therefore removed as unverifiable. These five records are counted among the nine scope-mismatch exclusions in Figure 2.2, which reduces the included set from 33 to 28 studies. 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 as permitted in Section 2.3.3.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odyText"/>
      </w:pPr>
      <w:r>
        <w:t xml:space="preserve">The stages of evaluating and selecting the relevant papers for the SLR are summarised in Table 2.2.</w:t>
      </w:r>
    </w:p>
    <w:p>
      <w:pPr>
        <w:pStyle w:val="TableCaption"/>
      </w:pPr>
      <w: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371"/>
        <w:gridCol w:w="2598"/>
        <w:gridCol w:w="3836"/>
        <w:gridCol w:w="1113"/>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Stage</w:t>
            </w:r>
          </w:p>
        </w:tc>
        <w:tc>
          <w:tcPr>
            <w:tcBorders>
              <w:bottom w:val="single" w:sz="8" w:space="0" w:color="000000"/>
            </w:tcBorders>
            <w:shd w:val="clear" w:color="auto" w:fill="E7E6E6"/>
            <w:vAlign w:val="center"/>
          </w:tcPr>
          <w:p>
            <w:pPr>
              <w:pStyle w:val="Compact"/>
              <w:jc w:val="left"/>
            </w:pPr>
            <w:r>
              <w:rPr>
                <w:b/>
                <w:bCs/>
              </w:rPr>
              <w:t xml:space="preserve">Method</w:t>
            </w:r>
          </w:p>
        </w:tc>
        <w:tc>
          <w:tcPr>
            <w:tcBorders>
              <w:bottom w:val="single" w:sz="8" w:space="0" w:color="000000"/>
            </w:tcBorders>
            <w:shd w:val="clear" w:color="auto" w:fill="E7E6E6"/>
            <w:vAlign w:val="center"/>
          </w:tcPr>
          <w:p>
            <w:pPr>
              <w:pStyle w:val="Compact"/>
              <w:jc w:val="left"/>
            </w:pPr>
            <w:r>
              <w:rPr>
                <w:b/>
                <w:bCs/>
              </w:rPr>
              <w:t xml:space="preserve">Assessment criterion</w:t>
            </w:r>
          </w:p>
        </w:tc>
        <w:tc>
          <w:tcPr>
            <w:tcBorders>
              <w:bottom w:val="single" w:sz="8" w:space="0" w:color="000000"/>
            </w:tcBorders>
            <w:shd w:val="clear" w:color="auto" w:fill="E7E6E6"/>
            <w:vAlign w:val="center"/>
          </w:tcPr>
          <w:p>
            <w:pPr>
              <w:pStyle w:val="Compact"/>
              <w:jc w:val="left"/>
            </w:pPr>
            <w:r>
              <w:rPr>
                <w:b/>
                <w:bCs/>
              </w:rPr>
              <w:t xml:space="preserve">Records</w:t>
            </w:r>
          </w:p>
        </w:tc>
      </w:tr>
      <w:tr>
        <w:trPr>
          <w:cantSplit/>
        </w:trPr>
        <w:tc>
          <w:tcPr/>
          <w:p>
            <w:pPr>
              <w:pStyle w:val="Compact"/>
              <w:jc w:val="left"/>
            </w:pPr>
            <w:r>
              <w:t xml:space="preserve">1st</w:t>
            </w:r>
          </w:p>
        </w:tc>
        <w:tc>
          <w:tcPr/>
          <w:p>
            <w:pPr>
              <w:pStyle w:val="Compact"/>
              <w:jc w:val="left"/>
            </w:pPr>
            <w:r>
              <w:t xml:space="preserve">Identify the related records in the seven databases</w:t>
            </w:r>
          </w:p>
        </w:tc>
        <w:tc>
          <w:tcPr/>
          <w:p>
            <w:pPr>
              <w:pStyle w:val="Compact"/>
              <w:jc w:val="left"/>
            </w:pPr>
            <w:r>
              <w:t xml:space="preserve">Search string of Figure 2.1; publication year 2022–2026; English</w:t>
            </w:r>
          </w:p>
        </w:tc>
        <w:tc>
          <w:tcPr/>
          <w:p>
            <w:pPr>
              <w:pStyle w:val="Compact"/>
              <w:jc w:val="left"/>
            </w:pPr>
            <w:r>
              <w:t xml:space="preserve">125 identified</w:t>
            </w:r>
          </w:p>
        </w:tc>
      </w:tr>
      <w:tr>
        <w:trPr>
          <w:cantSplit/>
        </w:trPr>
        <w:tc>
          <w:tcPr/>
          <w:p>
            <w:pPr>
              <w:pStyle w:val="Compact"/>
              <w:jc w:val="left"/>
            </w:pPr>
            <w:r>
              <w:t xml:space="preserve">2nd</w:t>
            </w:r>
          </w:p>
        </w:tc>
        <w:tc>
          <w:tcPr/>
          <w:p>
            <w:pPr>
              <w:pStyle w:val="Compact"/>
              <w:jc w:val="left"/>
            </w:pPr>
            <w:r>
              <w:t xml:space="preserve">Remove duplicates and records flagged by automation tools</w:t>
            </w:r>
          </w:p>
        </w:tc>
        <w:tc>
          <w:tcPr/>
          <w:p>
            <w:pPr>
              <w:pStyle w:val="Compact"/>
              <w:jc w:val="left"/>
            </w:pPr>
            <w:r>
              <w:t xml:space="preserve">Same DOI, title and authors; automation tools mark the record ineligible</w:t>
            </w:r>
          </w:p>
        </w:tc>
        <w:tc>
          <w:tcPr/>
          <w:p>
            <w:pPr>
              <w:pStyle w:val="Compact"/>
              <w:jc w:val="left"/>
            </w:pPr>
            <w:r>
              <w:t xml:space="preserve">42 removed; 83 screened</w:t>
            </w:r>
          </w:p>
        </w:tc>
      </w:tr>
      <w:tr>
        <w:trPr>
          <w:cantSplit/>
        </w:trPr>
        <w:tc>
          <w:tcPr/>
          <w:p>
            <w:pPr>
              <w:pStyle w:val="Compact"/>
              <w:jc w:val="left"/>
            </w:pPr>
            <w:r>
              <w:t xml:space="preserve">3rd</w:t>
            </w:r>
          </w:p>
        </w:tc>
        <w:tc>
          <w:tcPr/>
          <w:p>
            <w:pPr>
              <w:pStyle w:val="Compact"/>
              <w:jc w:val="left"/>
            </w:pPr>
            <w:r>
              <w:t xml:space="preserve">Screen titles and abstracts</w:t>
            </w:r>
          </w:p>
        </w:tc>
        <w:tc>
          <w:tcPr/>
          <w:p>
            <w:pPr>
              <w:pStyle w:val="Compact"/>
              <w:jc w:val="left"/>
            </w:pPr>
            <w:r>
              <w:t xml:space="preserve">Exclude if unrelated to healthcare data sharing, consent, identity or access control</w:t>
            </w:r>
          </w:p>
        </w:tc>
        <w:tc>
          <w:tcPr/>
          <w:p>
            <w:pPr>
              <w:pStyle w:val="Compact"/>
              <w:jc w:val="left"/>
            </w:pPr>
            <w:r>
              <w:t xml:space="preserve">40 excluded; 43 sought</w:t>
            </w:r>
          </w:p>
        </w:tc>
      </w:tr>
      <w:tr>
        <w:trPr>
          <w:cantSplit/>
        </w:trPr>
        <w:tc>
          <w:tcPr/>
          <w:p>
            <w:pPr>
              <w:pStyle w:val="Compact"/>
              <w:jc w:val="left"/>
            </w:pPr>
            <w:r>
              <w:t xml:space="preserve">4th</w:t>
            </w:r>
          </w:p>
        </w:tc>
        <w:tc>
          <w:tcPr/>
          <w:p>
            <w:pPr>
              <w:pStyle w:val="Compact"/>
              <w:jc w:val="left"/>
            </w:pPr>
            <w:r>
              <w:t xml:space="preserve">Retrieve the full text</w:t>
            </w:r>
          </w:p>
        </w:tc>
        <w:tc>
          <w:tcPr/>
          <w:p>
            <w:pPr>
              <w:pStyle w:val="Compact"/>
              <w:jc w:val="left"/>
            </w:pPr>
            <w:r>
              <w:t xml:space="preserve">Exclude if the full text is inaccessible</w:t>
            </w:r>
          </w:p>
        </w:tc>
        <w:tc>
          <w:tcPr/>
          <w:p>
            <w:pPr>
              <w:pStyle w:val="Compact"/>
              <w:jc w:val="left"/>
            </w:pPr>
            <w:r>
              <w:t xml:space="preserve">3 not retrieved; 40 assessed</w:t>
            </w:r>
          </w:p>
        </w:tc>
      </w:tr>
      <w:tr>
        <w:trPr>
          <w:cantSplit/>
        </w:trPr>
        <w:tc>
          <w:tcPr/>
          <w:p>
            <w:pPr>
              <w:pStyle w:val="Compact"/>
              <w:jc w:val="left"/>
            </w:pPr>
            <w:r>
              <w:t xml:space="preserve">5th</w:t>
            </w:r>
          </w:p>
        </w:tc>
        <w:tc>
          <w:tcPr/>
          <w:p>
            <w:pPr>
              <w:pStyle w:val="Compact"/>
              <w:jc w:val="left"/>
            </w:pPr>
            <w:r>
              <w:t xml:space="preserve">Assess the full text against the inclusion and exclusion criteria and the quality criteria QA1–QA5</w:t>
            </w:r>
          </w:p>
        </w:tc>
        <w:tc>
          <w:tcPr/>
          <w:p>
            <w:pPr>
              <w:pStyle w:val="Compact"/>
              <w:jc w:val="left"/>
            </w:pPr>
            <w:r>
              <w:t xml:space="preserve">Exclude if technical or architectural detail is insufficient (score below 2.5), or if the subject matter is outside the review scope</w:t>
            </w:r>
          </w:p>
        </w:tc>
        <w:tc>
          <w:tcPr/>
          <w:p>
            <w:pPr>
              <w:pStyle w:val="Compact"/>
              <w:jc w:val="left"/>
            </w:pPr>
            <w:r>
              <w:t xml:space="preserve">12 excluded; 28 included</w:t>
            </w:r>
          </w:p>
        </w:tc>
      </w:tr>
    </w:tbl>
    <w:bookmarkEnd w:id="27"/>
    <w:bookmarkStart w:id="31" w:name="Xd7a82ff4baa7a69a0bd33db9f9a267ef3c07ad5"/>
    <w:p>
      <w:pPr>
        <w:pStyle w:val="Heading3"/>
      </w:pPr>
      <w:r>
        <w:t xml:space="preserve"> </w:t>
      </w:r>
      <w:r>
        <w:t xml:space="preserve">2.3.5</w:t>
      </w:r>
      <w:r>
        <w:t xml:space="preserve"> </w:t>
      </w:r>
      <w:r>
        <w:t xml:space="preserve"> </w:t>
      </w:r>
      <w:r>
        <w:t xml:space="preserve">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BodyText"/>
      </w:pPr>
      <w:r>
        <w:drawing>
          <wp:inline>
            <wp:extent cx="5486400" cy="2841171"/>
            <wp:effectExtent b="0" l="0" r="0" t="0"/>
            <wp:docPr descr="Figure 2.2: PRISMA study selection summary" title="" id="29" name="Picture"/>
            <a:graphic>
              <a:graphicData uri="http://schemas.openxmlformats.org/drawingml/2006/picture">
                <pic:pic>
                  <pic:nvPicPr>
                    <pic:cNvPr descr="media_col/fig02_v2.png" id="30" name="Picture"/>
                    <pic:cNvPicPr>
                      <a:picLocks noChangeArrowheads="1" noChangeAspect="1"/>
                    </pic:cNvPicPr>
                  </pic:nvPicPr>
                  <pic:blipFill>
                    <a:blip r:embed="rId28"/>
                    <a:stretch>
                      <a:fillRect/>
                    </a:stretch>
                  </pic:blipFill>
                  <pic:spPr bwMode="auto">
                    <a:xfrm>
                      <a:off x="0" y="0"/>
                      <a:ext cx="5486400" cy="2841171"/>
                    </a:xfrm>
                    <a:prstGeom prst="rect">
                      <a:avLst/>
                    </a:prstGeom>
                    <a:noFill/>
                    <a:ln w="9525">
                      <a:noFill/>
                      <a:headEnd/>
                      <a:tailEnd/>
                    </a:ln>
                  </pic:spPr>
                </pic:pic>
              </a:graphicData>
            </a:graphic>
          </wp:inline>
        </w:drawing>
      </w:r>
    </w:p>
    <w:p>
      <w:pPr>
        <w:pStyle w:val="BodyText"/>
      </w:pPr>
      <w:r>
        <w:t xml:space="preserve">Figure 2.2 presents the PRISMA flow diagram for this review, prepared following PRISMA 2020 [37], which summarises the identification, screening, eligibility, and inclusion stages of the SLR. The final number of included studies (n = 28) was derived after completing the screening, eligibility and quality assessment across the identified literature base.</w:t>
      </w:r>
    </w:p>
    <w:p>
      <w:pPr>
        <w:pStyle w:val="BodyText"/>
      </w:pPr>
      <w:r>
        <w:rPr>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 (n = 3; Figure 2.2). The 125 records identified comprised IEEE Xplore [n], ACM Digital Library [n], ScienceDirect [n], SpringerLink [n], PubMed [n], Scopus [n] and Web of Science [n].</w:t>
      </w:r>
    </w:p>
    <w:bookmarkEnd w:id="31"/>
    <w:bookmarkStart w:id="32" w:name="X25280fe26ef60600cfdb60dc4ea4fc7d14be763"/>
    <w:p>
      <w:pPr>
        <w:pStyle w:val="Heading3"/>
      </w:pPr>
      <w:r>
        <w:t xml:space="preserve"> </w:t>
      </w:r>
      <w:r>
        <w:t xml:space="preserve">2.3.6</w:t>
      </w:r>
      <w:r>
        <w:t xml:space="preserve"> </w:t>
      </w:r>
      <w:r>
        <w:t xml:space="preserve"> </w:t>
      </w:r>
      <w:r>
        <w:t xml:space="preserve">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BodyText"/>
      </w:pPr>
      <w: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28 included studies with their identifiers S1–S28, which are used throughout the remainder of the chapter. The papers in each area are summarised in the next section and their issues and limitations with respect to the key requirements of Section 2.2 are discussed.</w:t>
      </w:r>
    </w:p>
    <w:p>
      <w:pPr>
        <w:pStyle w:val="TableCaption"/>
      </w:pPr>
      <w: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766"/>
        <w:gridCol w:w="1660"/>
        <w:gridCol w:w="3704"/>
        <w:gridCol w:w="178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Author(s), year</w:t>
            </w:r>
          </w:p>
        </w:tc>
        <w:tc>
          <w:tcPr>
            <w:tcBorders>
              <w:bottom w:val="single" w:sz="8" w:space="0" w:color="000000"/>
            </w:tcBorders>
            <w:shd w:val="clear" w:color="auto" w:fill="E7E6E6"/>
            <w:vAlign w:val="center"/>
          </w:tcPr>
          <w:p>
            <w:pPr>
              <w:pStyle w:val="Compact"/>
              <w:jc w:val="left"/>
            </w:pPr>
            <w:r>
              <w:rPr>
                <w:b/>
                <w:bCs/>
              </w:rPr>
              <w:t xml:space="preserve">Topic</w:t>
            </w:r>
          </w:p>
        </w:tc>
        <w:tc>
          <w:tcPr>
            <w:tcBorders>
              <w:bottom w:val="single" w:sz="8" w:space="0" w:color="000000"/>
            </w:tcBorders>
            <w:shd w:val="clear" w:color="auto" w:fill="E7E6E6"/>
            <w:vAlign w:val="center"/>
          </w:tcPr>
          <w:p>
            <w:pPr>
              <w:pStyle w:val="Compact"/>
              <w:jc w:val="left"/>
            </w:pPr>
            <w:r>
              <w:rPr>
                <w:b/>
                <w:bCs/>
              </w:rPr>
              <w:t xml:space="preserve">Category</w:t>
            </w:r>
          </w:p>
        </w:tc>
      </w:tr>
      <w:tr>
        <w:trPr>
          <w:cantSplit/>
        </w:trPr>
        <w:tc>
          <w:tcPr/>
          <w:p>
            <w:pPr>
              <w:pStyle w:val="Compact"/>
              <w:jc w:val="left"/>
            </w:pPr>
            <w:r>
              <w:t xml:space="preserve">S1</w:t>
            </w:r>
          </w:p>
        </w:tc>
        <w:tc>
          <w:tcPr/>
          <w:p>
            <w:pPr>
              <w:pStyle w:val="Compact"/>
              <w:jc w:val="left"/>
            </w:pPr>
            <w:r>
              <w:t xml:space="preserve">Ibrahim et al., 2024 [9]</w:t>
            </w:r>
          </w:p>
        </w:tc>
        <w:tc>
          <w:tcPr/>
          <w:p>
            <w:pPr>
              <w:pStyle w:val="Compact"/>
              <w:jc w:val="left"/>
            </w:pPr>
            <w:r>
              <w:t xml:space="preserve">Balancing confidentiality and care coordination: challenges in patient privacy</w:t>
            </w:r>
          </w:p>
        </w:tc>
        <w:tc>
          <w:tcPr/>
          <w:p>
            <w:pPr>
              <w:pStyle w:val="Compact"/>
              <w:jc w:val="left"/>
            </w:pPr>
            <w:r>
              <w:t xml:space="preserve">Healthcare consent and privacy governance</w:t>
            </w:r>
          </w:p>
        </w:tc>
      </w:tr>
      <w:tr>
        <w:trPr>
          <w:cantSplit/>
        </w:trPr>
        <w:tc>
          <w:tcPr/>
          <w:p>
            <w:pPr>
              <w:pStyle w:val="Compact"/>
              <w:jc w:val="left"/>
            </w:pPr>
            <w:r>
              <w:t xml:space="preserve">S2</w:t>
            </w:r>
          </w:p>
        </w:tc>
        <w:tc>
          <w:tcPr/>
          <w:p>
            <w:pPr>
              <w:pStyle w:val="Compact"/>
              <w:jc w:val="left"/>
            </w:pPr>
            <w:r>
              <w:t xml:space="preserve">Jesus and Pandit, 2022 [10]</w:t>
            </w:r>
          </w:p>
        </w:tc>
        <w:tc>
          <w:tcPr/>
          <w:p>
            <w:pPr>
              <w:pStyle w:val="Compact"/>
              <w:jc w:val="left"/>
            </w:pPr>
            <w:r>
              <w:t xml:space="preserve">Consent receipts for a usable and auditable web of personal data</w:t>
            </w:r>
          </w:p>
        </w:tc>
        <w:tc>
          <w:tcPr/>
          <w:p>
            <w:pPr>
              <w:pStyle w:val="Compact"/>
              <w:jc w:val="left"/>
            </w:pPr>
            <w:r>
              <w:t xml:space="preserve">Healthcare consent and privacy governance</w:t>
            </w:r>
          </w:p>
        </w:tc>
      </w:tr>
      <w:tr>
        <w:trPr>
          <w:cantSplit/>
        </w:trPr>
        <w:tc>
          <w:tcPr/>
          <w:p>
            <w:pPr>
              <w:pStyle w:val="Compact"/>
              <w:jc w:val="left"/>
            </w:pPr>
            <w:r>
              <w:t xml:space="preserve">S3</w:t>
            </w:r>
          </w:p>
        </w:tc>
        <w:tc>
          <w:tcPr/>
          <w:p>
            <w:pPr>
              <w:pStyle w:val="Compact"/>
              <w:jc w:val="left"/>
            </w:pPr>
            <w:r>
              <w:t xml:space="preserve">Kaplow et al., 2024 [12]</w:t>
            </w:r>
          </w:p>
        </w:tc>
        <w:tc>
          <w:tcPr/>
          <w:p>
            <w:pPr>
              <w:pStyle w:val="Compact"/>
              <w:jc w:val="left"/>
            </w:pPr>
            <w:r>
              <w:t xml:space="preserve">Data professionals’ attitudes on data privacy, sharing, and consent in healthcare and research</w:t>
            </w:r>
          </w:p>
        </w:tc>
        <w:tc>
          <w:tcPr/>
          <w:p>
            <w:pPr>
              <w:pStyle w:val="Compact"/>
              <w:jc w:val="left"/>
            </w:pPr>
            <w:r>
              <w:t xml:space="preserve">Healthcare consent and privacy governance</w:t>
            </w:r>
          </w:p>
        </w:tc>
      </w:tr>
      <w:tr>
        <w:trPr>
          <w:cantSplit/>
        </w:trPr>
        <w:tc>
          <w:tcPr/>
          <w:p>
            <w:pPr>
              <w:pStyle w:val="Compact"/>
              <w:jc w:val="left"/>
            </w:pPr>
            <w:r>
              <w:t xml:space="preserve">S4</w:t>
            </w:r>
          </w:p>
        </w:tc>
        <w:tc>
          <w:tcPr/>
          <w:p>
            <w:pPr>
              <w:pStyle w:val="Compact"/>
              <w:jc w:val="left"/>
            </w:pPr>
            <w:r>
              <w:t xml:space="preserve">Khalid et al., 2023 [13]</w:t>
            </w:r>
          </w:p>
        </w:tc>
        <w:tc>
          <w:tcPr/>
          <w:p>
            <w:pPr>
              <w:pStyle w:val="Compact"/>
              <w:jc w:val="left"/>
            </w:pPr>
            <w:r>
              <w:t xml:space="preserve">Privacy-first paradigm for dynamic consent management systems</w:t>
            </w:r>
          </w:p>
        </w:tc>
        <w:tc>
          <w:tcPr/>
          <w:p>
            <w:pPr>
              <w:pStyle w:val="Compact"/>
              <w:jc w:val="left"/>
            </w:pPr>
            <w:r>
              <w:t xml:space="preserve">Healthcare consent and privacy governance</w:t>
            </w:r>
          </w:p>
        </w:tc>
      </w:tr>
      <w:tr>
        <w:trPr>
          <w:cantSplit/>
        </w:trPr>
        <w:tc>
          <w:tcPr/>
          <w:p>
            <w:pPr>
              <w:pStyle w:val="Compact"/>
              <w:jc w:val="left"/>
            </w:pPr>
            <w:r>
              <w:t xml:space="preserve">S5</w:t>
            </w:r>
          </w:p>
        </w:tc>
        <w:tc>
          <w:tcPr/>
          <w:p>
            <w:pPr>
              <w:pStyle w:val="Compact"/>
              <w:jc w:val="left"/>
            </w:pPr>
            <w:r>
              <w:t xml:space="preserve">Kharlamov et al., 2023 [14]</w:t>
            </w:r>
          </w:p>
        </w:tc>
        <w:tc>
          <w:tcPr/>
          <w:p>
            <w:pPr>
              <w:pStyle w:val="Compact"/>
              <w:jc w:val="left"/>
            </w:pPr>
            <w:r>
              <w:t xml:space="preserve">Data sharing decisions: perceptions and intentions in healthcare</w:t>
            </w:r>
          </w:p>
        </w:tc>
        <w:tc>
          <w:tcPr/>
          <w:p>
            <w:pPr>
              <w:pStyle w:val="Compact"/>
              <w:jc w:val="left"/>
            </w:pPr>
            <w:r>
              <w:t xml:space="preserve">Healthcare consent and privacy governance</w:t>
            </w:r>
          </w:p>
        </w:tc>
      </w:tr>
      <w:tr>
        <w:trPr>
          <w:cantSplit/>
        </w:trPr>
        <w:tc>
          <w:tcPr/>
          <w:p>
            <w:pPr>
              <w:pStyle w:val="Compact"/>
              <w:jc w:val="left"/>
            </w:pPr>
            <w:r>
              <w:t xml:space="preserve">S6</w:t>
            </w:r>
          </w:p>
        </w:tc>
        <w:tc>
          <w:tcPr/>
          <w:p>
            <w:pPr>
              <w:pStyle w:val="Compact"/>
              <w:jc w:val="left"/>
            </w:pPr>
            <w:r>
              <w:t xml:space="preserve">McClelland and Harper, 2022 [22]</w:t>
            </w:r>
          </w:p>
        </w:tc>
        <w:tc>
          <w:tcPr/>
          <w:p>
            <w:pPr>
              <w:pStyle w:val="Compact"/>
              <w:jc w:val="left"/>
            </w:pPr>
            <w:r>
              <w:t xml:space="preserve">Information privacy in healthcare – the vital role of informed consent</w:t>
            </w:r>
          </w:p>
        </w:tc>
        <w:tc>
          <w:tcPr/>
          <w:p>
            <w:pPr>
              <w:pStyle w:val="Compact"/>
              <w:jc w:val="left"/>
            </w:pPr>
            <w:r>
              <w:t xml:space="preserve">Healthcare consent and privacy governance</w:t>
            </w:r>
          </w:p>
        </w:tc>
      </w:tr>
      <w:tr>
        <w:trPr>
          <w:cantSplit/>
        </w:trPr>
        <w:tc>
          <w:tcPr/>
          <w:p>
            <w:pPr>
              <w:pStyle w:val="Compact"/>
              <w:jc w:val="left"/>
            </w:pPr>
            <w:r>
              <w:t xml:space="preserve">S7</w:t>
            </w:r>
          </w:p>
        </w:tc>
        <w:tc>
          <w:tcPr/>
          <w:p>
            <w:pPr>
              <w:pStyle w:val="Compact"/>
              <w:jc w:val="left"/>
            </w:pPr>
            <w:r>
              <w:t xml:space="preserve">Narkhede et al., 2025 [24]</w:t>
            </w:r>
          </w:p>
        </w:tc>
        <w:tc>
          <w:tcPr/>
          <w:p>
            <w:pPr>
              <w:pStyle w:val="Compact"/>
              <w:jc w:val="left"/>
            </w:pPr>
            <w:r>
              <w:t xml:space="preserve">Enhancing patient autonomy in data ownership: privacy models and consent frameworks</w:t>
            </w:r>
          </w:p>
        </w:tc>
        <w:tc>
          <w:tcPr/>
          <w:p>
            <w:pPr>
              <w:pStyle w:val="Compact"/>
              <w:jc w:val="left"/>
            </w:pPr>
            <w:r>
              <w:t xml:space="preserve">Healthcare consent and privacy governance</w:t>
            </w:r>
          </w:p>
        </w:tc>
      </w:tr>
      <w:tr>
        <w:trPr>
          <w:cantSplit/>
        </w:trPr>
        <w:tc>
          <w:tcPr/>
          <w:p>
            <w:pPr>
              <w:pStyle w:val="Compact"/>
              <w:jc w:val="left"/>
            </w:pPr>
            <w:r>
              <w:t xml:space="preserve">S8</w:t>
            </w:r>
          </w:p>
        </w:tc>
        <w:tc>
          <w:tcPr/>
          <w:p>
            <w:pPr>
              <w:pStyle w:val="Compact"/>
              <w:jc w:val="left"/>
            </w:pPr>
            <w:r>
              <w:t xml:space="preserve">Webber et al., 2019 [31]</w:t>
            </w:r>
          </w:p>
        </w:tc>
        <w:tc>
          <w:tcPr/>
          <w:p>
            <w:pPr>
              <w:pStyle w:val="Compact"/>
              <w:jc w:val="left"/>
            </w:pPr>
            <w:r>
              <w:t xml:space="preserve">Electronic communication of the health record with paediatric patients and their guardians</w:t>
            </w:r>
          </w:p>
        </w:tc>
        <w:tc>
          <w:tcPr/>
          <w:p>
            <w:pPr>
              <w:pStyle w:val="Compact"/>
              <w:jc w:val="left"/>
            </w:pPr>
            <w:r>
              <w:t xml:space="preserve">Healthcare consent and privacy governance</w:t>
            </w:r>
          </w:p>
        </w:tc>
      </w:tr>
      <w:tr>
        <w:trPr>
          <w:cantSplit/>
        </w:trPr>
        <w:tc>
          <w:tcPr/>
          <w:p>
            <w:pPr>
              <w:pStyle w:val="Compact"/>
              <w:jc w:val="left"/>
            </w:pPr>
            <w:r>
              <w:t xml:space="preserve">S9</w:t>
            </w:r>
          </w:p>
        </w:tc>
        <w:tc>
          <w:tcPr/>
          <w:p>
            <w:pPr>
              <w:pStyle w:val="Compact"/>
              <w:jc w:val="left"/>
            </w:pPr>
            <w:r>
              <w:t xml:space="preserve">Al Mamun et al., 2022 [1]</w:t>
            </w:r>
          </w:p>
        </w:tc>
        <w:tc>
          <w:tcPr/>
          <w:p>
            <w:pPr>
              <w:pStyle w:val="Compact"/>
              <w:jc w:val="left"/>
            </w:pPr>
            <w:r>
              <w:t xml:space="preserve">Blockchain-based electronic health records management: a comprehensive review</w:t>
            </w:r>
          </w:p>
        </w:tc>
        <w:tc>
          <w:tcPr/>
          <w:p>
            <w:pPr>
              <w:pStyle w:val="Compact"/>
              <w:jc w:val="left"/>
            </w:pPr>
            <w:r>
              <w:t xml:space="preserve">Blockchain-based healthcare data governance</w:t>
            </w:r>
          </w:p>
        </w:tc>
      </w:tr>
      <w:tr>
        <w:trPr>
          <w:cantSplit/>
        </w:trPr>
        <w:tc>
          <w:tcPr/>
          <w:p>
            <w:pPr>
              <w:pStyle w:val="Compact"/>
              <w:jc w:val="left"/>
            </w:pPr>
            <w:r>
              <w:t xml:space="preserve">S10</w:t>
            </w:r>
          </w:p>
        </w:tc>
        <w:tc>
          <w:tcPr/>
          <w:p>
            <w:pPr>
              <w:pStyle w:val="Compact"/>
              <w:jc w:val="left"/>
            </w:pPr>
            <w:r>
              <w:t xml:space="preserve">Andrew et al., 2023 [2]</w:t>
            </w:r>
          </w:p>
        </w:tc>
        <w:tc>
          <w:tcPr/>
          <w:p>
            <w:pPr>
              <w:pStyle w:val="Compact"/>
              <w:jc w:val="left"/>
            </w:pPr>
            <w:r>
              <w:t xml:space="preserve">Blockchain for healthcare systems: architecture, security challenges, trends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S11</w:t>
            </w:r>
          </w:p>
        </w:tc>
        <w:tc>
          <w:tcPr/>
          <w:p>
            <w:pPr>
              <w:pStyle w:val="Compact"/>
              <w:jc w:val="left"/>
            </w:pPr>
            <w:r>
              <w:t xml:space="preserve">Arbabi et al., 2023 [3]</w:t>
            </w:r>
          </w:p>
        </w:tc>
        <w:tc>
          <w:tcPr/>
          <w:p>
            <w:pPr>
              <w:pStyle w:val="Compact"/>
              <w:jc w:val="left"/>
            </w:pPr>
            <w:r>
              <w:t xml:space="preserve">A survey on blockchain for healthcare: challenges, benefits, and future directions</w:t>
            </w:r>
          </w:p>
        </w:tc>
        <w:tc>
          <w:tcPr/>
          <w:p>
            <w:pPr>
              <w:pStyle w:val="Compact"/>
              <w:jc w:val="left"/>
            </w:pPr>
            <w:r>
              <w:t xml:space="preserve">Blockchain-based healthcare data governance</w:t>
            </w:r>
          </w:p>
        </w:tc>
      </w:tr>
      <w:tr>
        <w:trPr>
          <w:cantSplit/>
        </w:trPr>
        <w:tc>
          <w:tcPr/>
          <w:p>
            <w:pPr>
              <w:pStyle w:val="Compact"/>
              <w:jc w:val="left"/>
            </w:pPr>
            <w:r>
              <w:t xml:space="preserve">S12</w:t>
            </w:r>
          </w:p>
        </w:tc>
        <w:tc>
          <w:tcPr/>
          <w:p>
            <w:pPr>
              <w:pStyle w:val="Compact"/>
              <w:jc w:val="left"/>
            </w:pPr>
            <w:r>
              <w:t xml:space="preserve">Ghosh et al., 2023 [7]</w:t>
            </w:r>
          </w:p>
        </w:tc>
        <w:tc>
          <w:tcPr/>
          <w:p>
            <w:pPr>
              <w:pStyle w:val="Compact"/>
              <w:jc w:val="left"/>
            </w:pPr>
            <w:r>
              <w:t xml:space="preserve">Blockchain application in healthcare systems: a review</w:t>
            </w:r>
          </w:p>
        </w:tc>
        <w:tc>
          <w:tcPr/>
          <w:p>
            <w:pPr>
              <w:pStyle w:val="Compact"/>
              <w:jc w:val="left"/>
            </w:pPr>
            <w:r>
              <w:t xml:space="preserve">Blockchain-based healthcare data governance</w:t>
            </w:r>
          </w:p>
        </w:tc>
      </w:tr>
      <w:tr>
        <w:trPr>
          <w:cantSplit/>
        </w:trPr>
        <w:tc>
          <w:tcPr/>
          <w:p>
            <w:pPr>
              <w:pStyle w:val="Compact"/>
              <w:jc w:val="left"/>
            </w:pPr>
            <w:r>
              <w:t xml:space="preserve">S13</w:t>
            </w:r>
          </w:p>
        </w:tc>
        <w:tc>
          <w:tcPr/>
          <w:p>
            <w:pPr>
              <w:pStyle w:val="Compact"/>
              <w:jc w:val="left"/>
            </w:pPr>
            <w:r>
              <w:t xml:space="preserve">Nguyen et al., 2025 [26]</w:t>
            </w:r>
          </w:p>
        </w:tc>
        <w:tc>
          <w:tcPr/>
          <w:p>
            <w:pPr>
              <w:pStyle w:val="Compact"/>
              <w:jc w:val="left"/>
            </w:pPr>
            <w:r>
              <w:t xml:space="preserve">Blockchain-empowered trustworthy data sharing: fundamentals, applications, and challenges</w:t>
            </w:r>
          </w:p>
        </w:tc>
        <w:tc>
          <w:tcPr/>
          <w:p>
            <w:pPr>
              <w:pStyle w:val="Compact"/>
              <w:jc w:val="left"/>
            </w:pPr>
            <w:r>
              <w:t xml:space="preserve">Blockchain-based healthcare data governance</w:t>
            </w:r>
          </w:p>
        </w:tc>
      </w:tr>
      <w:tr>
        <w:trPr>
          <w:cantSplit/>
        </w:trPr>
        <w:tc>
          <w:tcPr/>
          <w:p>
            <w:pPr>
              <w:pStyle w:val="Compact"/>
              <w:jc w:val="left"/>
            </w:pPr>
            <w:r>
              <w:t xml:space="preserve">S14</w:t>
            </w:r>
          </w:p>
        </w:tc>
        <w:tc>
          <w:tcPr/>
          <w:p>
            <w:pPr>
              <w:pStyle w:val="Compact"/>
              <w:jc w:val="left"/>
            </w:pPr>
            <w:r>
              <w:t xml:space="preserve">Theodorakopoulos et al., 2024 [29]</w:t>
            </w:r>
          </w:p>
        </w:tc>
        <w:tc>
          <w:tcPr/>
          <w:p>
            <w:pPr>
              <w:pStyle w:val="Compact"/>
              <w:jc w:val="left"/>
            </w:pPr>
            <w:r>
              <w:t xml:space="preserve">Enhancing decentralised decision-making with big data and blockchain technology</w:t>
            </w:r>
          </w:p>
        </w:tc>
        <w:tc>
          <w:tcPr/>
          <w:p>
            <w:pPr>
              <w:pStyle w:val="Compact"/>
              <w:jc w:val="left"/>
            </w:pPr>
            <w:r>
              <w:t xml:space="preserve">Blockchain-based healthcare data governance</w:t>
            </w:r>
          </w:p>
        </w:tc>
      </w:tr>
      <w:tr>
        <w:trPr>
          <w:cantSplit/>
        </w:trPr>
        <w:tc>
          <w:tcPr/>
          <w:p>
            <w:pPr>
              <w:pStyle w:val="Compact"/>
              <w:jc w:val="left"/>
            </w:pPr>
            <w:r>
              <w:t xml:space="preserve">S15</w:t>
            </w:r>
          </w:p>
        </w:tc>
        <w:tc>
          <w:tcPr/>
          <w:p>
            <w:pPr>
              <w:pStyle w:val="Compact"/>
              <w:jc w:val="left"/>
            </w:pPr>
            <w:r>
              <w:t xml:space="preserve">Deng et al., 2024 [4]</w:t>
            </w:r>
          </w:p>
        </w:tc>
        <w:tc>
          <w:tcPr/>
          <w:p>
            <w:pPr>
              <w:pStyle w:val="Compact"/>
              <w:jc w:val="left"/>
            </w:pPr>
            <w:r>
              <w:t xml:space="preserve">FutureDID: a fully decentralised identity system with multi-party verification</w:t>
            </w:r>
          </w:p>
        </w:tc>
        <w:tc>
          <w:tcPr/>
          <w:p>
            <w:pPr>
              <w:pStyle w:val="Compact"/>
              <w:jc w:val="left"/>
            </w:pPr>
            <w:r>
              <w:t xml:space="preserve">Decentralised identity and verifiable credentials</w:t>
            </w:r>
          </w:p>
        </w:tc>
      </w:tr>
      <w:tr>
        <w:trPr>
          <w:cantSplit/>
        </w:trPr>
        <w:tc>
          <w:tcPr/>
          <w:p>
            <w:pPr>
              <w:pStyle w:val="Compact"/>
              <w:jc w:val="left"/>
            </w:pPr>
            <w:r>
              <w:t xml:space="preserve">S16</w:t>
            </w:r>
          </w:p>
        </w:tc>
        <w:tc>
          <w:tcPr/>
          <w:p>
            <w:pPr>
              <w:pStyle w:val="Compact"/>
              <w:jc w:val="left"/>
            </w:pPr>
            <w:r>
              <w:t xml:space="preserve">Flamini et al., 2024 [5]</w:t>
            </w:r>
          </w:p>
        </w:tc>
        <w:tc>
          <w:tcPr/>
          <w:p>
            <w:pPr>
              <w:pStyle w:val="Compact"/>
              <w:jc w:val="left"/>
            </w:pPr>
            <w:r>
              <w:t xml:space="preserve">On cryptographic mechanisms for the selective disclosure of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S17</w:t>
            </w:r>
          </w:p>
        </w:tc>
        <w:tc>
          <w:tcPr/>
          <w:p>
            <w:pPr>
              <w:pStyle w:val="Compact"/>
              <w:jc w:val="left"/>
            </w:pPr>
            <w:r>
              <w:t xml:space="preserve">Khayer et al., 2025 [15]</w:t>
            </w:r>
          </w:p>
        </w:tc>
        <w:tc>
          <w:tcPr/>
          <w:p>
            <w:pPr>
              <w:pStyle w:val="Compact"/>
              <w:jc w:val="left"/>
            </w:pPr>
            <w:r>
              <w:t xml:space="preserve">Blockchain for secure IoT: identity management, access control, and trust mechanisms</w:t>
            </w:r>
          </w:p>
        </w:tc>
        <w:tc>
          <w:tcPr/>
          <w:p>
            <w:pPr>
              <w:pStyle w:val="Compact"/>
              <w:jc w:val="left"/>
            </w:pPr>
            <w:r>
              <w:t xml:space="preserve">Decentralised identity and verifiable credentials</w:t>
            </w:r>
          </w:p>
        </w:tc>
      </w:tr>
      <w:tr>
        <w:trPr>
          <w:cantSplit/>
        </w:trPr>
        <w:tc>
          <w:tcPr/>
          <w:p>
            <w:pPr>
              <w:pStyle w:val="Compact"/>
              <w:jc w:val="left"/>
            </w:pPr>
            <w:r>
              <w:t xml:space="preserve">S18</w:t>
            </w:r>
          </w:p>
        </w:tc>
        <w:tc>
          <w:tcPr/>
          <w:p>
            <w:pPr>
              <w:pStyle w:val="Compact"/>
              <w:jc w:val="left"/>
            </w:pPr>
            <w:r>
              <w:t xml:space="preserve">Kyriakidou et al., 2023 [16]</w:t>
            </w:r>
          </w:p>
        </w:tc>
        <w:tc>
          <w:tcPr/>
          <w:p>
            <w:pPr>
              <w:pStyle w:val="Compact"/>
              <w:jc w:val="left"/>
            </w:pPr>
            <w:r>
              <w:t xml:space="preserve">Decentralised identity with applications to security and privacy for the Internet of Things</w:t>
            </w:r>
          </w:p>
        </w:tc>
        <w:tc>
          <w:tcPr/>
          <w:p>
            <w:pPr>
              <w:pStyle w:val="Compact"/>
              <w:jc w:val="left"/>
            </w:pPr>
            <w:r>
              <w:t xml:space="preserve">Decentralised identity and verifiable credentials</w:t>
            </w:r>
          </w:p>
        </w:tc>
      </w:tr>
      <w:tr>
        <w:trPr>
          <w:cantSplit/>
        </w:trPr>
        <w:tc>
          <w:tcPr/>
          <w:p>
            <w:pPr>
              <w:pStyle w:val="Compact"/>
              <w:jc w:val="left"/>
            </w:pPr>
            <w:r>
              <w:t xml:space="preserve">S19</w:t>
            </w:r>
          </w:p>
        </w:tc>
        <w:tc>
          <w:tcPr/>
          <w:p>
            <w:pPr>
              <w:pStyle w:val="Compact"/>
              <w:jc w:val="left"/>
            </w:pPr>
            <w:r>
              <w:t xml:space="preserve">Mazzocca et al., 2025 [20]</w:t>
            </w:r>
          </w:p>
        </w:tc>
        <w:tc>
          <w:tcPr/>
          <w:p>
            <w:pPr>
              <w:pStyle w:val="Compact"/>
              <w:jc w:val="left"/>
            </w:pPr>
            <w:r>
              <w:t xml:space="preserve">A survey on decentralised identifiers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S20</w:t>
            </w:r>
          </w:p>
        </w:tc>
        <w:tc>
          <w:tcPr/>
          <w:p>
            <w:pPr>
              <w:pStyle w:val="Compact"/>
              <w:jc w:val="left"/>
            </w:pPr>
            <w:r>
              <w:t xml:space="preserve">Parameswarath et al., 2022 [27]</w:t>
            </w:r>
          </w:p>
        </w:tc>
        <w:tc>
          <w:tcPr/>
          <w:p>
            <w:pPr>
              <w:pStyle w:val="Compact"/>
              <w:jc w:val="left"/>
            </w:pPr>
            <w:r>
              <w:t xml:space="preserve">User-empowered privacy-preserving authentication based on decentralised identity and verifiable credentials</w:t>
            </w:r>
          </w:p>
        </w:tc>
        <w:tc>
          <w:tcPr/>
          <w:p>
            <w:pPr>
              <w:pStyle w:val="Compact"/>
              <w:jc w:val="left"/>
            </w:pPr>
            <w:r>
              <w:t xml:space="preserve">Decentralised identity and verifiable credentials</w:t>
            </w:r>
          </w:p>
        </w:tc>
      </w:tr>
      <w:tr>
        <w:trPr>
          <w:cantSplit/>
        </w:trPr>
        <w:tc>
          <w:tcPr/>
          <w:p>
            <w:pPr>
              <w:pStyle w:val="Compact"/>
              <w:jc w:val="left"/>
            </w:pPr>
            <w:r>
              <w:t xml:space="preserve">S21</w:t>
            </w:r>
          </w:p>
        </w:tc>
        <w:tc>
          <w:tcPr/>
          <w:p>
            <w:pPr>
              <w:pStyle w:val="Compact"/>
              <w:jc w:val="left"/>
            </w:pPr>
            <w:r>
              <w:t xml:space="preserve">Yin et al., 2025 [33]</w:t>
            </w:r>
          </w:p>
        </w:tc>
        <w:tc>
          <w:tcPr/>
          <w:p>
            <w:pPr>
              <w:pStyle w:val="Compact"/>
              <w:jc w:val="left"/>
            </w:pPr>
            <w:r>
              <w:t xml:space="preserve">DP-DID: a dynamic and proactive decentralised identity system</w:t>
            </w:r>
          </w:p>
        </w:tc>
        <w:tc>
          <w:tcPr/>
          <w:p>
            <w:pPr>
              <w:pStyle w:val="Compact"/>
              <w:jc w:val="left"/>
            </w:pPr>
            <w:r>
              <w:t xml:space="preserve">Decentralised identity and verifiable credentials</w:t>
            </w:r>
          </w:p>
        </w:tc>
      </w:tr>
      <w:tr>
        <w:trPr>
          <w:cantSplit/>
        </w:trPr>
        <w:tc>
          <w:tcPr/>
          <w:p>
            <w:pPr>
              <w:pStyle w:val="Compact"/>
              <w:jc w:val="left"/>
            </w:pPr>
            <w:r>
              <w:t xml:space="preserve">S22</w:t>
            </w:r>
          </w:p>
        </w:tc>
        <w:tc>
          <w:tcPr/>
          <w:p>
            <w:pPr>
              <w:pStyle w:val="Compact"/>
              <w:jc w:val="left"/>
            </w:pPr>
            <w:r>
              <w:t xml:space="preserve">Ghafoor Abbasi et al., 2025 [6]</w:t>
            </w:r>
          </w:p>
        </w:tc>
        <w:tc>
          <w:tcPr/>
          <w:p>
            <w:pPr>
              <w:pStyle w:val="Compact"/>
              <w:jc w:val="left"/>
            </w:pPr>
            <w:r>
              <w:t xml:space="preserve">Towards empowering stakeholders through decentralised trust and secure livestock data sharing</w:t>
            </w:r>
          </w:p>
        </w:tc>
        <w:tc>
          <w:tcPr/>
          <w:p>
            <w:pPr>
              <w:pStyle w:val="Compact"/>
              <w:jc w:val="left"/>
            </w:pPr>
            <w:r>
              <w:t xml:space="preserve">Multi-party and decentralised governance</w:t>
            </w:r>
          </w:p>
        </w:tc>
      </w:tr>
      <w:tr>
        <w:trPr>
          <w:cantSplit/>
        </w:trPr>
        <w:tc>
          <w:tcPr/>
          <w:p>
            <w:pPr>
              <w:pStyle w:val="Compact"/>
              <w:jc w:val="left"/>
            </w:pPr>
            <w:r>
              <w:t xml:space="preserve">S23</w:t>
            </w:r>
          </w:p>
        </w:tc>
        <w:tc>
          <w:tcPr/>
          <w:p>
            <w:pPr>
              <w:pStyle w:val="Compact"/>
              <w:jc w:val="left"/>
            </w:pPr>
            <w:r>
              <w:t xml:space="preserve">Lomotey et al., 2022 [19]</w:t>
            </w:r>
          </w:p>
        </w:tc>
        <w:tc>
          <w:tcPr/>
          <w:p>
            <w:pPr>
              <w:pStyle w:val="Compact"/>
              <w:jc w:val="left"/>
            </w:pPr>
            <w:r>
              <w:t xml:space="preserve">Data trusts as a service: a platform for multi-party data sharing</w:t>
            </w:r>
          </w:p>
        </w:tc>
        <w:tc>
          <w:tcPr/>
          <w:p>
            <w:pPr>
              <w:pStyle w:val="Compact"/>
              <w:jc w:val="left"/>
            </w:pPr>
            <w:r>
              <w:t xml:space="preserve">Multi-party and decentralised governance</w:t>
            </w:r>
          </w:p>
        </w:tc>
      </w:tr>
      <w:tr>
        <w:trPr>
          <w:cantSplit/>
        </w:trPr>
        <w:tc>
          <w:tcPr/>
          <w:p>
            <w:pPr>
              <w:pStyle w:val="Compact"/>
              <w:jc w:val="left"/>
            </w:pPr>
            <w:r>
              <w:t xml:space="preserve">S24</w:t>
            </w:r>
          </w:p>
        </w:tc>
        <w:tc>
          <w:tcPr/>
          <w:p>
            <w:pPr>
              <w:pStyle w:val="Compact"/>
              <w:jc w:val="left"/>
            </w:pPr>
            <w:r>
              <w:t xml:space="preserve">Jiang et al., 2023 [11]</w:t>
            </w:r>
          </w:p>
        </w:tc>
        <w:tc>
          <w:tcPr/>
          <w:p>
            <w:pPr>
              <w:pStyle w:val="Compact"/>
              <w:jc w:val="left"/>
            </w:pPr>
            <w:r>
              <w:t xml:space="preserve">Risk and UCON-based access control model for healthcare big data</w:t>
            </w:r>
          </w:p>
        </w:tc>
        <w:tc>
          <w:tcPr/>
          <w:p>
            <w:pPr>
              <w:pStyle w:val="Compact"/>
              <w:jc w:val="left"/>
            </w:pPr>
            <w:r>
              <w:t xml:space="preserve">Policy-based and healthcare access control</w:t>
            </w:r>
          </w:p>
        </w:tc>
      </w:tr>
      <w:tr>
        <w:trPr>
          <w:cantSplit/>
        </w:trPr>
        <w:tc>
          <w:tcPr/>
          <w:p>
            <w:pPr>
              <w:pStyle w:val="Compact"/>
              <w:jc w:val="left"/>
            </w:pPr>
            <w:r>
              <w:t xml:space="preserve">S25</w:t>
            </w:r>
          </w:p>
        </w:tc>
        <w:tc>
          <w:tcPr/>
          <w:p>
            <w:pPr>
              <w:pStyle w:val="Compact"/>
              <w:jc w:val="left"/>
            </w:pPr>
            <w:r>
              <w:t xml:space="preserve">Nazir et al., 2026 [25]</w:t>
            </w:r>
          </w:p>
        </w:tc>
        <w:tc>
          <w:tcPr/>
          <w:p>
            <w:pPr>
              <w:pStyle w:val="Compact"/>
              <w:jc w:val="left"/>
            </w:pPr>
            <w:r>
              <w:t xml:space="preserve">Access control in healthcare IoT: a comprehensive survey</w:t>
            </w:r>
          </w:p>
        </w:tc>
        <w:tc>
          <w:tcPr/>
          <w:p>
            <w:pPr>
              <w:pStyle w:val="Compact"/>
              <w:jc w:val="left"/>
            </w:pPr>
            <w:r>
              <w:t xml:space="preserve">Policy-based and healthcare access control</w:t>
            </w:r>
          </w:p>
        </w:tc>
      </w:tr>
      <w:tr>
        <w:trPr>
          <w:cantSplit/>
        </w:trPr>
        <w:tc>
          <w:tcPr/>
          <w:p>
            <w:pPr>
              <w:pStyle w:val="Compact"/>
              <w:jc w:val="left"/>
            </w:pPr>
            <w:r>
              <w:t xml:space="preserve">S26</w:t>
            </w:r>
          </w:p>
        </w:tc>
        <w:tc>
          <w:tcPr/>
          <w:p>
            <w:pPr>
              <w:pStyle w:val="Compact"/>
              <w:jc w:val="left"/>
            </w:pPr>
            <w:r>
              <w:t xml:space="preserve">Tawfik et al., 2025 [28]</w:t>
            </w:r>
          </w:p>
        </w:tc>
        <w:tc>
          <w:tcPr/>
          <w:p>
            <w:pPr>
              <w:pStyle w:val="Compact"/>
              <w:jc w:val="left"/>
            </w:pPr>
            <w:r>
              <w:t xml:space="preserve">Blockchain-based access control and privacy preservation in healthcare: a comprehensive survey</w:t>
            </w:r>
          </w:p>
        </w:tc>
        <w:tc>
          <w:tcPr/>
          <w:p>
            <w:pPr>
              <w:pStyle w:val="Compact"/>
              <w:jc w:val="left"/>
            </w:pPr>
            <w:r>
              <w:t xml:space="preserve">Policy-based and healthcare access control</w:t>
            </w:r>
          </w:p>
        </w:tc>
      </w:tr>
      <w:tr>
        <w:trPr>
          <w:cantSplit/>
        </w:trPr>
        <w:tc>
          <w:tcPr/>
          <w:p>
            <w:pPr>
              <w:pStyle w:val="Compact"/>
              <w:jc w:val="left"/>
            </w:pPr>
            <w:r>
              <w:t xml:space="preserve">S27</w:t>
            </w:r>
          </w:p>
        </w:tc>
        <w:tc>
          <w:tcPr/>
          <w:p>
            <w:pPr>
              <w:pStyle w:val="Compact"/>
              <w:jc w:val="left"/>
            </w:pPr>
            <w:r>
              <w:t xml:space="preserve">Yin et al., 2024 [32]</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Policy-based and healthcare access control</w:t>
            </w:r>
          </w:p>
        </w:tc>
      </w:tr>
      <w:tr>
        <w:trPr>
          <w:cantSplit/>
        </w:trPr>
        <w:tc>
          <w:tcPr/>
          <w:p>
            <w:pPr>
              <w:pStyle w:val="Compact"/>
              <w:jc w:val="left"/>
            </w:pPr>
            <w:r>
              <w:t xml:space="preserve">S28</w:t>
            </w:r>
          </w:p>
        </w:tc>
        <w:tc>
          <w:tcPr/>
          <w:p>
            <w:pPr>
              <w:pStyle w:val="Compact"/>
              <w:jc w:val="left"/>
            </w:pPr>
            <w:r>
              <w:t xml:space="preserve">Ménétrey et al., 2022 [23]</w:t>
            </w:r>
          </w:p>
        </w:tc>
        <w:tc>
          <w:tcPr/>
          <w:p>
            <w:pPr>
              <w:pStyle w:val="Compact"/>
              <w:jc w:val="left"/>
            </w:pPr>
            <w:r>
              <w:t xml:space="preserve">Attestation mechanisms for trusted execution environments demystified</w:t>
            </w:r>
          </w:p>
        </w:tc>
        <w:tc>
          <w:tcPr/>
          <w:p>
            <w:pPr>
              <w:pStyle w:val="Compact"/>
              <w:jc w:val="left"/>
            </w:pPr>
            <w:r>
              <w:t xml:space="preserve">Trusted Computing and secure execution</w:t>
            </w:r>
          </w:p>
        </w:tc>
      </w:tr>
    </w:tbl>
    <w:bookmarkEnd w:id="32"/>
    <w:bookmarkEnd w:id="33"/>
    <w:bookmarkStart w:id="41" w:name="X47a7c0cd3439350f5b2bab0a0c72b8d78bf1bcb"/>
    <w:p>
      <w:pPr>
        <w:pStyle w:val="Heading2"/>
      </w:pPr>
      <w:r>
        <w:t xml:space="preserve"> </w:t>
      </w:r>
      <w:r>
        <w:t xml:space="preserve">2.4</w:t>
      </w:r>
      <w:r>
        <w:t xml:space="preserve"> </w:t>
      </w:r>
      <w:r>
        <w:t xml:space="preserve"> </w:t>
      </w:r>
      <w:r>
        <w:t xml:space="preserve">Summary of Papers Shortlisted in the SLR</w:t>
      </w:r>
    </w:p>
    <w:p>
      <w:pPr>
        <w:pStyle w:val="FirstParagraph"/>
      </w:pPr>
      <w: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34" w:name="X3643e3a96c176827f6f89acdc5119d36405fe44"/>
    <w:p>
      <w:pPr>
        <w:pStyle w:val="Heading3"/>
      </w:pPr>
      <w:r>
        <w:t xml:space="preserve"> </w:t>
      </w:r>
      <w:r>
        <w:t xml:space="preserve">2.4.1</w:t>
      </w:r>
      <w:r>
        <w:t xml:space="preserve"> </w:t>
      </w:r>
      <w:r>
        <w:t xml:space="preserve"> </w:t>
      </w:r>
      <w:r>
        <w:t xml:space="preserve">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 [12, 14, 22, 31].</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 legitimate secondary data use [9].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odyText"/>
      </w:pPr>
      <w:r>
        <w:t xml:space="preserve">Table 2.4 presents a summary of the studies that fall under the healthcare consent and privacy governance category and their coverage of the key requirements.</w:t>
      </w:r>
    </w:p>
    <w:p>
      <w:pPr>
        <w:pStyle w:val="TableCaption"/>
      </w:pPr>
      <w: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 [9]</w:t>
            </w:r>
          </w:p>
        </w:tc>
        <w:tc>
          <w:tcPr/>
          <w:p>
            <w:pPr>
              <w:pStyle w:val="Compact"/>
              <w:jc w:val="left"/>
            </w:pPr>
            <w: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t xml:space="preserve">Studies organisational practice; consent is treated as a compliance matter and no authorisation mechanism is proposed.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 [10]</w:t>
            </w:r>
          </w:p>
        </w:tc>
        <w:tc>
          <w:tcPr/>
          <w:p>
            <w:pPr>
              <w:pStyle w:val="Compact"/>
              <w:jc w:val="left"/>
            </w:pPr>
            <w: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t xml:space="preserve">A receipt proves that consent was given; it does not evaluate whether a later request satisfies identity, authority, approval or scope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S3 [12]</w:t>
            </w:r>
          </w:p>
        </w:tc>
        <w:tc>
          <w:tcPr/>
          <w:p>
            <w:pPr>
              <w:pStyle w:val="Compact"/>
              <w:jc w:val="left"/>
            </w:pPr>
            <w:r>
              <w:t xml:space="preserve">Survey of people who work with health data in the United States on consent, sharing and privacy; most respondents want complete control over their data and specific consent for each use.</w:t>
            </w:r>
          </w:p>
        </w:tc>
        <w:tc>
          <w:tcPr/>
          <w:p>
            <w:pPr>
              <w:pStyle w:val="Compact"/>
              <w:jc w:val="left"/>
            </w:pPr>
            <w:r>
              <w:t xml:space="preserve">Attitudinal evidence only; no technical model of consent or of the access decision.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S4 [13]</w:t>
            </w:r>
          </w:p>
        </w:tc>
        <w:tc>
          <w:tcPr/>
          <w:p>
            <w:pPr>
              <w:pStyle w:val="Compact"/>
              <w:jc w:val="left"/>
            </w:pPr>
            <w:r>
              <w:t xml:space="preserve">Privacy-first model for blockchain-based dynamic consent management in which subject data and consent are kept encrypted on-chain and the data-controller role is decentralised.</w:t>
            </w:r>
          </w:p>
        </w:tc>
        <w:tc>
          <w:tcPr/>
          <w:p>
            <w:pPr>
              <w:pStyle w:val="Compact"/>
              <w:jc w:val="left"/>
            </w:pPr>
            <w:r>
              <w:t xml:space="preserve">Consent is stored and shared securely, but a request is not evaluated against the requester’s authority or a multi-party approval threshold.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S5 [14]</w:t>
            </w:r>
          </w:p>
        </w:tc>
        <w:tc>
          <w:tcPr/>
          <w:p>
            <w:pPr>
              <w:pStyle w:val="Compact"/>
              <w:jc w:val="left"/>
            </w:pPr>
            <w:r>
              <w:t xml:space="preserve">Survey-based model (129 NHS respondents) of the intention to share healthcare data; perceived information risk and perceived societal benefit dominate the decision.</w:t>
            </w:r>
          </w:p>
        </w:tc>
        <w:tc>
          <w:tcPr/>
          <w:p>
            <w:pPr>
              <w:pStyle w:val="Compact"/>
              <w:jc w:val="left"/>
            </w:pPr>
            <w:r>
              <w:t xml:space="preserve">Explains why individuals consent, not how consent is represented or enforced.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S6 [22]</w:t>
            </w:r>
          </w:p>
        </w:tc>
        <w:tc>
          <w:tcPr/>
          <w:p>
            <w:pPr>
              <w:pStyle w:val="Compact"/>
              <w:jc w:val="left"/>
            </w:pPr>
            <w:r>
              <w:t xml:space="preserve">Legal analysis of informed consent for the use and disclosure of patient information under the GDPR, the common law and professional ethics.</w:t>
            </w:r>
          </w:p>
        </w:tc>
        <w:tc>
          <w:tcPr/>
          <w:p>
            <w:pPr>
              <w:pStyle w:val="Compact"/>
              <w:jc w:val="left"/>
            </w:pPr>
            <w:r>
              <w:t xml:space="preserve">Defines the legal conditions of a valid consent but not an executable authorisation object.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S7 [24]</w:t>
            </w:r>
          </w:p>
        </w:tc>
        <w:tc>
          <w:tcPr/>
          <w:p>
            <w:pPr>
              <w:pStyle w:val="Compact"/>
              <w:jc w:val="left"/>
            </w:pPr>
            <w:r>
              <w:t xml:space="preserve">Review of privacy models and consent frameworks (dynamic and granular consent, blockchain, My Health Record, Estonian e-Health) for patient data ownership.</w:t>
            </w:r>
          </w:p>
        </w:tc>
        <w:tc>
          <w:tcPr/>
          <w:p>
            <w:pPr>
              <w:pStyle w:val="Compact"/>
              <w:jc w:val="left"/>
            </w:pPr>
            <w:r>
              <w:t xml:space="preserve">Descriptive review; the consent frameworks are not connected to identity verification or scope enforcement.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S8 [31]</w:t>
            </w:r>
          </w:p>
        </w:tc>
        <w:tc>
          <w:tcPr/>
          <w:p>
            <w:pPr>
              <w:pStyle w:val="Compact"/>
              <w:jc w:val="left"/>
            </w:pPr>
            <w:r>
              <w:t xml:space="preserve">Policy statement on electronic access to the health record by paediatric patients and their guardians, including proxy access and record segmentation.</w:t>
            </w:r>
          </w:p>
        </w:tc>
        <w:tc>
          <w:tcPr/>
          <w:p>
            <w:pPr>
              <w:pStyle w:val="Compact"/>
              <w:jc w:val="left"/>
            </w:pPr>
            <w:r>
              <w:t xml:space="preserve">Identifies guardian and proxy roles but gives no mechanism for verifying authority or for joint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4"/>
    <w:bookmarkStart w:id="35" w:name="X2b887499669ea90de256e63d16984e9c6f7f03a"/>
    <w:p>
      <w:pPr>
        <w:pStyle w:val="Heading3"/>
      </w:pPr>
      <w:r>
        <w:t xml:space="preserve"> </w:t>
      </w:r>
      <w:r>
        <w:t xml:space="preserve">2.4.2</w:t>
      </w:r>
      <w:r>
        <w:t xml:space="preserve"> </w:t>
      </w:r>
      <w:r>
        <w:t xml:space="preserve"> </w:t>
      </w:r>
      <w:r>
        <w:t xml:space="preserve">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 [1, 2, 3, 7]. More generally, blockchain has been studied as an infrastructure for trustworthy data sharing and decentralised decision-making across organisational boundaries [26, 29].</w:t>
      </w:r>
    </w:p>
    <w:p>
      <w:pPr>
        <w:pStyle w:val="BodyText"/>
      </w:pPr>
      <w:r>
        <w:t xml:space="preserve">A major contribution of blockchain is its ability to preserve tamper-resistant evidence of transactions and state changes. This characteristic strengthens auditability and provides evidence that recorded information has not been modified without detection [1, 26].</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 [2, 3, 7, 28].</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odyText"/>
      </w:pPr>
      <w:r>
        <w:t xml:space="preserve">Table 2.5 summarises the blockchain-based studies and their coverage of the key requirements.</w:t>
      </w:r>
    </w:p>
    <w:p>
      <w:pPr>
        <w:pStyle w:val="TableCaption"/>
      </w:pPr>
      <w: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S9 [1]</w:t>
            </w:r>
          </w:p>
        </w:tc>
        <w:tc>
          <w:tcPr/>
          <w:p>
            <w:pPr>
              <w:pStyle w:val="Compact"/>
              <w:jc w:val="left"/>
            </w:pPr>
            <w:r>
              <w:t xml:space="preserve">Systematic review of 99 blockchain-based EHR proposals analysed by privacy, security, scalability, accessibility, cost, consensus and blockchain type.</w:t>
            </w:r>
          </w:p>
        </w:tc>
        <w:tc>
          <w:tcPr/>
          <w:p>
            <w:pPr>
              <w:pStyle w:val="Compact"/>
              <w:jc w:val="left"/>
            </w:pPr>
            <w:r>
              <w:t xml:space="preserve">Blockchain is evaluated as a storage and audit substrate; participant authority and consent scope are not modelled.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S10 [2]</w:t>
            </w:r>
          </w:p>
        </w:tc>
        <w:tc>
          <w:tcPr/>
          <w:p>
            <w:pPr>
              <w:pStyle w:val="Compact"/>
              <w:jc w:val="left"/>
            </w:pPr>
            <w:r>
              <w:t xml:space="preserve">Survey of blockchain architectures for healthcare systems, their security challenges, trends and future directions.</w:t>
            </w:r>
          </w:p>
        </w:tc>
        <w:tc>
          <w:tcPr/>
          <w:p>
            <w:pPr>
              <w:pStyle w:val="Compact"/>
              <w:jc w:val="left"/>
            </w:pPr>
            <w:r>
              <w:t xml:space="preserve">Architecture-level survey; the access decision itself is left to the individual systems reviewed.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S11 [3]</w:t>
            </w:r>
          </w:p>
        </w:tc>
        <w:tc>
          <w:tcPr/>
          <w:p>
            <w:pPr>
              <w:pStyle w:val="Compact"/>
              <w:jc w:val="left"/>
            </w:pPr>
            <w:r>
              <w:t xml:space="preserve">Survey classifying more than 40 blockchain healthcare systems by entity interactions, functional components, challenges and benefits, with a discussion of GDPR and HIPAA compliance.</w:t>
            </w:r>
          </w:p>
        </w:tc>
        <w:tc>
          <w:tcPr/>
          <w:p>
            <w:pPr>
              <w:pStyle w:val="Compact"/>
              <w:jc w:val="left"/>
            </w:pPr>
            <w:r>
              <w:t xml:space="preserve">Treats consent as a regulatory requirement rather than an evaluable object; authority verification is not addressed.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S12 [7]</w:t>
            </w:r>
          </w:p>
        </w:tc>
        <w:tc>
          <w:tcPr/>
          <w:p>
            <w:pPr>
              <w:pStyle w:val="Compact"/>
              <w:jc w:val="left"/>
            </w:pPr>
            <w:r>
              <w:t xml:space="preserve">Review of 144 articles on blockchain applications in healthcare, their application areas, limitations and research directions.</w:t>
            </w:r>
          </w:p>
        </w:tc>
        <w:tc>
          <w:tcPr/>
          <w:p>
            <w:pPr>
              <w:pStyle w:val="Compact"/>
              <w:jc w:val="left"/>
            </w:pPr>
            <w:r>
              <w:t xml:space="preserve">Confirms the auditability benefit; multi-party approval and authority verification are not treated.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S13 [26]</w:t>
            </w:r>
          </w:p>
        </w:tc>
        <w:tc>
          <w:tcPr/>
          <w:p>
            <w:pPr>
              <w:pStyle w:val="Compact"/>
              <w:jc w:val="left"/>
            </w:pPr>
            <w:r>
              <w:t xml:space="preserve">Survey and reference architecture for blockchain-based data sharing covering provenance, privacy, consent management and incentives across healthcare and other sectors.</w:t>
            </w:r>
          </w:p>
        </w:tc>
        <w:tc>
          <w:tcPr/>
          <w:p>
            <w:pPr>
              <w:pStyle w:val="Compact"/>
              <w:jc w:val="left"/>
            </w:pPr>
            <w:r>
              <w:t xml:space="preserve">Consent management is named as a challenge; the architecture does not specify how a request is evaluated against identity, approval and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S14 [29]</w:t>
            </w:r>
          </w:p>
        </w:tc>
        <w:tc>
          <w:tcPr/>
          <w:p>
            <w:pPr>
              <w:pStyle w:val="Compact"/>
              <w:jc w:val="left"/>
            </w:pPr>
            <w:r>
              <w:t xml:space="preserve">Review of decentralised decision-making with big data and blockchain, including DAO governance and the Estonian healthcare case.</w:t>
            </w:r>
          </w:p>
        </w:tc>
        <w:tc>
          <w:tcPr/>
          <w:p>
            <w:pPr>
              <w:pStyle w:val="Compact"/>
              <w:jc w:val="left"/>
            </w:pPr>
            <w:r>
              <w:t xml:space="preserve">Collective decision-making is discussed at governance level, not as a verifiable condition inside a consent object.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5"/>
    <w:bookmarkStart w:id="36" w:name="Xce8374abd25737680a0ea224e7b0673254898a7"/>
    <w:p>
      <w:pPr>
        <w:pStyle w:val="Heading3"/>
      </w:pPr>
      <w:r>
        <w:t xml:space="preserve"> </w:t>
      </w:r>
      <w:r>
        <w:t xml:space="preserve">2.4.3 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 [4, 16, 20, 33].</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 established or validated [4, 33]. Other studies have examined privacy-preserving authentication and selective disclosure, allowing participants to prove selected attributes without unnecessarily revealing additional information [5, 27].</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attributes.Reviews of blockchain-based identity management for the Internet of Things reach the same conclusion for constrained devices [15, 16]. 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odyText"/>
      </w:pPr>
      <w:r>
        <w:t xml:space="preserve">Table 2.6 summarises the decentralised identity studies and their coverage of the key requirements.</w:t>
      </w:r>
    </w:p>
    <w:p>
      <w:pPr>
        <w:pStyle w:val="TableCaption"/>
      </w:pPr>
      <w: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S15 [4]</w:t>
            </w:r>
          </w:p>
        </w:tc>
        <w:tc>
          <w:tcPr/>
          <w:p>
            <w:pPr>
              <w:pStyle w:val="Compact"/>
              <w:jc w:val="left"/>
            </w:pPr>
            <w:r>
              <w:t xml:space="preserve">FutureDID: a fully decentralised identity system in which identity claims are verified by multiple parties.</w:t>
            </w:r>
          </w:p>
        </w:tc>
        <w:tc>
          <w:tcPr/>
          <w:p>
            <w:pPr>
              <w:pStyle w:val="Compact"/>
              <w:jc w:val="left"/>
            </w:pPr>
            <w:r>
              <w:t xml:space="preserve">Multi-party verification applies to the identity claim, not to the authorisation of data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S16 [5]</w:t>
            </w:r>
          </w:p>
        </w:tc>
        <w:tc>
          <w:tcPr/>
          <w:p>
            <w:pPr>
              <w:pStyle w:val="Compact"/>
              <w:jc w:val="left"/>
            </w:pPr>
            <w:r>
              <w:t xml:space="preserve">Analysis of the cryptographic mechanisms available for the selective disclosure of verifiable credentials.</w:t>
            </w:r>
          </w:p>
        </w:tc>
        <w:tc>
          <w:tcPr/>
          <w:p>
            <w:pPr>
              <w:pStyle w:val="Compact"/>
              <w:jc w:val="left"/>
            </w:pPr>
            <w:r>
              <w:t xml:space="preserve">Concerns what a holder reveals, not whether the holder is authorised for a particular patient’s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S17 [15]</w:t>
            </w:r>
          </w:p>
        </w:tc>
        <w:tc>
          <w:tcPr/>
          <w:p>
            <w:pPr>
              <w:pStyle w:val="Compact"/>
              <w:jc w:val="left"/>
            </w:pPr>
            <w:r>
              <w:t xml:space="preserve">Review of blockchain-based identity management, access control and trust mechanisms for the IoT.</w:t>
            </w:r>
          </w:p>
        </w:tc>
        <w:tc>
          <w:tcPr/>
          <w:p>
            <w:pPr>
              <w:pStyle w:val="Compact"/>
              <w:jc w:val="left"/>
            </w:pPr>
            <w:r>
              <w:t xml:space="preserve">IoT-oriented; consent and multi-party approval are outside its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S18 [16]</w:t>
            </w:r>
          </w:p>
        </w:tc>
        <w:tc>
          <w:tcPr/>
          <w:p>
            <w:pPr>
              <w:pStyle w:val="Compact"/>
              <w:jc w:val="left"/>
            </w:pPr>
            <w:r>
              <w:t xml:space="preserve">Overview of decentralised and self-sovereign identity for IoT authentication, authorisation and access control.</w:t>
            </w:r>
          </w:p>
        </w:tc>
        <w:tc>
          <w:tcPr/>
          <w:p>
            <w:pPr>
              <w:pStyle w:val="Compact"/>
              <w:jc w:val="left"/>
            </w:pPr>
            <w:r>
              <w:t xml:space="preserve">Establishes DIDs and VCs as the identity pillars; authorisation is derived from the credential alone.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S19 [20]</w:t>
            </w:r>
          </w:p>
        </w:tc>
        <w:tc>
          <w:tcPr/>
          <w:p>
            <w:pPr>
              <w:pStyle w:val="Compact"/>
              <w:jc w:val="left"/>
            </w:pPr>
            <w:r>
              <w:t xml:space="preserve">Comprehensive survey of decentralised identifiers and verifiable credentials, their standards, architectures and open issues.</w:t>
            </w:r>
          </w:p>
        </w:tc>
        <w:tc>
          <w:tcPr/>
          <w:p>
            <w:pPr>
              <w:pStyle w:val="Compact"/>
              <w:jc w:val="left"/>
            </w:pPr>
            <w:r>
              <w:t xml:space="preserve">Identity and credential validity are the end point; there is no link to consent-defined authority.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S20 [27]</w:t>
            </w:r>
          </w:p>
        </w:tc>
        <w:tc>
          <w:tcPr/>
          <w:p>
            <w:pPr>
              <w:pStyle w:val="Compact"/>
              <w:jc w:val="left"/>
            </w:pPr>
            <w:r>
              <w:t xml:space="preserve">DID/VC-based privacy-preserving authentication protocol with zero-knowledge proofs for electric-vehicle charging.</w:t>
            </w:r>
          </w:p>
        </w:tc>
        <w:tc>
          <w:tcPr/>
          <w:p>
            <w:pPr>
              <w:pStyle w:val="Compact"/>
              <w:jc w:val="left"/>
            </w:pPr>
            <w:r>
              <w:t xml:space="preserve">Shows DID/VC authentication in another domain; no consent or scope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S21 [33]</w:t>
            </w:r>
          </w:p>
        </w:tc>
        <w:tc>
          <w:tcPr/>
          <w:p>
            <w:pPr>
              <w:pStyle w:val="Compact"/>
              <w:jc w:val="left"/>
            </w:pPr>
            <w:r>
              <w:t xml:space="preserve">DP-DID: a dynamic and proactive decentralised identity system that supports identity updates and revocation.</w:t>
            </w:r>
          </w:p>
        </w:tc>
        <w:tc>
          <w:tcPr/>
          <w:p>
            <w:pPr>
              <w:pStyle w:val="Compact"/>
              <w:jc w:val="left"/>
            </w:pPr>
            <w:r>
              <w:t xml:space="preserve">Lifecycle handling applies to the identity, not to the consent that authorises access.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6"/>
    <w:bookmarkStart w:id="37" w:name="X836fdb855249812e1f666cb0298115c8e62a77c"/>
    <w:p>
      <w:pPr>
        <w:pStyle w:val="Heading3"/>
      </w:pPr>
      <w:r>
        <w:t xml:space="preserve"> </w:t>
      </w:r>
      <w:r>
        <w:t xml:space="preserve">2.4.4</w:t>
      </w:r>
      <w:r>
        <w:t xml:space="preserve"> </w:t>
      </w:r>
      <w:r>
        <w:t xml:space="preserve"> </w:t>
      </w:r>
      <w:r>
        <w:t xml:space="preserve">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 different responsibilities and authority levels [9, 31].</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[19].A decentralised trust framework for multi-stakeholder livestock data sharing shows that controlled exposure to authorised entities can be achieved without a central authority [6]. 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odyText"/>
      </w:pPr>
      <w:r>
        <w:t xml:space="preserve">Table 2.7 summarises the multi-party governance studies and their coverage of the key requirements.</w:t>
      </w:r>
    </w:p>
    <w:p>
      <w:pPr>
        <w:pStyle w:val="TableCaption"/>
      </w:pPr>
      <w: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S22 [6]</w:t>
            </w:r>
          </w:p>
        </w:tc>
        <w:tc>
          <w:tcPr/>
          <w:p>
            <w:pPr>
              <w:pStyle w:val="Compact"/>
              <w:jc w:val="left"/>
            </w:pPr>
            <w:r>
              <w:t xml:space="preserve">FLEX framework for decentralised trust and secure data sharing among livestock supply-chain stakeholders, with STRIDE threat modelling and an open-source implementation.</w:t>
            </w:r>
          </w:p>
        </w:tc>
        <w:tc>
          <w:tcPr/>
          <w:p>
            <w:pPr>
              <w:pStyle w:val="Compact"/>
              <w:jc w:val="left"/>
            </w:pPr>
            <w:r>
              <w:t xml:space="preserve">Controlled exposure to authorised entities is supported, but approvals are not aggregated to a threshold and consent is not modelled.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S23 [19]</w:t>
            </w:r>
          </w:p>
        </w:tc>
        <w:tc>
          <w:tcPr/>
          <w:p>
            <w:pPr>
              <w:pStyle w:val="Compact"/>
              <w:jc w:val="left"/>
            </w:pPr>
            <w:r>
              <w:t xml:space="preserve">Data Trusts as a Service: a platform through which multiple parties take part in data-sharing arrangements and their governance.</w:t>
            </w:r>
          </w:p>
        </w:tc>
        <w:tc>
          <w:tcPr/>
          <w:p>
            <w:pPr>
              <w:pStyle w:val="Compact"/>
              <w:jc w:val="left"/>
            </w:pPr>
            <w:r>
              <w:t xml:space="preserve">Governance is collective, but the individual access decision is not bound to identity verification or consent scope.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7"/>
    <w:bookmarkStart w:id="38" w:name="X65ac327857ae873d38ffe426701abf3e34d1162"/>
    <w:p>
      <w:pPr>
        <w:pStyle w:val="Heading3"/>
      </w:pPr>
      <w:r>
        <w:t xml:space="preserve"> </w:t>
      </w:r>
      <w:r>
        <w:t xml:space="preserve">2.4.5</w:t>
      </w:r>
      <w:r>
        <w:t xml:space="preserve"> </w:t>
      </w:r>
      <w:r>
        <w:t xml:space="preserve"> </w:t>
      </w:r>
      <w:r>
        <w:t xml:space="preserve">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odyText"/>
      </w:pPr>
      <w:r>
        <w:t xml:space="preserve">Table 2.8 summarises the access-control studies and their coverage of the key requirements.</w:t>
      </w:r>
    </w:p>
    <w:p>
      <w:pPr>
        <w:pStyle w:val="TableCaption"/>
      </w:pPr>
      <w: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S24 [11]</w:t>
            </w:r>
          </w:p>
        </w:tc>
        <w:tc>
          <w:tcPr/>
          <w:p>
            <w:pPr>
              <w:pStyle w:val="Compact"/>
              <w:jc w:val="left"/>
            </w:pPr>
            <w:r>
              <w:t xml:space="preserve">RQ-UCON: a usage-control model for healthcare big data that quantifies physician risk from visit history and adjusts access rights in real time.</w:t>
            </w:r>
          </w:p>
        </w:tc>
        <w:tc>
          <w:tcPr/>
          <w:p>
            <w:pPr>
              <w:pStyle w:val="Compact"/>
              <w:jc w:val="left"/>
            </w:pPr>
            <w:r>
              <w:t xml:space="preserve">Access is conditioned on risk and usage, not on patient consent or multi-party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S25 [25]</w:t>
            </w:r>
          </w:p>
        </w:tc>
        <w:tc>
          <w:tcPr/>
          <w:p>
            <w:pPr>
              <w:pStyle w:val="Compact"/>
              <w:jc w:val="left"/>
            </w:pPr>
            <w:r>
              <w:t xml:space="preserve">Survey of access control in healthcare IoT (RBAC, ABAC, CapBAC, CAAC), emergency access, privacy compliance and DID/VC-based authorisation.</w:t>
            </w:r>
          </w:p>
        </w:tc>
        <w:tc>
          <w:tcPr/>
          <w:p>
            <w:pPr>
              <w:pStyle w:val="Compact"/>
              <w:jc w:val="left"/>
            </w:pPr>
            <w:r>
              <w:t xml:space="preserve">Surveys the models in isolation; the integration of consent, identity and collective approval is identified as a gap, not solved.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S26 [28]</w:t>
            </w:r>
          </w:p>
        </w:tc>
        <w:tc>
          <w:tcPr/>
          <w:p>
            <w:pPr>
              <w:pStyle w:val="Compact"/>
              <w:jc w:val="left"/>
            </w:pPr>
            <w:r>
              <w:t xml:space="preserve">Survey of 45 blockchain-based access-control and privacy-preservation frameworks for EHRs, including smart-contract authentication and cryptographic techniques.</w:t>
            </w:r>
          </w:p>
        </w:tc>
        <w:tc>
          <w:tcPr/>
          <w:p>
            <w:pPr>
              <w:pStyle w:val="Compact"/>
              <w:jc w:val="left"/>
            </w:pPr>
            <w:r>
              <w:t xml:space="preserve">Smart contracts enforce rules, but the surveyed frameworks do not evaluate multi-party consent conditions.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rPr>
          <w:cantSplit/>
        </w:trPr>
        <w:tc>
          <w:tcPr/>
          <w:p>
            <w:pPr>
              <w:pStyle w:val="Compact"/>
              <w:jc w:val="left"/>
            </w:pPr>
            <w:r>
              <w:t xml:space="preserve">S27 [32]</w:t>
            </w:r>
          </w:p>
        </w:tc>
        <w:tc>
          <w:tcPr/>
          <w:p>
            <w:pPr>
              <w:pStyle w:val="Compact"/>
              <w:jc w:val="left"/>
            </w:pPr>
            <w:r>
              <w:t xml:space="preserve">Attribute-based searchable encryption with decentralised key management for healthcare data sharing.</w:t>
            </w:r>
          </w:p>
        </w:tc>
        <w:tc>
          <w:tcPr/>
          <w:p>
            <w:pPr>
              <w:pStyle w:val="Compact"/>
              <w:jc w:val="left"/>
            </w:pPr>
            <w:r>
              <w:t xml:space="preserve">Cryptographic enforcement of attribute policies; authority and consent approval are assumed rather than verified.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8"/>
    <w:bookmarkStart w:id="39" w:name="X70697d1bf80033494359f9b6207e02cd31d6057"/>
    <w:p>
      <w:pPr>
        <w:pStyle w:val="Heading3"/>
      </w:pPr>
      <w:r>
        <w:t xml:space="preserve"> </w:t>
      </w:r>
      <w:r>
        <w:t xml:space="preserve">2.4.6 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odyText"/>
      </w:pPr>
      <w:r>
        <w:t xml:space="preserve">Table 2.9 summarises the Trusted Computing study and its coverage of the key requirements.</w:t>
      </w:r>
    </w:p>
    <w:p>
      <w:pPr>
        <w:pStyle w:val="TableCaption"/>
      </w:pPr>
      <w: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Study</w:t>
            </w:r>
          </w:p>
        </w:tc>
        <w:tc>
          <w:tcPr>
            <w:tcBorders>
              <w:bottom w:val="single" w:sz="8" w:space="0" w:color="000000"/>
            </w:tcBorders>
            <w:shd w:val="clear" w:color="auto" w:fill="E7E6E6"/>
            <w:vAlign w:val="center"/>
          </w:tcPr>
          <w:p>
            <w:pPr>
              <w:pStyle w:val="Compact"/>
              <w:jc w:val="left"/>
            </w:pPr>
            <w:r>
              <w:rPr>
                <w:b/>
                <w:bCs/>
              </w:rPr>
              <w:t xml:space="preserve">Description of the study</w:t>
            </w:r>
          </w:p>
        </w:tc>
        <w:tc>
          <w:tcPr>
            <w:tcBorders>
              <w:bottom w:val="single" w:sz="8" w:space="0" w:color="000000"/>
            </w:tcBorders>
            <w:shd w:val="clear" w:color="auto" w:fill="E7E6E6"/>
            <w:vAlign w:val="center"/>
          </w:tcPr>
          <w:p>
            <w:pPr>
              <w:pStyle w:val="Compact"/>
              <w:jc w:val="left"/>
            </w:pPr>
            <w:r>
              <w:rPr>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b/>
                <w:bCs/>
              </w:rPr>
              <w:t xml:space="preserve">Req 1</w:t>
            </w:r>
          </w:p>
        </w:tc>
        <w:tc>
          <w:tcPr>
            <w:tcBorders>
              <w:bottom w:val="single" w:sz="8" w:space="0" w:color="000000"/>
            </w:tcBorders>
            <w:shd w:val="clear" w:color="auto" w:fill="E7E6E6"/>
            <w:vAlign w:val="center"/>
          </w:tcPr>
          <w:p>
            <w:pPr>
              <w:pStyle w:val="Compact"/>
              <w:jc w:val="center"/>
            </w:pPr>
            <w:r>
              <w:rPr>
                <w:b/>
                <w:bCs/>
              </w:rPr>
              <w:t xml:space="preserve">Req 2</w:t>
            </w:r>
          </w:p>
        </w:tc>
        <w:tc>
          <w:tcPr>
            <w:tcBorders>
              <w:bottom w:val="single" w:sz="8" w:space="0" w:color="000000"/>
            </w:tcBorders>
            <w:shd w:val="clear" w:color="auto" w:fill="E7E6E6"/>
            <w:vAlign w:val="center"/>
          </w:tcPr>
          <w:p>
            <w:pPr>
              <w:pStyle w:val="Compact"/>
              <w:jc w:val="center"/>
            </w:pPr>
            <w:r>
              <w:rPr>
                <w:b/>
                <w:bCs/>
              </w:rPr>
              <w:t xml:space="preserve">Req 3</w:t>
            </w:r>
          </w:p>
        </w:tc>
        <w:tc>
          <w:tcPr>
            <w:tcBorders>
              <w:bottom w:val="single" w:sz="8" w:space="0" w:color="000000"/>
            </w:tcBorders>
            <w:shd w:val="clear" w:color="auto" w:fill="E7E6E6"/>
            <w:vAlign w:val="center"/>
          </w:tcPr>
          <w:p>
            <w:pPr>
              <w:pStyle w:val="Compact"/>
              <w:jc w:val="center"/>
            </w:pPr>
            <w:r>
              <w:rPr>
                <w:b/>
                <w:bCs/>
              </w:rPr>
              <w:t xml:space="preserve">Req 4</w:t>
            </w:r>
          </w:p>
        </w:tc>
        <w:tc>
          <w:tcPr>
            <w:tcBorders>
              <w:bottom w:val="single" w:sz="8" w:space="0" w:color="000000"/>
            </w:tcBorders>
            <w:shd w:val="clear" w:color="auto" w:fill="E7E6E6"/>
            <w:vAlign w:val="center"/>
          </w:tcPr>
          <w:p>
            <w:pPr>
              <w:pStyle w:val="Compact"/>
              <w:jc w:val="center"/>
            </w:pPr>
            <w:r>
              <w:rPr>
                <w:b/>
                <w:bCs/>
              </w:rPr>
              <w:t xml:space="preserve">Req 5</w:t>
            </w:r>
          </w:p>
        </w:tc>
      </w:tr>
      <w:tr>
        <w:trPr>
          <w:cantSplit/>
        </w:trPr>
        <w:tc>
          <w:tcPr/>
          <w:p>
            <w:pPr>
              <w:pStyle w:val="Compact"/>
              <w:jc w:val="left"/>
            </w:pPr>
            <w:r>
              <w:t xml:space="preserve">S28 [23]</w:t>
            </w:r>
          </w:p>
        </w:tc>
        <w:tc>
          <w:tcPr/>
          <w:p>
            <w:pPr>
              <w:pStyle w:val="Compact"/>
              <w:jc w:val="left"/>
            </w:pPr>
            <w:r>
              <w:t xml:space="preserve">Systematic explanation of remote-attestation mechanisms for trusted execution environments.</w:t>
            </w:r>
          </w:p>
        </w:tc>
        <w:tc>
          <w:tcPr/>
          <w:p>
            <w:pPr>
              <w:pStyle w:val="Compact"/>
              <w:jc w:val="left"/>
            </w:pPr>
            <w:r>
              <w:t xml:space="preserve">Protects the execution; it says nothing about whether the authorisation policy being executed is correct.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9"/>
    <w:bookmarkStart w:id="40" w:name="X825064b2f9c6a59f6907e485e5a8e31c4a70bee"/>
    <w:p>
      <w:pPr>
        <w:pStyle w:val="Heading3"/>
      </w:pPr>
      <w:r>
        <w:t xml:space="preserve"> </w:t>
      </w:r>
      <w:r>
        <w:t xml:space="preserve">2.4.7 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t xml:space="preserve">Table 2.10 summarises the principal focus and limitations of the major research streams and positions the proposed framework relative to the existing literature.</w:t>
      </w:r>
    </w:p>
    <w:p>
      <w:pPr>
        <w:pStyle w:val="TableCaption"/>
      </w:pPr>
      <w:r>
        <w:t xml:space="preserve">Table 2.10: Comparison of the existing research streams and the proposed framework</w:t>
      </w:r>
    </w:p>
    <w:tbl>
      <w:tblPr>
        <w:tblStyle w:val="Table"/>
        <w:tblW w:type="pct" w:w="5000"/>
        <w:tblLayout w:type="fixed"/>
        <w:tblLook w:firstRow="1" w:lastRow="0" w:firstColumn="0" w:lastColumn="0" w:noHBand="0" w:noVBand="0" w:val="0020"/>
        <w:tblCaption w:val="Table 2.10: Comparison of the existing research streams and the proposed framework"/>
      </w:tblPr>
      <w:tblGrid>
        <w:gridCol w:w="1950"/>
        <w:gridCol w:w="1989"/>
        <w:gridCol w:w="1989"/>
        <w:gridCol w:w="1989"/>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t xml:space="preserve">[10, 12, 13, 14, 22, 24, 31]</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t xml:space="preserve">[1, 2, 3, 7, 26, 29]</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[4, 5, 16, 20, 27,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t xml:space="preserve">[4, 6, 9, 19, 31]</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t xml:space="preserve">[11, 25, 28, 32]</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t xml:space="preserve">[23]</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40"/>
    <w:bookmarkEnd w:id="41"/>
    <w:bookmarkStart w:id="42" w:name="X8f0d5a13a2d56d21e1bec7d2ebd521767d7b0f3"/>
    <w:p>
      <w:pPr>
        <w:pStyle w:val="Heading2"/>
      </w:pPr>
      <w:r>
        <w:t xml:space="preserve"> </w:t>
      </w:r>
      <w:r>
        <w:t xml:space="preserve">2.5</w:t>
      </w:r>
      <w:r>
        <w:t xml:space="preserve"> </w:t>
      </w:r>
      <w:r>
        <w:t xml:space="preserve"> </w:t>
      </w:r>
      <w:r>
        <w:t xml:space="preserve">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odyText"/>
      </w:pPr>
      <w:r>
        <w:t xml:space="preserve">From the perspective of the five key requirements defined in Section 2.2, the shortlisted studies (Tables 2.4–2.9) show the following gaps:</w:t>
      </w:r>
    </w:p>
    <w:p>
      <w:pPr>
        <w:numPr>
          <w:ilvl w:val="0"/>
          <w:numId w:val="1004"/>
        </w:numPr>
      </w:pPr>
      <w:r>
        <w:rPr>
          <w:b/>
          <w:bCs/>
        </w:rPr>
        <w:t xml:space="preserve">Consent as an evaluable authorisation object (Req 1).</w:t>
      </w:r>
      <w:r>
        <w:t xml:space="preserve"> </w:t>
      </w:r>
      <w:r>
        <w:t xml:space="preserve">Only S2, S4, S6, S7 and S13 treat consent as more than a stored permission, and even these stop at recording, encrypting or legally defining consent. None of the studies represents consent as an object that carries the identity, authority, approval, purpose and scope conditions required to evaluate a later request.</w:t>
      </w:r>
    </w:p>
    <w:p>
      <w:pPr>
        <w:numPr>
          <w:ilvl w:val="0"/>
          <w:numId w:val="1004"/>
        </w:numPr>
      </w:pPr>
      <w:r>
        <w:rPr>
          <w:b/>
          <w:bCs/>
        </w:rPr>
        <w:t xml:space="preserve">Verifiable identity separated from authority (Req 2).</w:t>
      </w:r>
      <w:r>
        <w:t xml:space="preserve"> </w:t>
      </w:r>
      <w:r>
        <w:t xml:space="preserve">The decentralised identity studies (S15–S21) and the access-control surveys S22 and S25 establish who a participant is, and S8 identifies guardian and proxy roles, but in every case the credential is treated as the end of the decision. No study models the authority required by a particular consent as a condition that is verified separately from identity.</w:t>
      </w:r>
    </w:p>
    <w:p>
      <w:pPr>
        <w:numPr>
          <w:ilvl w:val="0"/>
          <w:numId w:val="1004"/>
        </w:numPr>
      </w:pPr>
      <w:r>
        <w:rPr>
          <w:b/>
          <w:bCs/>
        </w:rPr>
        <w:t xml:space="preserve">Multi-party threshold authorisation (Req 3).</w:t>
      </w:r>
      <w:r>
        <w:t xml:space="preserve"> </w:t>
      </w:r>
      <w:r>
        <w:t xml:space="preserve">Multi-party verification appears in S15 for identity claims, in S23 for data-trust governance and in S14 for collective decision-making, but no study aggregates independent approvals to a threshold that activates a patient’s consent.</w:t>
      </w:r>
    </w:p>
    <w:p>
      <w:pPr>
        <w:numPr>
          <w:ilvl w:val="0"/>
          <w:numId w:val="1004"/>
        </w:numPr>
      </w:pPr>
      <w:r>
        <w:rPr>
          <w:b/>
          <w:bCs/>
        </w:rPr>
        <w:t xml:space="preserve">Purpose- and scope-bound access (Req 4).</w:t>
      </w:r>
      <w:r>
        <w:t xml:space="preserve"> </w:t>
      </w:r>
      <w:r>
        <w:t xml:space="preserve">Policy-based enforcement is well covered (S9–S12, S17, S18, S22–S27), yet the policy is evaluated against roles, attributes or risk rather than against the purpose and data scope stated in the patient’s consent, so a verified and approved requester can still obtain data outside the authorised scope.</w:t>
      </w:r>
    </w:p>
    <w:p>
      <w:pPr>
        <w:numPr>
          <w:ilvl w:val="0"/>
          <w:numId w:val="1004"/>
        </w:numPr>
      </w:pPr>
      <w:r>
        <w:rPr>
          <w:b/>
          <w:bCs/>
        </w:rPr>
        <w:t xml:space="preserve">Lifecycle validity and auditable evidence (Req 5).</w:t>
      </w:r>
      <w:r>
        <w:t xml:space="preserve"> </w:t>
      </w:r>
      <w:r>
        <w:t xml:space="preserve">Blockchain-based studies (S9–S14, S22, S24, S26) provide audit trails and S21 provides identity revocation, but expiry, revocation and state transitions of the consent itself are not evaluated at the time of the request, and the recorded evidence describes transactions rather than the trust conditions under which each decision was made.</w:t>
      </w:r>
    </w:p>
    <w:p>
      <w:pPr>
        <w:pStyle w:val="FirstParagraph"/>
      </w:pPr>
      <w:r>
        <w:t xml:space="preserve">These gaps are addressed in the following order by the research objectives of Chapter 3: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42"/>
    <w:bookmarkStart w:id="43" w:name="conclusion"/>
    <w:p>
      <w:pPr>
        <w:pStyle w:val="Heading2"/>
      </w:pPr>
      <w:r>
        <w:t xml:space="preserve">2.6 Conclusion</w:t>
      </w:r>
    </w:p>
    <w:p>
      <w:pPr>
        <w:pStyle w:val="FirstParagraph"/>
      </w:pPr>
      <w: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28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odyText"/>
      </w:pPr>
      <w:r>
        <w:t xml:space="preserve">These findings motivate the research questions and objectives presented in the next chapter and the trust-oriented consent authorisation framework proposed in Chapters 5 and 6, in which decentralised identifiers, verifiable credentials, threshold-based approval and policy evaluation contribute to one explainable decision.</w:t>
      </w:r>
    </w:p>
    <w:bookmarkEnd w:id="43"/>
    <w:bookmarkEnd w:id="44"/>
    <w:bookmarkStart w:id="45" w:name="references"/>
    <w:p>
      <w:pPr>
        <w:pStyle w:val="Heading1"/>
      </w:pPr>
      <w:r>
        <w:t xml:space="preserve">References</w:t>
      </w:r>
    </w:p>
    <w:bookmarkEnd w:id="45"/>
    <w:bookmarkStart w:id="56" w:name="research-gaps-and-questions"/>
    <w:p>
      <w:pPr>
        <w:pStyle w:val="Heading1"/>
      </w:pPr>
      <w:r>
        <w:t xml:space="preserve">3 Research Gaps and Questions</w:t>
      </w:r>
    </w:p>
    <w:bookmarkStart w:id="46" w:name="research-gap"/>
    <w:p>
      <w:pPr>
        <w:pStyle w:val="Heading2"/>
      </w:pPr>
      <w:r>
        <w:t xml:space="preserve">3.1 Research Gap</w:t>
      </w:r>
    </w:p>
    <w:p>
      <w:pPr>
        <w:pStyle w:val="FirstParagraph"/>
      </w:pPr>
      <w:r>
        <w:t xml:space="preserve">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pStyle w:val="BodyText"/>
      </w:pPr>
      <w:r>
        <w:t xml:space="preserve">In particular, the review defined five key requirements for a trust-oriented consent authorisation framework (Section 2.2) and assessed each of the 28 shortlisted studies against them (Tables 2.4–2.9). No study satisfies more than three of the five requirements, and none treats consent as an evaluable object (Req 1) while also providing multi-party threshold authorisation (Req 3); the gaps are stated requirement by requirement in Section 2.5.</w:t>
      </w:r>
    </w:p>
    <w:p>
      <w:pPr>
        <w:pStyle w:val="BodyText"/>
      </w:pPr>
      <w: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p>
    <w:p>
      <w:pPr>
        <w:pStyle w:val="BodyText"/>
      </w:pPr>
      <w:r>
        <w:t xml:space="preserve">This distinction is important because</w:t>
      </w:r>
      <w:r>
        <w:t xml:space="preserve"> </w:t>
      </w:r>
      <w:r>
        <w:rPr>
          <w:i/>
          <w:iCs/>
        </w:rPr>
        <w:t xml:space="preserve">recording consent</w:t>
      </w:r>
      <w:r>
        <w:t xml:space="preserve"> </w:t>
      </w:r>
      <w:r>
        <w:t xml:space="preserve">and</w:t>
      </w:r>
      <w:r>
        <w:t xml:space="preserve"> </w:t>
      </w:r>
      <w:r>
        <w:rPr>
          <w:i/>
          <w:iCs/>
        </w:rPr>
        <w:t xml:space="preserve">enforcing trustworthy authorisation</w:t>
      </w:r>
      <w:r>
        <w:t xml:space="preserve"> </w:t>
      </w:r>
      <w:r>
        <w:t xml:space="preserve">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pStyle w:val="BodyText"/>
      </w:pPr>
      <w:r>
        <w:t xml:space="preserve">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 The research therefore conceptualises trust not as a static attribute possessed by a particular entity or technology, but as an emergent property of a verifiable authorisation process.</w:t>
      </w:r>
    </w:p>
    <w:p>
      <w:pPr>
        <w:pStyle w:val="BodyText"/>
      </w:pPr>
      <w:r>
        <w:t xml:space="preserve">This perspective also introduces an important distinction between</w:t>
      </w:r>
      <w:r>
        <w:t xml:space="preserve"> </w:t>
      </w:r>
      <w:r>
        <w:rPr>
          <w:i/>
          <w:iCs/>
        </w:rPr>
        <w:t xml:space="preserve">authentication</w:t>
      </w:r>
      <w:r>
        <w:t xml:space="preserve">,</w:t>
      </w:r>
      <w:r>
        <w:t xml:space="preserve"> </w:t>
      </w:r>
      <w:r>
        <w:rPr>
          <w:i/>
          <w:iCs/>
        </w:rPr>
        <w:t xml:space="preserve">authorisation</w:t>
      </w:r>
      <w:r>
        <w:t xml:space="preserve">, and</w:t>
      </w:r>
      <w:r>
        <w:t xml:space="preserve"> </w:t>
      </w:r>
      <w:r>
        <w:rPr>
          <w:i/>
          <w:iCs/>
        </w:rPr>
        <w:t xml:space="preserve">trustworthy access</w:t>
      </w:r>
      <w:r>
        <w:t xml:space="preserve">.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pStyle w:val="BodyText"/>
      </w:pPr>
      <w:r>
        <w:t xml:space="preserve">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pStyle w:val="BodyText"/>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bookmarkEnd w:id="46"/>
    <w:bookmarkStart w:id="47" w:name="main-research-question"/>
    <w:p>
      <w:pPr>
        <w:pStyle w:val="Heading2"/>
      </w:pPr>
      <w:r>
        <w:t xml:space="preserve">3.2 Main Research Question</w:t>
      </w:r>
    </w:p>
    <w:p>
      <w:pPr>
        <w:pStyle w:val="FirstParagraph"/>
      </w:pPr>
      <w:r>
        <w:t xml:space="preserve">Based on the identified research gap, the overarching research question is formulated as follows:</w:t>
      </w:r>
    </w:p>
    <w:p>
      <w:pPr>
        <w:pStyle w:val="BlockText"/>
      </w:pPr>
      <w:r>
        <w:rPr>
          <w:i/>
          <w:iCs/>
        </w:rPr>
        <w:t xml:space="preserve">How can a trust-oriented computing framework establish and enforce trustworthy multi-party consent for decentralised healthcare data sharing under identity, authority, and policy constraints?</w:t>
      </w:r>
    </w:p>
    <w:p>
      <w:pPr>
        <w:pStyle w:val="FirstParagraph"/>
      </w:pPr>
      <w:r>
        <w:t xml:space="preserve">The formulation of this question deliberately emphasises</w:t>
      </w:r>
      <w:r>
        <w:t xml:space="preserve"> </w:t>
      </w:r>
      <w:r>
        <w:rPr>
          <w:i/>
          <w:iCs/>
        </w:rPr>
        <w:t xml:space="preserve">trust-oriented computing</w:t>
      </w:r>
      <w:r>
        <w:t xml:space="preserve"> </w:t>
      </w:r>
      <w:r>
        <w:t xml:space="preserve">rather than any individual implementation technology. The terms</w:t>
      </w:r>
      <w:r>
        <w:t xml:space="preserve"> </w:t>
      </w:r>
      <w:r>
        <w:rPr>
          <w:i/>
          <w:iCs/>
        </w:rPr>
        <w:t xml:space="preserve">establish</w:t>
      </w:r>
      <w:r>
        <w:t xml:space="preserve"> </w:t>
      </w:r>
      <w:r>
        <w:t xml:space="preserve">and</w:t>
      </w:r>
      <w:r>
        <w:t xml:space="preserve"> </w:t>
      </w:r>
      <w:r>
        <w:rPr>
          <w:i/>
          <w:iCs/>
        </w:rPr>
        <w:t xml:space="preserve">enforce</w:t>
      </w:r>
      <w:r>
        <w:t xml:space="preserve"> </w:t>
      </w:r>
      <w:r>
        <w:t xml:space="preserve">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BodyText"/>
      </w:pPr>
      <w: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pStyle w:val="BodyText"/>
      </w:pPr>
      <w:r>
        <w:t xml:space="preserve">For the current stage, the investigation is deliberately focused on the foundational conditions required to establish trustworthy authorisation. These conditions are represented through four interconnected research questions concerning consent modelling, identity and authority trust, multi-party authorisation, and policy-aware access control. Temporal and lifecycle trust, formal security assurance, and comprehensive empirical validation form the subsequent research scope and will be developed further in CA3.</w:t>
      </w:r>
    </w:p>
    <w:bookmarkEnd w:id="47"/>
    <w:bookmarkStart w:id="54" w:name="sub-research-questions"/>
    <w:p>
      <w:pPr>
        <w:pStyle w:val="Heading2"/>
      </w:pPr>
      <w:r>
        <w:t xml:space="preserve">3.3 Sub-Research Questions</w:t>
      </w:r>
    </w:p>
    <w:p>
      <w:pPr>
        <w:pStyle w:val="FirstParagraph"/>
      </w:pPr>
      <w: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bookmarkStart w:id="48" w:name="srq1-trust-centric-consent-modelling"/>
    <w:p>
      <w:pPr>
        <w:pStyle w:val="Heading3"/>
      </w:pPr>
      <w:r>
        <w:t xml:space="preserve">3.3.1 SRQ1: Trust-Centric Consent Modelling</w:t>
      </w:r>
    </w:p>
    <w:p>
      <w:pPr>
        <w:pStyle w:val="FirstParagraph"/>
      </w:pPr>
      <w:r>
        <w:t xml:space="preserve">The first sub-research question is:</w:t>
      </w:r>
    </w:p>
    <w:p>
      <w:pPr>
        <w:pStyle w:val="BlockText"/>
      </w:pPr>
      <w:r>
        <w:rPr>
          <w:i/>
          <w:iCs/>
        </w:rPr>
        <w:t xml:space="preserve">How can patient consent be modelled as a trust-aware authorisation object that explicitly represents identity, authority requirements, policy constraints, and authorisation evidence?</w:t>
      </w:r>
    </w:p>
    <w:p>
      <w:pPr>
        <w:pStyle w:val="FirstParagraph"/>
      </w:pPr>
      <w: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that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r>
            <m:t>  </m:t>
          </m:r>
          <m:r>
            <m:t>  </m:t>
          </m:r>
          <m:r>
            <m:rPr>
              <m:sty m:val="p"/>
            </m:rPr>
            <m:t>(</m:t>
          </m:r>
          <m:r>
            <m:t>7</m:t>
          </m:r>
          <m:r>
            <m:rPr>
              <m:sty m:val="p"/>
            </m:rPr>
            <m:t>)</m:t>
          </m:r>
        </m:oMath>
      </m:oMathPara>
    </w:p>
    <w:p>
      <w:pPr>
        <w:pStyle w:val="FirstParagraph"/>
      </w:pPr>
      <w:r>
        <w:t xml:space="preserve">where</w:t>
      </w:r>
      <w:r>
        <w:t xml:space="preserve"> </w:t>
      </w:r>
      <w:r>
        <w:rPr>
          <w:i/>
          <w:iCs/>
        </w:rPr>
        <w:t xml:space="preserve">I</w:t>
      </w:r>
      <w:r>
        <w:t xml:space="preserve"> </w:t>
      </w:r>
      <w:r>
        <w:t xml:space="preserve">represents identity information,</w:t>
      </w:r>
      <w:r>
        <w:t xml:space="preserve"> </w:t>
      </w:r>
      <w:r>
        <w:rPr>
          <w:i/>
          <w:iCs/>
        </w:rPr>
        <w:t xml:space="preserve">A</w:t>
      </w:r>
      <w:r>
        <w:t xml:space="preserve"> </w:t>
      </w:r>
      <w:r>
        <w:t xml:space="preserve">represents authority and authorisation requirements,</w:t>
      </w:r>
      <w:r>
        <w:t xml:space="preserve"> </w:t>
      </w:r>
      <w:r>
        <w:rPr>
          <w:i/>
          <w:iCs/>
        </w:rPr>
        <w:t xml:space="preserve">P</w:t>
      </w:r>
      <w:r>
        <w:t xml:space="preserve"> </w:t>
      </w:r>
      <w:r>
        <w:t xml:space="preserve">represents policy and data-scope constraints, and</w:t>
      </w:r>
      <w:r>
        <w:t xml:space="preserve"> </w:t>
      </w:r>
      <w:r>
        <w:rPr>
          <w:i/>
          <w:iCs/>
        </w:rPr>
        <w:t xml:space="preserve">E</w:t>
      </w:r>
      <w:r>
        <w:t xml:space="preserve"> </w:t>
      </w:r>
      <w:r>
        <w:t xml:space="preserve">represents authorisation evidence.</w:t>
      </w:r>
    </w:p>
    <w:p>
      <w:pPr>
        <w:pStyle w:val="BodyText"/>
      </w:pPr>
      <w:r>
        <w:t xml:space="preserve">Stage 2 extends this object to</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where</w:t>
      </w:r>
      <w:r>
        <w:t xml:space="preserve"> </w:t>
      </w:r>
      <m:oMath>
        <m:r>
          <m:t>T</m:t>
        </m:r>
      </m:oMath>
      <w:r>
        <w:t xml:space="preserve"> </w:t>
      </w:r>
      <w:r>
        <w:t xml:space="preserve">is the validity interval and</w:t>
      </w:r>
      <w:r>
        <w:t xml:space="preserve"> </w:t>
      </w:r>
      <m:oMath>
        <m:r>
          <m:t>L</m:t>
        </m:r>
      </m:oMath>
      <w:r>
        <w:t xml:space="preserve"> </w:t>
      </w:r>
      <w:r>
        <w:t xml:space="preserve">the lifecycle state. This extended object is already used by the HALAH prototype (Section 7.2).</w:t>
      </w:r>
    </w:p>
    <w:p>
      <w:pPr>
        <w:pStyle w:val="BodyText"/>
      </w:pPr>
      <w:r>
        <w:t xml:space="preserve">This formulation changes the role of consent from a passive record into an evaluable authorisation object. Its security significance is determined not merely by the existence of a consent record, but by whether the associated trust, authority, policy, and evidence conditions remain valid when an access request is evaluated.</w:t>
      </w:r>
    </w:p>
    <w:p>
      <w:pPr>
        <w:pStyle w:val="BodyText"/>
      </w:pPr>
      <w:r>
        <w:t xml:space="preserve">SRQ1 therefore establishes the conceptual representation required by the subsequent identity, multi-party authorisation, policy, and security-assurance mechanisms.</w:t>
      </w:r>
    </w:p>
    <w:bookmarkEnd w:id="48"/>
    <w:bookmarkStart w:id="49" w:name="X9b163572191d4e2040a6100639ac59ebb4b4786"/>
    <w:p>
      <w:pPr>
        <w:pStyle w:val="Heading3"/>
      </w:pPr>
      <w:r>
        <w:t xml:space="preserve">3.3.2 SRQ2: Decentralised Identity and Authority Trust</w:t>
      </w:r>
    </w:p>
    <w:p>
      <w:pPr>
        <w:pStyle w:val="FirstParagraph"/>
      </w:pPr>
      <w:r>
        <w:t xml:space="preserve">The second sub-research question is:</w:t>
      </w:r>
    </w:p>
    <w:p>
      <w:pPr>
        <w:pStyle w:val="BlockText"/>
      </w:pPr>
      <w:r>
        <w:rPr>
          <w:i/>
          <w:iCs/>
        </w:rPr>
        <w:t xml:space="preserve">How can decentralised identities and verifiable credentials establish trustworthy participants while explicitly separating identity authentication from authorisation authority?</w:t>
      </w:r>
    </w:p>
    <w:p>
      <w:pPr>
        <w:pStyle w:val="FirstParagraph"/>
      </w:pPr>
      <w:r>
        <w:t xml:space="preserve">A fundamental principle of the proposed framework is that identity and authorisation should not be treated as equivalent. A valid decentralised identifier establishes the identity of a participant, while a verifiable credential provides evidence concerning the participant’s role or authority. Therefore, identity is not authorisation (Eq. (1)). The identity and authority validity condition is represented as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e</m:t>
          </m:r>
          <m:r>
            <m:t>r</m:t>
          </m:r>
          <m:r>
            <m:t>i</m:t>
          </m:r>
          <m:r>
            <m:t>f</m:t>
          </m:r>
          <m:r>
            <m:t>y</m:t>
          </m:r>
          <m:r>
            <m:t>D</m:t>
          </m:r>
          <m:r>
            <m:t>I</m:t>
          </m:r>
          <m:r>
            <m:t>D</m:t>
          </m:r>
          <m:r>
            <m:rPr>
              <m:sty m:val="p"/>
            </m:rPr>
            <m:t>(</m:t>
          </m:r>
          <m:r>
            <m:t>u</m:t>
          </m:r>
          <m:r>
            <m:rPr>
              <m:sty m:val="p"/>
            </m:rPr>
            <m:t>)</m:t>
          </m:r>
          <m:r>
            <m:rPr>
              <m:sty m:val="p"/>
            </m:rPr>
            <m:t>∧</m:t>
          </m:r>
          <m:r>
            <m:t>V</m:t>
          </m:r>
          <m:r>
            <m:t>e</m:t>
          </m:r>
          <m:r>
            <m:t>r</m:t>
          </m:r>
          <m:r>
            <m:t>i</m:t>
          </m:r>
          <m:r>
            <m:t>f</m:t>
          </m:r>
          <m:r>
            <m:t>y</m:t>
          </m:r>
          <m:r>
            <m:t>V</m:t>
          </m:r>
          <m:r>
            <m:t>C</m:t>
          </m:r>
          <m:r>
            <m:rPr>
              <m:sty m:val="p"/>
            </m:rPr>
            <m:t>(</m:t>
          </m:r>
          <m:r>
            <m:t>u</m:t>
          </m:r>
          <m:r>
            <m:rPr>
              <m:sty m:val="p"/>
            </m:rPr>
            <m:t>)</m:t>
          </m:r>
          <m:r>
            <m:rPr>
              <m:sty m:val="p"/>
            </m:rPr>
            <m:t>.</m:t>
          </m:r>
          <m:r>
            <m:t>  </m:t>
          </m:r>
          <m:r>
            <m:t>  </m:t>
          </m:r>
          <m:r>
            <m:rPr>
              <m:sty m:val="p"/>
            </m:rPr>
            <m:t>(</m:t>
          </m:r>
          <m:r>
            <m:t>8</m:t>
          </m:r>
          <m:r>
            <m:rPr>
              <m:sty m:val="p"/>
            </m:rPr>
            <m:t>)</m:t>
          </m:r>
        </m:oMath>
      </m:oMathPara>
    </w:p>
    <w:p>
      <w:pPr>
        <w:pStyle w:val="FirstParagraph"/>
      </w:pPr>
      <w: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pStyle w:val="BodyText"/>
      </w:pPr>
      <w:r>
        <w:t xml:space="preserve">SRQ2 therefore addresses how trustworthy participants can be established before their participation in collective authorisation decisions.</w:t>
      </w:r>
    </w:p>
    <w:bookmarkEnd w:id="49"/>
    <w:bookmarkStart w:id="50" w:name="Xd0d44d0922943d86c54c0a2972b9bad49456cd0"/>
    <w:p>
      <w:pPr>
        <w:pStyle w:val="Heading3"/>
      </w:pPr>
      <w:r>
        <w:t xml:space="preserve">3.3.3 SRQ3: Trustworthy Multi-Party Authorisation</w:t>
      </w:r>
    </w:p>
    <w:p>
      <w:pPr>
        <w:pStyle w:val="FirstParagraph"/>
      </w:pPr>
      <w:r>
        <w:t xml:space="preserve">The third sub-research question is:</w:t>
      </w:r>
    </w:p>
    <w:p>
      <w:pPr>
        <w:pStyle w:val="BlockText"/>
      </w:pPr>
      <w:r>
        <w:rPr>
          <w:i/>
          <w:iCs/>
        </w:rPr>
        <w:t xml:space="preserve">How can multiple independently verified participants jointly establish a trustworthy consent decision without allowing a single participant to unilaterally authorise sensitive healthcare data access?</w:t>
      </w:r>
    </w:p>
    <w:p>
      <w:pPr>
        <w:pStyle w:val="FirstParagraph"/>
      </w:pPr>
      <w:r>
        <w:t xml:space="preserve">This question addresses the collaborative authorisation problem. Let</w:t>
      </w:r>
      <w:r>
        <w:t xml:space="preserve"> </w:t>
      </w:r>
      <w:r>
        <w:rPr>
          <w:i/>
          <w:iCs/>
        </w:rPr>
        <w:t xml:space="preserve">A</w:t>
      </w:r>
      <w:r>
        <w:rPr>
          <w:vertAlign w:val="subscript"/>
        </w:rPr>
        <w:t xml:space="preserve">v</w:t>
      </w:r>
      <w:r>
        <w:t xml:space="preserve"> </w:t>
      </w:r>
      <w:r>
        <w:t xml:space="preserve">denote the set of independently verified authorisation participants and let</w:t>
      </w:r>
      <w:r>
        <w:t xml:space="preserve"> </w:t>
      </w:r>
      <w:r>
        <w:rPr>
          <w:i/>
          <w:iCs/>
        </w:rPr>
        <w:t xml:space="preserve">N</w:t>
      </w:r>
      <w:r>
        <w:t xml:space="preserve"> </w:t>
      </w:r>
      <w:r>
        <w:t xml:space="preserve">denote the required authorisation threshold. Multi-party authorisation is defined as</w:t>
      </w:r>
    </w:p>
    <w:p>
      <w:pPr>
        <w:pStyle w:val="BodyText"/>
      </w:pPr>
      <m:oMathPara>
        <m:oMathParaPr>
          <m:jc m:val="center"/>
        </m:oMathParaPr>
        <m:oMath>
          <m:sSub>
            <m:e>
              <m:r>
                <m:t>V</m:t>
              </m:r>
            </m:e>
            <m:sub>
              <m:r>
                <m:t>A</m:t>
              </m:r>
            </m:sub>
          </m:sSub>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d>
                      <m:dPr>
                        <m:begChr m:val="|"/>
                        <m:sepChr m:val=""/>
                        <m:endChr m:val="|"/>
                        <m:grow/>
                      </m:dPr>
                      <m:e>
                        <m:sSub>
                          <m:e>
                            <m:r>
                              <m:t>A</m:t>
                            </m:r>
                          </m:e>
                          <m:sub>
                            <m:r>
                              <m:t>v</m:t>
                            </m:r>
                          </m:sub>
                        </m:sSub>
                      </m:e>
                    </m:d>
                    <m:r>
                      <m:rPr>
                        <m:sty m:val="p"/>
                      </m:rPr>
                      <m:t>≥</m:t>
                    </m:r>
                    <m:r>
                      <m:t>N</m:t>
                    </m:r>
                    <m:r>
                      <m:rPr>
                        <m:sty m:val="p"/>
                      </m:rPr>
                      <m:t>,</m:t>
                    </m:r>
                  </m:e>
                </m:mr>
                <m:mr>
                  <m:e>
                    <m:r>
                      <m:t>0</m:t>
                    </m:r>
                    <m:r>
                      <m:rPr>
                        <m:sty m:val="p"/>
                      </m:rPr>
                      <m:t>,</m:t>
                    </m:r>
                  </m:e>
                  <m:e>
                    <m:d>
                      <m:dPr>
                        <m:begChr m:val="|"/>
                        <m:sepChr m:val=""/>
                        <m:endChr m:val="|"/>
                        <m:grow/>
                      </m:dPr>
                      <m:e>
                        <m:sSub>
                          <m:e>
                            <m:r>
                              <m:t>A</m:t>
                            </m:r>
                          </m:e>
                          <m:sub>
                            <m:r>
                              <m:t>v</m:t>
                            </m:r>
                          </m:sub>
                        </m:sSub>
                      </m:e>
                    </m:d>
                    <m:r>
                      <m:rPr>
                        <m:sty m:val="p"/>
                      </m:rPr>
                      <m:t>&lt;</m:t>
                    </m:r>
                    <m:r>
                      <m:t>N</m:t>
                    </m:r>
                    <m:r>
                      <m:rPr>
                        <m:sty m:val="p"/>
                      </m:rPr>
                      <m:t>.</m:t>
                    </m:r>
                  </m:e>
                </m:mr>
              </m:m>
            </m:e>
          </m:d>
          <m:r>
            <m:t>  </m:t>
          </m:r>
          <m:r>
            <m:t>  </m:t>
          </m:r>
          <m:r>
            <m:rPr>
              <m:sty m:val="p"/>
            </m:rPr>
            <m:t>(</m:t>
          </m:r>
          <m:r>
            <m:t>9</m:t>
          </m:r>
          <m:r>
            <m:rPr>
              <m:sty m:val="p"/>
            </m:rPr>
            <m:t>)</m:t>
          </m:r>
        </m:oMath>
      </m:oMathPara>
    </w:p>
    <w:p>
      <w:pPr>
        <w:pStyle w:val="FirstParagraph"/>
      </w:pPr>
      <w:r>
        <w:t xml:space="preserve">Consequently,</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10</m:t>
          </m:r>
          <m:r>
            <m:rPr>
              <m:sty m:val="p"/>
            </m:rPr>
            <m:t>)</m:t>
          </m:r>
        </m:oMath>
      </m:oMathPara>
    </w:p>
    <w:p>
      <w:pPr>
        <w:pStyle w:val="FirstParagraph"/>
      </w:pPr>
      <w: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pStyle w:val="BodyText"/>
      </w:pPr>
      <w:r>
        <w:t xml:space="preserve">More fundamentally, SRQ3 changes the interpretation of trust from an assumption concerning a single trusted entity to a property established through the joint satisfaction of independently verified authorisation requirements.</w:t>
      </w:r>
    </w:p>
    <w:bookmarkEnd w:id="50"/>
    <w:bookmarkStart w:id="51" w:name="X18d67b34848dc6b049b38f880e406e6933f540a"/>
    <w:p>
      <w:pPr>
        <w:pStyle w:val="Heading3"/>
      </w:pPr>
      <w:r>
        <w:t xml:space="preserve">3.3.4 SRQ4: Policy- and Context-Aware Access Control</w:t>
      </w:r>
    </w:p>
    <w:p>
      <w:pPr>
        <w:pStyle w:val="FirstParagraph"/>
      </w:pPr>
      <w:r>
        <w:t xml:space="preserve">The fourth sub-research question is:</w:t>
      </w:r>
    </w:p>
    <w:p>
      <w:pPr>
        <w:pStyle w:val="BlockText"/>
      </w:pPr>
      <w:r>
        <w:rPr>
          <w:i/>
          <w:iCs/>
        </w:rPr>
        <w:t xml:space="preserve">How can policy, purpose, and data-scope constraints be incorporated into authorisation decisions so that valid identities and sufficient approvals cannot be used to obtain unauthorised healthcare data?</w:t>
      </w:r>
    </w:p>
    <w:p>
      <w:pPr>
        <w:pStyle w:val="FirstParagraph"/>
      </w:pPr>
      <w: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11</m:t>
          </m:r>
          <m:r>
            <m:rPr>
              <m:sty m:val="p"/>
            </m:rPr>
            <m:t>)</m:t>
          </m:r>
        </m:oMath>
      </m:oMathPara>
    </w:p>
    <w:p>
      <w:pPr>
        <w:pStyle w:val="FirstParagraph"/>
      </w:pPr>
      <w:r>
        <w:t xml:space="preserve">which evaluates whether the requested operation satisfies the purpose and data-scope constraints defined by the consent object.</w:t>
      </w:r>
    </w:p>
    <w:p>
      <w:pPr>
        <w:pStyle w:val="BodyText"/>
      </w:pPr>
      <w:r>
        <w:t xml:space="preserve">For example, the request in Eq. (4) must be rejected because</w:t>
      </w:r>
      <w:r>
        <w:t xml:space="preserve"> </w:t>
      </w:r>
      <m:oMath>
        <m:sSub>
          <m:e>
            <m:r>
              <m:t>S</m:t>
            </m:r>
          </m:e>
          <m:sub>
            <m:r>
              <m:t>R</m:t>
            </m:r>
          </m:sub>
        </m:sSub>
        <m:r>
          <m:rPr>
            <m:sty m:val="p"/>
          </m:rPr>
          <m:t>⊈</m:t>
        </m:r>
        <m:sSub>
          <m:e>
            <m:r>
              <m:t>S</m:t>
            </m:r>
          </m:e>
          <m:sub>
            <m:r>
              <m:t>C</m:t>
            </m:r>
          </m:sub>
        </m:sSub>
      </m:oMath>
      <w:r>
        <w:t xml:space="preserve"> </w:t>
      </w:r>
      <w:r>
        <w:t xml:space="preserve">(Eq. (5)).</w:t>
      </w:r>
    </w:p>
    <w:p>
      <w:pPr>
        <w:pStyle w:val="BodyText"/>
      </w:pPr>
      <w:r>
        <w:t xml:space="preserve">Similarly, a request may be rejected when its declared purpose is inconsistent with the purpose specified in the consent.</w:t>
      </w:r>
    </w:p>
    <w:p>
      <w:pPr>
        <w:pStyle w:val="BodyText"/>
      </w:pPr>
      <w:r>
        <w:t xml:space="preserve">Thus, trustworthy authorisation requires not only trusted participants and sufficient approvals, but also compliance between the requested operation and the authorisation policy.</w:t>
      </w:r>
    </w:p>
    <w:p>
      <w:pPr>
        <w:pStyle w:val="BodyText"/>
      </w:pPr>
      <w:r>
        <w:t xml:space="preserve">SRQ4 therefore completes the foundational access-control mechanisms by connecting participant trust and collective authorisation with the actual operation being requested.</w:t>
      </w:r>
    </w:p>
    <w:bookmarkEnd w:id="51"/>
    <w:bookmarkStart w:id="52" w:name="srq5-temporal-and-lifecycle-trust"/>
    <w:p>
      <w:pPr>
        <w:pStyle w:val="Heading3"/>
      </w:pPr>
      <w:r>
        <w:t xml:space="preserve">3.3.5 SRQ5: Temporal and Lifecycle Trust</w:t>
      </w:r>
    </w:p>
    <w:p>
      <w:pPr>
        <w:pStyle w:val="FirstParagraph"/>
      </w:pPr>
      <w:r>
        <w:t xml:space="preserve">The fifth sub-research question is:</w:t>
      </w:r>
    </w:p>
    <w:p>
      <w:pPr>
        <w:pStyle w:val="BlockText"/>
      </w:pPr>
      <w:r>
        <w:rPr>
          <w:i/>
          <w:iCs/>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pStyle w:val="FirstParagraph"/>
      </w:pPr>
      <w:r>
        <w:t xml:space="preserve">Trustworthy authorisation is inherently dynamic. A consent that is valid at one point in time cannot necessarily be assumed to remain valid indefinitely. Let the validity interval of a consent object be [</w:t>
      </w:r>
      <w:r>
        <w:rPr>
          <w:i/>
          <w:iCs/>
        </w:rPr>
        <w:t xml:space="preserve">t</w:t>
      </w:r>
      <w:r>
        <w:rPr>
          <w:vertAlign w:val="subscript"/>
        </w:rPr>
        <w:t xml:space="preserve">s</w:t>
      </w:r>
      <w:r>
        <w:rPr>
          <w:i/>
          <w:iCs/>
        </w:rPr>
        <w:t xml:space="preserve">, t</w:t>
      </w:r>
      <w:r>
        <w:rPr>
          <w:vertAlign w:val="subscript"/>
        </w:rPr>
        <w:t xml:space="preserve">e</w:t>
      </w:r>
      <w:r>
        <w:t xml:space="preserve">]. Temporal validity is defined as</w:t>
      </w:r>
    </w:p>
    <w:p>
      <w:pPr>
        <w:pStyle w:val="BodyText"/>
      </w:pPr>
      <m:oMathPara>
        <m:oMathParaPr>
          <m:jc m:val="center"/>
        </m:oMathParaPr>
        <m:oMath>
          <m:sSub>
            <m:e>
              <m:r>
                <m:t>V</m:t>
              </m:r>
            </m:e>
            <m:sub>
              <m:r>
                <m:t>T</m:t>
              </m:r>
            </m:sub>
          </m:sSub>
          <m:r>
            <m:rPr>
              <m:sty m:val="p"/>
            </m:rPr>
            <m:t>(</m:t>
          </m:r>
          <m:r>
            <m:t>C</m:t>
          </m:r>
          <m:r>
            <m:rPr>
              <m:sty m:val="p"/>
            </m:rPr>
            <m:t>,</m:t>
          </m:r>
          <m:r>
            <m:t>t</m:t>
          </m:r>
          <m:r>
            <m:rPr>
              <m:sty m:val="p"/>
            </m:rPr>
            <m:t>)</m:t>
          </m:r>
          <m:r>
            <m:rPr>
              <m:sty m:val="p"/>
            </m:rPr>
            <m:t>=</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  </m:t>
          </m:r>
          <m:r>
            <m:t>  </m:t>
          </m:r>
          <m:r>
            <m:rPr>
              <m:sty m:val="p"/>
            </m:rPr>
            <m:t>(</m:t>
          </m:r>
          <m:r>
            <m:t>12</m:t>
          </m:r>
          <m:r>
            <m:rPr>
              <m:sty m:val="p"/>
            </m:rPr>
            <m:t>)</m:t>
          </m:r>
        </m:oMath>
      </m:oMathPara>
    </w:p>
    <w:p>
      <w:pPr>
        <w:pStyle w:val="FirstParagraph"/>
      </w:pPr>
      <w:r>
        <w:t xml:space="preserve">Consequently,</w:t>
      </w:r>
    </w:p>
    <w:p>
      <w:pPr>
        <w:pStyle w:val="BodyText"/>
      </w:pPr>
      <m:oMathPara>
        <m:oMathParaPr>
          <m:jc m:val="center"/>
        </m:oMathParaPr>
        <m:oMath>
          <m:r>
            <m:t>t</m:t>
          </m:r>
          <m:r>
            <m:rPr>
              <m:sty m:val="p"/>
            </m:rPr>
            <m:t>&lt;</m:t>
          </m:r>
          <m:sSub>
            <m:e>
              <m:r>
                <m:t>t</m:t>
              </m:r>
            </m:e>
            <m:sub>
              <m:r>
                <m:t>s</m:t>
              </m:r>
            </m:sub>
          </m:sSub>
          <m:r>
            <m:rPr>
              <m:sty m:val="p"/>
            </m:rPr>
            <m:t>∨</m:t>
          </m:r>
          <m:r>
            <m:t>t</m:t>
          </m:r>
          <m:r>
            <m:rPr>
              <m:sty m:val="p"/>
            </m:rPr>
            <m:t>&gt;</m:t>
          </m:r>
          <m:sSub>
            <m:e>
              <m:r>
                <m:t>t</m:t>
              </m:r>
            </m:e>
            <m:sub>
              <m:r>
                <m:t>e</m:t>
              </m:r>
            </m:sub>
          </m:sSub>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13</m:t>
          </m:r>
          <m:r>
            <m:rPr>
              <m:sty m:val="p"/>
            </m:rPr>
            <m:t>)</m:t>
          </m:r>
        </m:oMath>
      </m:oMathPara>
    </w:p>
    <w:p>
      <w:pPr>
        <w:pStyle w:val="FirstParagraph"/>
      </w:pPr>
      <w:r>
        <w:t xml:space="preserve">Temporal validity must also be evaluated together with the lifecycle state of the consent. The lifecycle can be represented as</w:t>
      </w:r>
    </w:p>
    <w:p>
      <w:pPr>
        <w:pStyle w:val="BodyText"/>
      </w:pPr>
      <m:oMathPara>
        <m:oMathParaPr>
          <m:jc m:val="center"/>
        </m:oMathParaPr>
        <m:oMath>
          <m:m>
            <m:mPr>
              <m:baseJc m:val="center"/>
              <m:plcHide m:val="on"/>
              <m:mcs>
                <m:mc>
                  <m:mcPr>
                    <m:count m:val="1"/>
                    <m:mcJc m:val="left"/>
                  </m:mcPr>
                </m:mc>
              </m:mcs>
            </m:mPr>
            <m:mr>
              <m:e>
                <m:r>
                  <m:t>S</m:t>
                </m:r>
                <m:r>
                  <m:t>p</m:t>
                </m:r>
                <m:r>
                  <m:t>e</m:t>
                </m:r>
                <m:r>
                  <m:t>c</m:t>
                </m:r>
                <m:r>
                  <m:t>i</m:t>
                </m:r>
                <m:r>
                  <m:t>f</m:t>
                </m:r>
                <m:r>
                  <m:t>i</m:t>
                </m:r>
                <m:r>
                  <m:t>c</m:t>
                </m:r>
                <m:r>
                  <m:t>a</m:t>
                </m:r>
                <m:r>
                  <m:t>t</m:t>
                </m:r>
                <m:r>
                  <m:t>i</m:t>
                </m:r>
                <m:r>
                  <m:t>o</m:t>
                </m:r>
                <m:r>
                  <m:t>n</m:t>
                </m:r>
                <m:r>
                  <m:rPr>
                    <m:sty m:val="p"/>
                  </m:rPr>
                  <m:t>→</m:t>
                </m:r>
                <m:r>
                  <m:t>V</m:t>
                </m:r>
                <m:r>
                  <m:t>e</m:t>
                </m:r>
                <m:r>
                  <m:t>r</m:t>
                </m:r>
                <m:r>
                  <m:t>i</m:t>
                </m:r>
                <m:r>
                  <m:t>f</m:t>
                </m:r>
                <m:r>
                  <m:t>i</m:t>
                </m:r>
                <m:r>
                  <m:t>c</m:t>
                </m:r>
                <m:r>
                  <m:t>a</m:t>
                </m:r>
                <m:r>
                  <m:t>t</m:t>
                </m:r>
                <m:r>
                  <m:t>i</m:t>
                </m:r>
                <m:r>
                  <m:t>o</m:t>
                </m:r>
                <m:r>
                  <m:t>n</m:t>
                </m:r>
                <m:r>
                  <m:rPr>
                    <m:sty m:val="p"/>
                  </m:rPr>
                  <m:t>→</m:t>
                </m:r>
                <m:r>
                  <m:t>A</m:t>
                </m:r>
                <m:r>
                  <m:t>p</m:t>
                </m:r>
                <m:r>
                  <m:t>p</m:t>
                </m:r>
                <m:r>
                  <m:t>r</m:t>
                </m:r>
                <m:r>
                  <m:t>o</m:t>
                </m:r>
                <m:r>
                  <m:t>v</m:t>
                </m:r>
                <m:r>
                  <m:t>a</m:t>
                </m:r>
                <m:r>
                  <m:t>l</m:t>
                </m:r>
              </m:e>
            </m:mr>
            <m:mr>
              <m:e>
                <m:r>
                  <m:rPr>
                    <m:sty m:val="p"/>
                  </m:rPr>
                  <m:t>→</m:t>
                </m:r>
                <m:r>
                  <m:t>A</m:t>
                </m:r>
                <m:r>
                  <m:t>c</m:t>
                </m:r>
                <m:r>
                  <m:t>t</m:t>
                </m:r>
                <m:r>
                  <m:t>i</m:t>
                </m:r>
                <m:r>
                  <m:t>v</m:t>
                </m:r>
                <m:r>
                  <m:t>e</m:t>
                </m:r>
                <m:r>
                  <m:rPr>
                    <m:sty m:val="p"/>
                  </m:rPr>
                  <m:t>→</m:t>
                </m:r>
                <m:r>
                  <m:t>E</m:t>
                </m:r>
                <m:r>
                  <m:t>x</m:t>
                </m:r>
                <m:r>
                  <m:t>p</m:t>
                </m:r>
                <m:r>
                  <m:t>i</m:t>
                </m:r>
                <m:r>
                  <m:t>r</m:t>
                </m:r>
                <m:r>
                  <m:t>a</m:t>
                </m:r>
                <m:r>
                  <m:t>t</m:t>
                </m:r>
                <m:r>
                  <m:t>i</m:t>
                </m:r>
                <m:r>
                  <m:t>o</m:t>
                </m:r>
                <m:r>
                  <m:t>n</m:t>
                </m:r>
                <m:r>
                  <m:rPr>
                    <m:sty m:val="p"/>
                  </m:rPr>
                  <m:t>/</m:t>
                </m:r>
                <m:r>
                  <m:t>R</m:t>
                </m:r>
                <m:r>
                  <m:t>e</m:t>
                </m:r>
                <m:r>
                  <m:t>v</m:t>
                </m:r>
                <m:r>
                  <m:t>o</m:t>
                </m:r>
                <m:r>
                  <m:t>c</m:t>
                </m:r>
                <m:r>
                  <m:t>a</m:t>
                </m:r>
                <m:r>
                  <m:t>t</m:t>
                </m:r>
                <m:r>
                  <m:t>i</m:t>
                </m:r>
                <m:r>
                  <m:t>o</m:t>
                </m:r>
                <m:r>
                  <m:t>n</m:t>
                </m:r>
                <m:r>
                  <m:rPr>
                    <m:sty m:val="p"/>
                  </m:rPr>
                  <m:t>.</m:t>
                </m:r>
              </m:e>
            </m:mr>
          </m:m>
          <m:r>
            <m:t>  </m:t>
          </m:r>
          <m:r>
            <m:t>  </m:t>
          </m:r>
          <m:r>
            <m:rPr>
              <m:sty m:val="p"/>
            </m:rPr>
            <m:t>(</m:t>
          </m:r>
          <m:r>
            <m:t>14</m:t>
          </m:r>
          <m:r>
            <m:rPr>
              <m:sty m:val="p"/>
            </m:rPr>
            <m:t>)</m:t>
          </m:r>
        </m:oMath>
      </m:oMathPara>
    </w:p>
    <w:p>
      <w:pPr>
        <w:pStyle w:val="FirstParagraph"/>
      </w:pPr>
      <w:r>
        <w:t xml:space="preserve">The lifecycle validity predicate can therefore be represented as</w:t>
      </w:r>
    </w:p>
    <w:p>
      <w:pPr>
        <w:pStyle w:val="BodyText"/>
      </w:pPr>
      <m:oMathPara>
        <m:oMathParaPr>
          <m:jc m:val="center"/>
        </m:oMathParaPr>
        <m:oMath>
          <m:sSub>
            <m:e>
              <m:r>
                <m:t>V</m:t>
              </m:r>
            </m:e>
            <m:sub>
              <m:r>
                <m:t>L</m:t>
              </m:r>
            </m:sub>
          </m:sSub>
          <m:r>
            <m:rPr>
              <m:sty m:val="p"/>
            </m:rPr>
            <m:t>(</m:t>
          </m:r>
          <m:r>
            <m:t>C</m:t>
          </m:r>
          <m:r>
            <m:rPr>
              <m:sty m:val="p"/>
            </m:rPr>
            <m:t>)</m:t>
          </m:r>
          <m:r>
            <m:rPr>
              <m:sty m:val="p"/>
            </m:rPr>
            <m:t>=</m:t>
          </m:r>
          <m:r>
            <m:t>V</m:t>
          </m:r>
          <m:r>
            <m:t>a</m:t>
          </m:r>
          <m:r>
            <m:t>l</m:t>
          </m:r>
          <m:r>
            <m:t>i</m:t>
          </m:r>
          <m:r>
            <m:t>d</m:t>
          </m:r>
          <m:r>
            <m:t>S</m:t>
          </m:r>
          <m:r>
            <m:t>t</m:t>
          </m:r>
          <m:r>
            <m:t>a</m:t>
          </m:r>
          <m:r>
            <m:t>t</m:t>
          </m:r>
          <m:r>
            <m:t>e</m:t>
          </m:r>
          <m:r>
            <m:rPr>
              <m:sty m:val="p"/>
            </m:rPr>
            <m:t>(</m:t>
          </m:r>
          <m:r>
            <m:t>C</m:t>
          </m:r>
          <m:r>
            <m:rPr>
              <m:sty m:val="p"/>
            </m:rPr>
            <m:t>)</m:t>
          </m:r>
          <m:r>
            <m:rPr>
              <m:sty m:val="p"/>
            </m:rPr>
            <m:t>∧</m:t>
          </m:r>
          <m:r>
            <m:t>V</m:t>
          </m:r>
          <m:r>
            <m:t>a</m:t>
          </m:r>
          <m:r>
            <m:t>l</m:t>
          </m:r>
          <m:r>
            <m:t>i</m:t>
          </m:r>
          <m:r>
            <m:t>d</m:t>
          </m:r>
          <m:r>
            <m:t>T</m:t>
          </m:r>
          <m:r>
            <m:t>r</m:t>
          </m:r>
          <m:r>
            <m:t>a</m:t>
          </m:r>
          <m:r>
            <m:t>n</m:t>
          </m:r>
          <m:r>
            <m:t>s</m:t>
          </m:r>
          <m:r>
            <m:t>i</m:t>
          </m:r>
          <m:r>
            <m:t>t</m:t>
          </m:r>
          <m:r>
            <m:t>i</m:t>
          </m:r>
          <m:r>
            <m:t>o</m:t>
          </m:r>
          <m:r>
            <m:t>n</m:t>
          </m:r>
          <m:r>
            <m:rPr>
              <m:sty m:val="p"/>
            </m:rPr>
            <m:t>(</m:t>
          </m:r>
          <m:r>
            <m:t>C</m:t>
          </m:r>
          <m:r>
            <m:rPr>
              <m:sty m:val="p"/>
            </m:rPr>
            <m:t>)</m:t>
          </m:r>
          <m:r>
            <m:rPr>
              <m:sty m:val="p"/>
            </m:rPr>
            <m:t>.</m:t>
          </m:r>
          <m:r>
            <m:t>  </m:t>
          </m:r>
          <m:r>
            <m:t>  </m:t>
          </m:r>
          <m:r>
            <m:rPr>
              <m:sty m:val="p"/>
            </m:rPr>
            <m:t>(</m:t>
          </m:r>
          <m:r>
            <m:t>15</m:t>
          </m:r>
          <m:r>
            <m:rPr>
              <m:sty m:val="p"/>
            </m:rPr>
            <m:t>)</m:t>
          </m:r>
        </m:oMath>
      </m:oMathPara>
    </w:p>
    <w:p>
      <w:pPr>
        <w:pStyle w:val="FirstParagrap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w:t>
      </w:r>
    </w:p>
    <w:p>
      <w:pPr>
        <w:pStyle w:val="BodyText"/>
      </w:pPr>
      <w:r>
        <w:t xml:space="preserve">SRQ5 therefore extends the foundational authorisation model into a dynamic consent environment in which trust is continuously evaluated according to both temporal conditions and lifecycle state.</w:t>
      </w:r>
    </w:p>
    <w:bookmarkEnd w:id="52"/>
    <w:bookmarkStart w:id="53" w:name="X7c6b045f751290aa07830b72c2ac7e52de8dcce"/>
    <w:p>
      <w:pPr>
        <w:pStyle w:val="Heading3"/>
      </w:pPr>
      <w:r>
        <w:t xml:space="preserve">3.3.6 SRQ6: Formal Security Assurance and Empirical Validation</w:t>
      </w:r>
    </w:p>
    <w:p>
      <w:pPr>
        <w:pStyle w:val="FirstParagraph"/>
      </w:pPr>
      <w:r>
        <w:t xml:space="preserve">The sixth sub-research question is:</w:t>
      </w:r>
    </w:p>
    <w:p>
      <w:pPr>
        <w:pStyle w:val="BlockText"/>
      </w:pPr>
      <w:r>
        <w:rPr>
          <w:i/>
          <w:iCs/>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FirstParagraph"/>
      </w:pPr>
      <w:r>
        <w:t xml:space="preserve">This question integrates the formal security analysis and empirical validation of the proposed framework. The purpose is not only to determine whether the prototype can execute valid consent workflows, but also to establish whether the implemented mechanism conforms to the security properties defined by the conceptual model.</w:t>
      </w:r>
    </w:p>
    <w:p>
      <w:pPr>
        <w:pStyle w:val="BodyText"/>
      </w:pPr>
      <w:r>
        <w:t xml:space="preserve">The overall authorisation decision is defined as a conjunction of independently evaluated predicates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e>
                </m:mr>
                <m:mr>
                  <m:e>
                    <m:r>
                      <m:t>D</m:t>
                    </m:r>
                    <m:r>
                      <m:t>E</m:t>
                    </m:r>
                    <m:r>
                      <m:t>N</m:t>
                    </m:r>
                    <m:r>
                      <m:t>Y</m:t>
                    </m:r>
                    <m:r>
                      <m:rPr>
                        <m:sty m:val="p"/>
                      </m:rPr>
                      <m:t>,</m:t>
                    </m:r>
                  </m:e>
                  <m:e>
                    <m:r>
                      <m:t> </m:t>
                    </m:r>
                    <m:r>
                      <m:rPr>
                        <m:nor/>
                      </m:rPr>
                      <m:t>otherwise</m:t>
                    </m:r>
                    <m:r>
                      <m:t> </m:t>
                    </m:r>
                    <m:r>
                      <m:rPr>
                        <m:sty m:val="p"/>
                      </m:rPr>
                      <m:t>.</m:t>
                    </m:r>
                  </m:e>
                </m:mr>
              </m:m>
            </m:e>
          </m:d>
          <m:r>
            <m:t>  </m:t>
          </m:r>
          <m:r>
            <m:t>  </m:t>
          </m:r>
          <m:r>
            <m:rPr>
              <m:sty m:val="p"/>
            </m:rPr>
            <m:t>(</m:t>
          </m:r>
          <m:r>
            <m:t>16</m:t>
          </m:r>
          <m:r>
            <m:rPr>
              <m:sty m:val="p"/>
            </m:rPr>
            <m:t>)</m:t>
          </m:r>
        </m:oMath>
      </m:oMathPara>
    </w:p>
    <w:p>
      <w:pPr>
        <w:pStyle w:val="FirstParagraph"/>
      </w:pPr>
      <w:r>
        <w:t xml:space="preserve">The corresponding security properties include identity correctness, which can be formulated as</w:t>
      </w:r>
    </w:p>
    <w:p>
      <w:pPr>
        <w:pStyle w:val="BodyText"/>
      </w:pPr>
      <m:oMathPara>
        <m:oMathParaPr>
          <m:jc m:val="center"/>
        </m:oMathParaPr>
        <m:oMath>
          <m:r>
            <m:t>u</m:t>
          </m:r>
          <m:r>
            <m:rPr>
              <m:sty m:val="p"/>
            </m:rPr>
            <m:t>∈</m:t>
          </m:r>
          <m:sSub>
            <m:e>
              <m:r>
                <m:t>A</m:t>
              </m:r>
            </m:e>
            <m:sub>
              <m:r>
                <m:t>v</m:t>
              </m:r>
            </m:sub>
          </m:sSub>
          <m:r>
            <m:rPr>
              <m:sty m:val="p"/>
            </m:rPr>
            <m:t>⇒</m:t>
          </m:r>
          <m:sSub>
            <m:e>
              <m:r>
                <m:t>V</m:t>
              </m:r>
            </m:e>
            <m:sub>
              <m:r>
                <m:t>I</m:t>
              </m:r>
            </m:sub>
          </m:sSub>
          <m:r>
            <m:rPr>
              <m:sty m:val="p"/>
            </m:rPr>
            <m:t>(</m:t>
          </m:r>
          <m:r>
            <m:t>u</m:t>
          </m:r>
          <m:r>
            <m:rPr>
              <m:sty m:val="p"/>
            </m:rPr>
            <m:t>)</m:t>
          </m:r>
          <m:r>
            <m:rPr>
              <m:sty m:val="p"/>
            </m:rPr>
            <m:t>=</m:t>
          </m:r>
          <m:r>
            <m:t>1</m:t>
          </m:r>
          <m:r>
            <m:rPr>
              <m:sty m:val="p"/>
            </m:rPr>
            <m:t>,</m:t>
          </m:r>
          <m:r>
            <m:t>  </m:t>
          </m:r>
          <m:r>
            <m:t>  </m:t>
          </m:r>
          <m:r>
            <m:rPr>
              <m:sty m:val="p"/>
            </m:rPr>
            <m:t>(</m:t>
          </m:r>
          <m:r>
            <m:t>17</m:t>
          </m:r>
          <m:r>
            <m:rPr>
              <m:sty m:val="p"/>
            </m:rPr>
            <m:t>)</m:t>
          </m:r>
        </m:oMath>
      </m:oMathPara>
    </w:p>
    <w:p>
      <w:pPr>
        <w:pStyle w:val="FirstParagraph"/>
      </w:pPr>
      <w:r>
        <w:t xml:space="preserve">authorisation integrity, formulated as</w:t>
      </w:r>
    </w:p>
    <w:p>
      <w:pPr>
        <w:pStyle w:val="BodyText"/>
      </w:pPr>
      <m:oMathPara>
        <m:oMathParaPr>
          <m:jc m:val="center"/>
        </m:oMathParaPr>
        <m:oMath>
          <m:r>
            <m:rPr>
              <m:sty m:val="p"/>
            </m:rPr>
            <m:t>¬</m:t>
          </m:r>
          <m:r>
            <m:rPr>
              <m:sty m:val="p"/>
            </m:rPr>
            <m:t>(</m:t>
          </m:r>
          <m:sSub>
            <m:e>
              <m:r>
                <m:t>V</m:t>
              </m:r>
            </m:e>
            <m:sub>
              <m:r>
                <m:t>I</m:t>
              </m:r>
            </m:sub>
          </m:sSub>
          <m:r>
            <m:rPr>
              <m:sty m:val="p"/>
            </m:rPr>
            <m:t>∧</m:t>
          </m:r>
          <m:sSub>
            <m:e>
              <m:r>
                <m:t>V</m:t>
              </m:r>
            </m:e>
            <m:sub>
              <m:r>
                <m:t>A</m:t>
              </m:r>
            </m:sub>
          </m:sSub>
          <m:r>
            <m:rPr>
              <m:sty m:val="p"/>
            </m:rPr>
            <m:t>∧</m:t>
          </m:r>
          <m:sSub>
            <m:e>
              <m:r>
                <m:t>V</m:t>
              </m:r>
            </m:e>
            <m:sub>
              <m:r>
                <m:t>P</m:t>
              </m:r>
            </m:sub>
          </m:sSub>
          <m:r>
            <m:rPr>
              <m:sty m:val="p"/>
            </m:rPr>
            <m:t>∧</m:t>
          </m:r>
          <m:sSub>
            <m:e>
              <m:r>
                <m:t>V</m:t>
              </m:r>
            </m:e>
            <m:sub>
              <m:r>
                <m:t>T</m:t>
              </m:r>
            </m:sub>
          </m:sSub>
          <m:r>
            <m:rPr>
              <m:sty m:val="p"/>
            </m:rPr>
            <m:t>∧</m:t>
          </m:r>
          <m:sSub>
            <m:e>
              <m:r>
                <m:t>V</m:t>
              </m:r>
            </m:e>
            <m:sub>
              <m:r>
                <m:t>L</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18</m:t>
          </m:r>
          <m:r>
            <m:rPr>
              <m:sty m:val="p"/>
            </m:rPr>
            <m:t>)</m:t>
          </m:r>
        </m:oMath>
      </m:oMathPara>
    </w:p>
    <w:p>
      <w:pPr>
        <w:pStyle w:val="FirstParagraph"/>
      </w:pPr>
      <w:r>
        <w:t xml:space="preserve">threshold security, formulated as</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19</m:t>
          </m:r>
          <m:r>
            <m:rPr>
              <m:sty m:val="p"/>
            </m:rPr>
            <m:t>)</m:t>
          </m:r>
        </m:oMath>
      </m:oMathPara>
    </w:p>
    <w:p>
      <w:pPr>
        <w:pStyle w:val="FirstParagraph"/>
      </w:pPr>
      <w:r>
        <w:t xml:space="preserve">and temporal safety, formulated as</w:t>
      </w:r>
    </w:p>
    <w:p>
      <w:pPr>
        <w:pStyle w:val="BodyText"/>
      </w:pPr>
      <m:oMathPara>
        <m:oMathParaPr>
          <m:jc m:val="center"/>
        </m:oMathParaPr>
        <m:oMath>
          <m:r>
            <m:t>t</m:t>
          </m:r>
          <m:r>
            <m:rPr>
              <m:sty m:val="p"/>
            </m:rPr>
            <m:t>∉</m:t>
          </m:r>
          <m:r>
            <m:rPr>
              <m:sty m:val="p"/>
            </m:rPr>
            <m:t>[</m:t>
          </m:r>
          <m:sSub>
            <m:e>
              <m:r>
                <m:t>t</m:t>
              </m:r>
            </m:e>
            <m:sub>
              <m:r>
                <m:t>s</m:t>
              </m:r>
            </m:sub>
          </m:sSub>
          <m:r>
            <m:rPr>
              <m:sty m:val="p"/>
            </m:rPr>
            <m:t>,</m:t>
          </m:r>
          <m:sSub>
            <m:e>
              <m:r>
                <m:t>t</m:t>
              </m:r>
            </m:e>
            <m:sub>
              <m:r>
                <m:t>e</m:t>
              </m:r>
            </m:sub>
          </m:sSub>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20</m:t>
          </m:r>
          <m:r>
            <m:rPr>
              <m:sty m:val="p"/>
            </m:rPr>
            <m:t>)</m:t>
          </m:r>
        </m:oMath>
      </m:oMathPara>
    </w:p>
    <w:p>
      <w:pPr>
        <w:pStyle w:val="FirstParagraph"/>
      </w:pPr>
      <w:r>
        <w:t xml:space="preserve">Lifecycle safety additionally requires that unauthorised state transitions be rejected</w:t>
      </w:r>
    </w:p>
    <w:p>
      <w:pPr>
        <w:pStyle w:val="BodyText"/>
      </w:pPr>
      <m:oMathPara>
        <m:oMathParaPr>
          <m:jc m:val="center"/>
        </m:oMathParaPr>
        <m:oMath>
          <m:r>
            <m:t>I</m:t>
          </m:r>
          <m:r>
            <m:t>l</m:t>
          </m:r>
          <m:r>
            <m:t>l</m:t>
          </m:r>
          <m:r>
            <m:t>e</m:t>
          </m:r>
          <m:r>
            <m:t>g</m:t>
          </m:r>
          <m:r>
            <m:t>a</m:t>
          </m:r>
          <m:r>
            <m:t>l</m:t>
          </m:r>
          <m:r>
            <m:t>T</m:t>
          </m:r>
          <m:r>
            <m:t>r</m:t>
          </m:r>
          <m:r>
            <m:t>a</m:t>
          </m:r>
          <m:r>
            <m:t>n</m:t>
          </m:r>
          <m:r>
            <m:t>s</m:t>
          </m:r>
          <m:r>
            <m:t>i</m:t>
          </m:r>
          <m:r>
            <m:t>t</m:t>
          </m:r>
          <m:r>
            <m:t>i</m:t>
          </m:r>
          <m:r>
            <m:t>o</m:t>
          </m:r>
          <m:r>
            <m:t>n</m:t>
          </m:r>
          <m:r>
            <m:rPr>
              <m:sty m:val="p"/>
            </m:rPr>
            <m:t>(</m:t>
          </m:r>
          <m:r>
            <m:t>C</m:t>
          </m:r>
          <m:r>
            <m:rPr>
              <m:sty m:val="p"/>
            </m:rPr>
            <m:t>)</m:t>
          </m:r>
          <m:r>
            <m:rPr>
              <m:sty m:val="p"/>
            </m:rPr>
            <m:t>⇒</m:t>
          </m:r>
          <m:r>
            <m:t>R</m:t>
          </m:r>
          <m:r>
            <m:t>e</m:t>
          </m:r>
          <m:r>
            <m:t>j</m:t>
          </m:r>
          <m:r>
            <m:t>e</m:t>
          </m:r>
          <m:r>
            <m:t>c</m:t>
          </m:r>
          <m:r>
            <m:t>t</m:t>
          </m:r>
          <m:r>
            <m:rPr>
              <m:sty m:val="p"/>
            </m:rPr>
            <m:t>.</m:t>
          </m:r>
          <m:r>
            <m:t>  </m:t>
          </m:r>
          <m:r>
            <m:t>  </m:t>
          </m:r>
          <m:r>
            <m:rPr>
              <m:sty m:val="p"/>
            </m:rPr>
            <m:t>(</m:t>
          </m:r>
          <m:r>
            <m:t>21</m:t>
          </m:r>
          <m:r>
            <m:rPr>
              <m:sty m:val="p"/>
            </m:rPr>
            <m:t>)</m:t>
          </m:r>
        </m:oMath>
      </m:oMathPara>
    </w:p>
    <w:p>
      <w:pPr>
        <w:pStyle w:val="FirstParagraph"/>
      </w:pPr>
      <w: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pStyle w:val="BodyText"/>
      </w:pPr>
      <w:r>
        <w:t xml:space="preserve">The empirical component evaluates whether the implemented HALAH framework realises these defined properties in representative decentralised healthcare data-sharing scenarios. Synthetic healthcare records derived from the Synthea dataset [38] are used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pStyle w:val="BodyText"/>
      </w:pPr>
      <w:r>
        <w:t xml:space="preserve">For a representative multi-party consent scenario, if two authorised participants are required, then it yields</w:t>
      </w:r>
    </w:p>
    <w:p>
      <w:pPr>
        <w:pStyle w:val="BodyText"/>
      </w:pPr>
      <m:oMathPara>
        <m:oMathParaPr>
          <m:jc m:val="center"/>
        </m:oMathParaPr>
        <m:oMath>
          <m:d>
            <m:dPr>
              <m:begChr m:val="|"/>
              <m:sepChr m:val=""/>
              <m:endChr m:val="|"/>
              <m:grow/>
            </m:dPr>
            <m:e>
              <m:sSub>
                <m:e>
                  <m:r>
                    <m:t>A</m:t>
                  </m:r>
                </m:e>
                <m:sub>
                  <m:r>
                    <m:t>v</m:t>
                  </m:r>
                </m:sub>
              </m:sSub>
            </m:e>
          </m:d>
          <m:r>
            <m:rPr>
              <m:sty m:val="p"/>
            </m:rPr>
            <m:t>=</m:t>
          </m:r>
          <m:r>
            <m:t>2</m:t>
          </m:r>
          <m:r>
            <m:rPr>
              <m:sty m:val="p"/>
            </m:rPr>
            <m:t>⇒</m:t>
          </m:r>
          <m:sSub>
            <m:e>
              <m:r>
                <m:t>V</m:t>
              </m:r>
            </m:e>
            <m:sub>
              <m:r>
                <m:t>A</m:t>
              </m:r>
            </m:sub>
          </m:sSub>
          <m:r>
            <m:rPr>
              <m:sty m:val="p"/>
            </m:rPr>
            <m:t>=</m:t>
          </m:r>
          <m:r>
            <m:t>1</m:t>
          </m:r>
          <m:r>
            <m:rPr>
              <m:sty m:val="p"/>
            </m:rPr>
            <m:t>,</m:t>
          </m:r>
          <m:r>
            <m:t>  </m:t>
          </m:r>
          <m:r>
            <m:t>  </m:t>
          </m:r>
          <m:r>
            <m:rPr>
              <m:sty m:val="p"/>
            </m:rPr>
            <m:t>(</m:t>
          </m:r>
          <m:r>
            <m:t>22</m:t>
          </m:r>
          <m:r>
            <m:rPr>
              <m:sty m:val="p"/>
            </m:rPr>
            <m:t>)</m:t>
          </m:r>
        </m:oMath>
      </m:oMathPara>
    </w:p>
    <w:p>
      <w:pPr>
        <w:pStyle w:val="FirstParagraph"/>
      </w:pPr>
      <w:r>
        <w:t xml:space="preserve">whereas</w:t>
      </w:r>
    </w:p>
    <w:p>
      <w:pPr>
        <w:pStyle w:val="BodyText"/>
      </w:pPr>
      <m:oMathPara>
        <m:oMathParaPr>
          <m:jc m:val="center"/>
        </m:oMathParaPr>
        <m:oMath>
          <m:d>
            <m:dPr>
              <m:begChr m:val="|"/>
              <m:sepChr m:val=""/>
              <m:endChr m:val="|"/>
              <m:grow/>
            </m:dPr>
            <m:e>
              <m:sSub>
                <m:e>
                  <m:r>
                    <m:t>A</m:t>
                  </m:r>
                </m:e>
                <m:sub>
                  <m:r>
                    <m:t>v</m:t>
                  </m:r>
                </m:sub>
              </m:sSub>
            </m:e>
          </m:d>
          <m:r>
            <m:rPr>
              <m:sty m:val="p"/>
            </m:rPr>
            <m:t>=</m:t>
          </m:r>
          <m:r>
            <m:t>1</m:t>
          </m:r>
          <m:r>
            <m:rPr>
              <m:sty m:val="p"/>
            </m:rPr>
            <m:t>⇒</m:t>
          </m:r>
          <m:sSub>
            <m:e>
              <m:r>
                <m:t>V</m:t>
              </m:r>
            </m:e>
            <m:sub>
              <m:r>
                <m:t>A</m:t>
              </m:r>
            </m:sub>
          </m:sSub>
          <m:r>
            <m:rPr>
              <m:sty m:val="p"/>
            </m:rPr>
            <m:t>=</m:t>
          </m:r>
          <m:r>
            <m:t>0</m:t>
          </m:r>
          <m:r>
            <m:rPr>
              <m:sty m:val="p"/>
            </m:rPr>
            <m:t>.</m:t>
          </m:r>
          <m:r>
            <m:t>  </m:t>
          </m:r>
          <m:r>
            <m:t>  </m:t>
          </m:r>
          <m:r>
            <m:rPr>
              <m:sty m:val="p"/>
            </m:rPr>
            <m:t>(</m:t>
          </m:r>
          <m:r>
            <m:t>23</m:t>
          </m:r>
          <m:r>
            <m:rPr>
              <m:sty m:val="p"/>
            </m:rPr>
            <m:t>)</m:t>
          </m:r>
        </m:oMath>
      </m:oMathPara>
    </w:p>
    <w:p>
      <w:pPr>
        <w:pStyle w:val="FirstParagraph"/>
      </w:pPr>
      <w: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pStyle w:val="BodyText"/>
      </w:pPr>
      <w:r>
        <w:t xml:space="preserve">Audit records are generated throughout the workflow to provide evidence of consent creation, participant verification, approval events, authorisation-state evaluation, data-access decisions, and relevant lifecycle transitions.</w:t>
      </w:r>
    </w:p>
    <w:p>
      <w:pPr>
        <w:pStyle w:val="BodyText"/>
      </w:pPr>
      <w: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pStyle w:val="BodyText"/>
      </w:pPr>
      <w:r>
        <w:t xml:space="preserve">SRQ6 consequently represents the final assurance stage of the research program by connecting formal security reasoning with implementation-level evidence. Together, these two forms of analysis provide evidence that the proposed framework is not only conceptually defined, but also capable of enforcing the intended trust-oriented authorisation properties in representative healthcare data-sharing scenarios.</w:t>
      </w:r>
    </w:p>
    <w:bookmarkEnd w:id="53"/>
    <w:bookmarkEnd w:id="54"/>
    <w:bookmarkStart w:id="55" w:name="X9cc2cc5b48f664d7cd3e7b6edadc241ad9a9dd9"/>
    <w:p>
      <w:pPr>
        <w:pStyle w:val="Heading2"/>
      </w:pPr>
      <w:r>
        <w:t xml:space="preserve">3.4 Research Questions as an Integrated Research Problem</w:t>
      </w:r>
    </w:p>
    <w:p>
      <w:pPr>
        <w:pStyle w:val="FirstParagraph"/>
      </w:pPr>
      <w:r>
        <w:t xml:space="preserve">The six sub-research questions are not independent technical questions; rather, they represent successive and interdependent trust conditions within a unified healthcare data authorisation problem. Collectively, they investigate how patient consent can be transformed from a static permission record into a trustworthy, evaluable, and enforceable authorisation mechanism.</w:t>
      </w:r>
    </w:p>
    <w:p>
      <w:pPr>
        <w:pStyle w:val="BodyText"/>
      </w:pPr>
      <w: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pStyle w:val="BodyText"/>
      </w:pPr>
      <w:r>
        <w:t xml:space="preserve">The integrated authorisation condition can therefore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t>t</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sSub>
            <m:e>
              <m:r>
                <m:t>V</m:t>
              </m:r>
            </m:e>
            <m:sub>
              <m:r>
                <m:t>T</m:t>
              </m:r>
            </m:sub>
          </m:sSub>
          <m:r>
            <m:rPr>
              <m:sty m:val="p"/>
            </m:rPr>
            <m:t>(</m:t>
          </m:r>
          <m:r>
            <m:t>C</m:t>
          </m:r>
          <m:r>
            <m:rPr>
              <m:sty m:val="p"/>
            </m:rPr>
            <m:t>,</m:t>
          </m:r>
          <m:r>
            <m:t>t</m:t>
          </m:r>
          <m:r>
            <m:rPr>
              <m:sty m:val="p"/>
            </m:rPr>
            <m:t>)</m:t>
          </m:r>
          <m:r>
            <m:rPr>
              <m:sty m:val="p"/>
            </m:rPr>
            <m:t>∧</m:t>
          </m:r>
          <m:sSub>
            <m:e>
              <m:r>
                <m:t>V</m:t>
              </m:r>
            </m:e>
            <m:sub>
              <m:r>
                <m:t>L</m:t>
              </m:r>
            </m:sub>
          </m:sSub>
          <m:r>
            <m:rPr>
              <m:sty m:val="p"/>
            </m:rPr>
            <m:t>(</m:t>
          </m:r>
          <m:r>
            <m:t>C</m:t>
          </m:r>
          <m:r>
            <m:rPr>
              <m:sty m:val="p"/>
            </m:rPr>
            <m:t>)</m:t>
          </m:r>
          <m:r>
            <m:rPr>
              <m:sty m:val="p"/>
            </m:rPr>
            <m:t>.</m:t>
          </m:r>
          <m:r>
            <m:t>  </m:t>
          </m:r>
          <m:r>
            <m:t>  </m:t>
          </m:r>
          <m:r>
            <m:rPr>
              <m:sty m:val="p"/>
            </m:rPr>
            <m:t>(</m:t>
          </m:r>
          <m:r>
            <m:t>24</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 </w:t>
      </w:r>
      <w:r>
        <w:t xml:space="preserve">represents identity and authority validity,</w:t>
      </w:r>
      <w:r>
        <w:t xml:space="preserve"> </w:t>
      </w:r>
      <w:r>
        <w:rPr>
          <w:i/>
          <w:iCs/>
        </w:rPr>
        <w:t xml:space="preserve">V</w:t>
      </w:r>
      <w:r>
        <w:rPr>
          <w:vertAlign w:val="subscript"/>
        </w:rPr>
        <w:t xml:space="preserve">A</w:t>
      </w:r>
      <w:r>
        <w:t xml:space="preserve"> </w:t>
      </w:r>
      <w:r>
        <w:t xml:space="preserve">represents collective authorisation validity,</w:t>
      </w:r>
      <w:r>
        <w:t xml:space="preserve"> </w:t>
      </w:r>
      <w:r>
        <w:rPr>
          <w:i/>
          <w:iCs/>
        </w:rPr>
        <w:t xml:space="preserve">V</w:t>
      </w:r>
      <w:r>
        <w:rPr>
          <w:vertAlign w:val="subscript"/>
        </w:rPr>
        <w:t xml:space="preserve">P</w:t>
      </w:r>
      <w:r>
        <w:t xml:space="preserve"> </w:t>
      </w:r>
      <w:r>
        <w:t xml:space="preserve">represents policy and contextual compliance,</w:t>
      </w:r>
      <w:r>
        <w:t xml:space="preserve"> </w:t>
      </w:r>
      <w:r>
        <w:rPr>
          <w:i/>
          <w:iCs/>
        </w:rPr>
        <w:t xml:space="preserve">V</w:t>
      </w:r>
      <w:r>
        <w:rPr>
          <w:vertAlign w:val="subscript"/>
        </w:rPr>
        <w:t xml:space="preserve">T</w:t>
      </w:r>
      <w:r>
        <w:t xml:space="preserve"> </w:t>
      </w:r>
      <w:r>
        <w:t xml:space="preserve">represents temporal validity, and</w:t>
      </w:r>
      <w:r>
        <w:t xml:space="preserve"> </w:t>
      </w:r>
      <w:r>
        <w:rPr>
          <w:i/>
          <w:iCs/>
        </w:rPr>
        <w:t xml:space="preserve">V</w:t>
      </w:r>
      <w:r>
        <w:rPr>
          <w:vertAlign w:val="subscript"/>
        </w:rPr>
        <w:t xml:space="preserve">L</w:t>
      </w:r>
      <w:r>
        <w:t xml:space="preserve"> </w:t>
      </w:r>
      <w:r>
        <w:t xml:space="preserve">represents consent lifecycle validity.</w:t>
      </w:r>
    </w:p>
    <w:p>
      <w:pPr>
        <w:pStyle w:val="BodyText"/>
      </w:pPr>
      <w:r>
        <w:t xml:space="preserve">This formulation provides the central logical relationship among SRQ1–SRQ5. A valid authorisation decision requires the simultaneous satisfaction of all relevant trust conditions. Consequently, failure of any individual condition results in denial, as stated by Eq. (18).</w:t>
      </w:r>
    </w:p>
    <w:p>
      <w:pPr>
        <w:pStyle w:val="BodyText"/>
      </w:pPr>
      <w: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pStyle w:val="BodyText"/>
      </w:pPr>
      <w:r>
        <w:t xml:space="preserve">The research questions form a progressive research architecture that begins with establishing a robust Consent Representation, which directly fosters Participant Trust. This trust then translates into a framework for Collective Authorisation, providing the necessary foundation for systemic Policy Enforcement. Consequently, this enables dynamic Temporal/Lifecycle Control over data and processes, culminating in comprehensive Security Assurance and Validation. By structuring the inquiries this way, the architecture creates a continuous logical pipeline that connects user-facing trust with back-end system security.</w:t>
      </w:r>
    </w:p>
    <w:p>
      <w:pPr>
        <w:pStyle w:val="BodyText"/>
      </w:pPr>
      <w:r>
        <w:t xml:space="preserve">This progression provides a coherent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Instead, they constitute complementary mechanisms within a single trust-oriented authorisation model.</w:t>
      </w:r>
    </w:p>
    <w:p>
      <w:pPr>
        <w:pStyle w:val="BodyText"/>
      </w:pPr>
      <w:r>
        <w:t xml:space="preserve">Accordingly, the contribution of the research is not simply the implementation of a blockchain-based consent prototype. Rather, the research investigates how multiple trust conditions can be explicitly represented, independently evaluated, jointly enforced, formally reasoned about, and empirically validated within a decentralised healthcare data-sharing environment. The six research questions therefore collectively define the integrated research problem and provide a direct conceptual correspondence with the six research objectives.</w:t>
      </w:r>
    </w:p>
    <w:bookmarkEnd w:id="55"/>
    <w:bookmarkEnd w:id="56"/>
    <w:bookmarkStart w:id="64" w:name="research-objectives"/>
    <w:p>
      <w:pPr>
        <w:pStyle w:val="Heading1"/>
      </w:pPr>
      <w:r>
        <w:t xml:space="preserve">4 Research Objectives</w:t>
      </w:r>
    </w:p>
    <w:p>
      <w:pPr>
        <w:pStyle w:val="FirstParagraph"/>
      </w:pPr>
      <w: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 consists of six research objectives, corresponding to six research questions. The first four objectives establish the foundational trust-oriented authorisation mechanisms investigated during the current stage, while the final two objectives extend and evaluate these mechanisms as part of the next research program.</w:t>
      </w:r>
    </w:p>
    <w:bookmarkStart w:id="57" w:name="ro1---trust-centric-consent-model"/>
    <w:p>
      <w:pPr>
        <w:pStyle w:val="Heading2"/>
      </w:pPr>
      <w:r>
        <w:t xml:space="preserve">4.1 RO1 - Trust-Centric Consent Model</w:t>
      </w:r>
    </w:p>
    <w:p>
      <w:pPr>
        <w:pStyle w:val="FirstParagraph"/>
      </w:pPr>
      <w: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pStyle w:val="BodyText"/>
      </w:pPr>
      <w:r>
        <w:t xml:space="preserve">RO1 directly addresses SRQ1 and establishes the conceptual foundation for the remaining objectives. In particular, it defines the information that must be represented before consent can be interpreted as an authorisation decision rather than merely as a static approval record.</w:t>
      </w:r>
    </w:p>
    <w:bookmarkEnd w:id="57"/>
    <w:bookmarkStart w:id="58" w:name="X3b9e419e4a4f9a8a6cd783c1e30cfe2d27dc9a9"/>
    <w:p>
      <w:pPr>
        <w:pStyle w:val="Heading2"/>
      </w:pPr>
      <w:r>
        <w:t xml:space="preserve">4.2 RO2 - Decentralised Identity and Authority Trust</w:t>
      </w:r>
    </w:p>
    <w:p>
      <w:pPr>
        <w:pStyle w:val="FirstParagraph"/>
      </w:pPr>
      <w: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RO2 addresses SRQ2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bookmarkEnd w:id="58"/>
    <w:bookmarkStart w:id="59" w:name="X96c8ad6648392c7605ed75ab20b31c56041cc8d"/>
    <w:p>
      <w:pPr>
        <w:pStyle w:val="Heading2"/>
      </w:pPr>
      <w:r>
        <w:t xml:space="preserve">4.3 RO3 - Trustworthy Multi-Party Authorisation</w:t>
      </w:r>
    </w:p>
    <w:p>
      <w:pPr>
        <w:pStyle w:val="FirstParagraph"/>
      </w:pPr>
      <w:r>
        <w:t xml:space="preserve">The third research objective is to develop a threshold-based multi-party authorisation mechanism through which multiple independently verified participants can jointly establish a trustworthy consent decision.</w:t>
      </w:r>
    </w:p>
    <w:p>
      <w:pPr>
        <w:pStyle w:val="BodyText"/>
      </w:pPr>
      <w:r>
        <w:t xml:space="preserve">The objective is to prevent unilateral authorisation where collective approval is required and to provide an explicit mechanism for distinguishing sufficient from insufficient participation. The mechanism will define the required authorisation participants, verify their approval evidence, and determine whether the predefined threshold has been satisfied.</w:t>
      </w:r>
    </w:p>
    <w:p>
      <w:pPr>
        <w:pStyle w:val="BodyText"/>
      </w:pPr>
      <w:r>
        <w:t xml:space="preserve">RO3 directly addresses SRQ3 and extends the consent model from an individual permission statement to a collective authorisation decision.</w:t>
      </w:r>
    </w:p>
    <w:bookmarkEnd w:id="59"/>
    <w:bookmarkStart w:id="60" w:name="X0727da7f5cfdf2586e7a7050610bbe70c20071d"/>
    <w:p>
      <w:pPr>
        <w:pStyle w:val="Heading2"/>
      </w:pPr>
      <w:r>
        <w:t xml:space="preserve">4.4 RO4 - Policy- and Context-Aware Access Control</w:t>
      </w:r>
    </w:p>
    <w:p>
      <w:pPr>
        <w:pStyle w:val="FirstParagraph"/>
      </w:pPr>
      <w:r>
        <w:t xml:space="preserve">The fourth research objective is to develop a policy-aware authorisation mechanism that evaluates the purpose and data scope of a requested operation against the constraints defined by the consent.</w:t>
      </w:r>
    </w:p>
    <w:p>
      <w:pPr>
        <w:pStyle w:val="BodyText"/>
      </w:pPr>
      <w:r>
        <w:t xml:space="preserve">The objective is to ensure that a valid identity and sufficient multi-party approval cannot be used to obtain healthcare information outside the authorised scope. Accordingly, the mechanism will evaluate whether the requested purpose is consistent with the consent and whether the requested data scope is contained within the permitted scope.</w:t>
      </w:r>
    </w:p>
    <w:p>
      <w:pPr>
        <w:pStyle w:val="BodyText"/>
      </w:pPr>
      <w:r>
        <w:t xml:space="preserve">RO4 directly addresses SRQ4 and completes the foundational authorisation model investigated during the current stage. Together, RO1–RO4 establish the representation, verification, collective authorisation, and policy-enforcement mechanisms required for a trust-oriented healthcare data-sharing decision.</w:t>
      </w:r>
    </w:p>
    <w:bookmarkEnd w:id="60"/>
    <w:bookmarkStart w:id="61" w:name="ro5---temporal-and-lifecycle-trust"/>
    <w:p>
      <w:pPr>
        <w:pStyle w:val="Heading2"/>
      </w:pPr>
      <w:r>
        <w:t xml:space="preserve">4.5 RO5 - Temporal and Lifecycle Trust</w:t>
      </w:r>
    </w:p>
    <w:p>
      <w:pPr>
        <w:pStyle w:val="FirstParagrap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w:t>
      </w:r>
    </w:p>
    <w:p>
      <w:pPr>
        <w:pStyle w:val="BodyText"/>
      </w:pPr>
      <w:r>
        <w:t xml:space="preserve">RO5 addresses SRQ5 and extends the foundational current stage authorisation model into a dynamic consent environment. Whereas the current stage establishes whether an authorisation can be considered valid under the defined identity, approval, and policy conditions, RO5 investigates whether that authorisation remains valid as time passes and as the consent state changes.</w:t>
      </w:r>
    </w:p>
    <w:p>
      <w:pPr>
        <w:pStyle w:val="BodyText"/>
      </w:pPr>
      <w:r>
        <w:t xml:space="preserve">This objective constitutes a principal component of the next-stage research program. It will investigate how temporal and lifecycle conditions can be incorporated into the authorisation decision without weakening the trust relationships established by the current stage mechanisms.</w:t>
      </w:r>
    </w:p>
    <w:bookmarkEnd w:id="61"/>
    <w:bookmarkStart w:id="62" w:name="X24a27d6a5b6d202a5a17862710e34d1cf0bfc50"/>
    <w:p>
      <w:pPr>
        <w:pStyle w:val="Heading2"/>
      </w:pPr>
      <w:r>
        <w:t xml:space="preserve">4.6 RO6 - Formal Security Assurance and Empirical Validation</w:t>
      </w:r>
    </w:p>
    <w:p>
      <w:pPr>
        <w:pStyle w:val="FirstParagraph"/>
      </w:pPr>
      <w:r>
        <w:t xml:space="preserve">The sixth research objective is to formally analyse and empirically evaluate whether the implemented framework satisfies its defined trust and authorisation properties under representative healthcare data-sharing scenarios.</w:t>
      </w:r>
    </w:p>
    <w:p>
      <w:pPr>
        <w:pStyle w:val="BodyText"/>
      </w:pPr>
      <w:r>
        <w:t xml:space="preserve">RO6 addresses SRQ6 and combines formal security assurance with empirical validation of the proposed framework. The formal component will specify and analyse the security properties, consistency requirements, and soundness conditions of the trust-oriented authorisation mechanism. The empirical component will evaluate the implementation through representative consent workflows, negative and adversarial scenarios, and comprehensive testing of the HALAH prototype.</w:t>
      </w:r>
    </w:p>
    <w:p>
      <w:pPr>
        <w:pStyle w:val="BodyText"/>
      </w:pPr>
      <w:r>
        <w:t xml:space="preserve">The objective is to establish not only that the prototype can execute valid consent workflows, but also that it behaves correctly when one or more trust conditions are violated. For example, the evaluation should examine whether access is denied when identity verification fails, when the required authorisation threshold is not satisfied, or when the requested purpose or data scope violates the consent policy.</w:t>
      </w:r>
    </w:p>
    <w:p>
      <w:pPr>
        <w:pStyle w:val="BodyText"/>
      </w:pPr>
      <w:r>
        <w:t xml:space="preserve">RO6 therefore represents the transition from establishing the authorisation model to providing evidence for its security and practical effectiveness. Although preliminary implementation and scenario-based testing may support the current stage findings, the complete formal analysis and comprehensive empirical validation will be conducted as part of the next-stage work.</w:t>
      </w:r>
    </w:p>
    <w:bookmarkEnd w:id="62"/>
    <w:bookmarkStart w:id="63" w:name="X07796854c457956cc5d41c43493200966f89c2d"/>
    <w:p>
      <w:pPr>
        <w:pStyle w:val="Heading2"/>
      </w:pPr>
      <w:r>
        <w:t xml:space="preserve">4.7 Relationship Between Research Questions and Objectives</w:t>
      </w:r>
    </w:p>
    <w:p>
      <w:pPr>
        <w:pStyle w:val="FirstParagraph"/>
      </w:pPr>
      <w:r>
        <w:t xml:space="preserve">The relationship between the six research questions and the six research objectives is summarised in Table 4.1 and Table 4.2. The mapping follows the structure of the research program and maintains a direct correspondence between each research question and its associated objective. This correspondence ensures that every research question is addressed by a clearly defined research activity and that each objective contributes to the overall development of the proposed trust-oriented authorisation framework.</w:t>
      </w:r>
    </w:p>
    <w:p>
      <w:pPr>
        <w:pStyle w:val="BodyText"/>
      </w:pPr>
      <w:r>
        <w:t xml:space="preserve">Each objective also responds to one of the key requirements identified in the literature review: RO1 to Req 1, RO2 to Req 2, RO3 to Req 3, RO4 to Req 4 and RO5 to Req 5 (Section 2.2), while RO6 provides the formal and empirical assurance that the requirements are met (Section 2.5).</w:t>
      </w:r>
    </w:p>
    <w:p>
      <w:pPr>
        <w:pStyle w:val="BodyText"/>
      </w:pPr>
      <w:r>
        <w:t xml:space="preserve">The current stage research consequently concentrates on RO1–RO4, which establish the foundational trust-oriented authorisation model. These objectives investigate how consent can be represented as an evaluable authorisation object, how participant identity and authority can be verified, how multiple participants can jointly establish authorisation, and how policy constraints can be enforced before healthcare data are released.</w:t>
      </w:r>
    </w:p>
    <w:p>
      <w:pPr>
        <w:pStyle w:val="BodyText"/>
      </w:pPr>
      <w:r>
        <w:t xml:space="preserve">RO5 and RO6 constitute the principal research agenda for CA3. RO5 extends the authorisation model with temporal and lifecycle trust, while RO6 provides formal security assurance and comprehensive empirical validation. The distinction between current stage and next stage is therefore based on research scope and maturity rather than on a different set of research questions or objectives. The current stage establishes the foundational mechanisms and their conceptual relationships, whereas the next stage investigates whether these mechanisms remain reliable under dynamic lifecycle conditions and whether their security and practical effectiveness can be formally and empirically demonstrated.</w:t>
      </w:r>
    </w:p>
    <w:p>
      <w:pPr>
        <w:pStyle w:val="TableCaption"/>
      </w:pPr>
      <w:r>
        <w:t xml:space="preserve">Table 4.1: Research Questions, Research Objectives, and Thesis Chapters for Current Stage</w:t>
      </w:r>
    </w:p>
    <w:tbl>
      <w:tblPr>
        <w:tblStyle w:val="Table"/>
        <w:tblW w:type="pct" w:w="5000"/>
        <w:tblLayout w:type="fixed"/>
        <w:tblLook w:firstRow="1" w:lastRow="0" w:firstColumn="0" w:lastColumn="0" w:noHBand="0" w:noVBand="0" w:val="0020"/>
        <w:tblCaption w:val="Table 4.1: Research Questions, Research Objectives, and Thesis Chapters for Current Stage"/>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SRQ1</w:t>
            </w:r>
          </w:p>
        </w:tc>
        <w:tc>
          <w:tcPr/>
          <w:p>
            <w:pPr>
              <w:pStyle w:val="Compact"/>
              <w:jc w:val="left"/>
            </w:pPr>
            <w:r>
              <w:rPr>
                <w:b/>
                <w:bCs/>
              </w:rPr>
              <w:t xml:space="preserve">RO1:</w:t>
            </w:r>
            <w:r>
              <w:t xml:space="preserve"> </w:t>
            </w:r>
            <w:r>
              <w:t xml:space="preserve">Trust-Centric Consent Model</w:t>
            </w:r>
          </w:p>
        </w:tc>
        <w:tc>
          <w:tcPr/>
          <w:p>
            <w:pPr>
              <w:pStyle w:val="Compact"/>
              <w:jc w:val="left"/>
            </w:pPr>
            <w:r>
              <w:t xml:space="preserve">Develop a structured and evaluable consent representation that treats patient consent as a policy-bound authorisation object containing identity information, authority requirements, policy constraints, and authorisation evidence.</w:t>
            </w:r>
          </w:p>
        </w:tc>
        <w:tc>
          <w:tcPr/>
          <w:p>
            <w:pPr>
              <w:pStyle w:val="Compact"/>
              <w:jc w:val="left"/>
            </w:pPr>
            <w:r>
              <w:t xml:space="preserve">Chapter 3</w:t>
            </w:r>
          </w:p>
        </w:tc>
      </w:tr>
      <w:tr>
        <w:trPr>
          <w:cantSplit/>
        </w:trPr>
        <w:tc>
          <w:tcPr/>
          <w:p>
            <w:pPr>
              <w:pStyle w:val="Compact"/>
              <w:jc w:val="left"/>
            </w:pPr>
            <w:r>
              <w:rPr>
                <w:b/>
                <w:bCs/>
              </w:rPr>
              <w:t xml:space="preserve">SRQ2</w:t>
            </w:r>
          </w:p>
        </w:tc>
        <w:tc>
          <w:tcPr/>
          <w:p>
            <w:pPr>
              <w:pStyle w:val="Compact"/>
              <w:jc w:val="left"/>
            </w:pPr>
            <w:r>
              <w:rPr>
                <w:b/>
                <w:bCs/>
              </w:rPr>
              <w:t xml:space="preserve">RO2:</w:t>
            </w:r>
            <w:r>
              <w:t xml:space="preserve"> </w:t>
            </w:r>
            <w:r>
              <w:t xml:space="preserve">Decentralised Identity and Authority Trust</w:t>
            </w:r>
          </w:p>
        </w:tc>
        <w:tc>
          <w:tcPr/>
          <w:p>
            <w:pPr>
              <w:pStyle w:val="Compact"/>
              <w:jc w:val="left"/>
            </w:pPr>
            <w:r>
              <w:t xml:space="preserve">Establish trustworthy participants using DIDs and VCs while explicitly separating identity authentication from authorisation authority.</w:t>
            </w:r>
          </w:p>
        </w:tc>
        <w:tc>
          <w:tcPr/>
          <w:p>
            <w:pPr>
              <w:pStyle w:val="Compact"/>
              <w:jc w:val="left"/>
            </w:pPr>
            <w:r>
              <w:t xml:space="preserve">Chapter 3</w:t>
            </w:r>
          </w:p>
        </w:tc>
      </w:tr>
      <w:tr>
        <w:trPr>
          <w:cantSplit/>
        </w:trPr>
        <w:tc>
          <w:tcPr/>
          <w:p>
            <w:pPr>
              <w:pStyle w:val="Compact"/>
              <w:jc w:val="left"/>
            </w:pPr>
            <w:r>
              <w:rPr>
                <w:b/>
                <w:bCs/>
              </w:rPr>
              <w:t xml:space="preserve">SRQ3</w:t>
            </w:r>
          </w:p>
        </w:tc>
        <w:tc>
          <w:tcPr/>
          <w:p>
            <w:pPr>
              <w:pStyle w:val="Compact"/>
              <w:jc w:val="left"/>
            </w:pPr>
            <w:r>
              <w:rPr>
                <w:b/>
                <w:bCs/>
              </w:rPr>
              <w:t xml:space="preserve">RO3:</w:t>
            </w:r>
            <w:r>
              <w:t xml:space="preserve"> </w:t>
            </w:r>
            <w:r>
              <w:t xml:space="preserve">Trustworthy Multi-Party Authorisation</w:t>
            </w:r>
          </w:p>
        </w:tc>
        <w:tc>
          <w:tcPr/>
          <w:p>
            <w:pPr>
              <w:pStyle w:val="Compact"/>
              <w:jc w:val="left"/>
            </w:pPr>
            <w:r>
              <w:t xml:space="preserve">Establish collective authorisation through independently verified participants and threshold-based approval mechanisms, thereby preventing unilateral authorisation when collective approval is required.</w:t>
            </w:r>
          </w:p>
        </w:tc>
        <w:tc>
          <w:tcPr/>
          <w:p>
            <w:pPr>
              <w:pStyle w:val="Compact"/>
              <w:jc w:val="left"/>
            </w:pPr>
            <w:r>
              <w:t xml:space="preserve">Chapter 4</w:t>
            </w:r>
          </w:p>
        </w:tc>
      </w:tr>
    </w:tbl>
    <w:p/>
    <w:p>
      <w:pPr>
        <w:pStyle w:val="TableCaption"/>
      </w:pPr>
      <w:r>
        <w:t xml:space="preserve">Table 4.2: Research Questions, Research Objectives, and Thesis Chapters (continued: RQ4 current stage; RQ5–RQ6 CA3)</w:t>
      </w:r>
    </w:p>
    <w:tbl>
      <w:tblPr>
        <w:tblStyle w:val="Table"/>
        <w:tblW w:type="pct" w:w="5000"/>
        <w:tblLayout w:type="fixed"/>
        <w:tblLook w:firstRow="1" w:lastRow="0" w:firstColumn="0" w:lastColumn="0" w:noHBand="0" w:noVBand="0" w:val="0020"/>
        <w:tblCaption w:val="Table 4.2: Research Questions, Research Objectives, and Thesis Chapters (continued: RQ4 current stage; RQ5–RQ6 CA3)"/>
      </w:tblPr>
      <w:tblGrid>
        <w:gridCol w:w="754"/>
        <w:gridCol w:w="3205"/>
        <w:gridCol w:w="3205"/>
        <w:gridCol w:w="754"/>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SRQ</w:t>
            </w:r>
          </w:p>
        </w:tc>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Research Focus and Scope</w:t>
            </w:r>
          </w:p>
        </w:tc>
        <w:tc>
          <w:tcPr>
            <w:tcBorders>
              <w:bottom w:val="single" w:sz="8" w:space="0" w:color="000000"/>
            </w:tcBorders>
            <w:shd w:val="clear" w:color="auto" w:fill="E7E6E6"/>
            <w:vAlign w:val="center"/>
          </w:tcPr>
          <w:p>
            <w:pPr>
              <w:pStyle w:val="Compact"/>
              <w:jc w:val="left"/>
            </w:pPr>
            <w:r>
              <w:rPr>
                <w:b/>
                <w:bCs/>
              </w:rPr>
              <w:t xml:space="preserve">Thesis</w:t>
            </w:r>
          </w:p>
        </w:tc>
      </w:tr>
      <w:tr>
        <w:trPr>
          <w:cantSplit/>
        </w:trPr>
        <w:tc>
          <w:tcPr/>
          <w:p>
            <w:pPr>
              <w:pStyle w:val="Compact"/>
              <w:jc w:val="left"/>
            </w:pPr>
            <w:r>
              <w:rPr>
                <w:b/>
                <w:bCs/>
              </w:rPr>
              <w:t xml:space="preserve">SRQ4</w:t>
            </w:r>
          </w:p>
        </w:tc>
        <w:tc>
          <w:tcPr/>
          <w:p>
            <w:pPr>
              <w:pStyle w:val="Compact"/>
              <w:jc w:val="left"/>
            </w:pPr>
            <w:r>
              <w:rPr>
                <w:b/>
                <w:bCs/>
              </w:rPr>
              <w:t xml:space="preserve">RO4:</w:t>
            </w:r>
            <w:r>
              <w:t xml:space="preserve"> </w:t>
            </w:r>
            <w:r>
              <w:t xml:space="preserve">Policy- and Context-Aware Access Control</w:t>
            </w:r>
          </w:p>
        </w:tc>
        <w:tc>
          <w:tcPr/>
          <w:p>
            <w:pPr>
              <w:pStyle w:val="Compact"/>
              <w:jc w:val="left"/>
            </w:pPr>
            <w:r>
              <w:t xml:space="preserve">Enforce purpose and healthcare data-scope constraints as explicit and evaluable conditions of access, ensuring that valid identities and sufficient approvals cannot be used outside the authorised scope.</w:t>
            </w:r>
          </w:p>
        </w:tc>
        <w:tc>
          <w:tcPr/>
          <w:p>
            <w:pPr>
              <w:pStyle w:val="Compact"/>
              <w:jc w:val="left"/>
            </w:pPr>
            <w:r>
              <w:t xml:space="preserve">Chapter 4</w:t>
            </w:r>
          </w:p>
        </w:tc>
      </w:tr>
      <w:tr>
        <w:trPr>
          <w:cantSplit/>
        </w:trPr>
        <w:tc>
          <w:tcPr/>
          <w:p>
            <w:pPr>
              <w:pStyle w:val="Compact"/>
              <w:jc w:val="left"/>
            </w:pPr>
            <w:r>
              <w:rPr>
                <w:b/>
                <w:bCs/>
              </w:rPr>
              <w:t xml:space="preserve">SRQ5</w:t>
            </w:r>
          </w:p>
        </w:tc>
        <w:tc>
          <w:tcPr/>
          <w:p>
            <w:pPr>
              <w:pStyle w:val="Compact"/>
              <w:jc w:val="left"/>
            </w:pPr>
            <w:r>
              <w:rPr>
                <w:b/>
                <w:bCs/>
              </w:rPr>
              <w:t xml:space="preserve">RO5:</w:t>
            </w:r>
            <w:r>
              <w:t xml:space="preserve"> </w:t>
            </w:r>
            <w:r>
              <w:t xml:space="preserve">Temporal and Lifecycle Trust</w:t>
            </w:r>
          </w:p>
        </w:tc>
        <w:tc>
          <w:tcPr/>
          <w:p>
            <w:pPr>
              <w:pStyle w:val="Compact"/>
              <w:jc w:val="left"/>
            </w:pPr>
            <w:r>
              <w:t xml:space="preserve">Extend the authorisation model with temporal validity, expiration, revocation, and controlled consent-state transitions.</w:t>
            </w:r>
          </w:p>
        </w:tc>
        <w:tc>
          <w:tcPr/>
          <w:p>
            <w:pPr>
              <w:pStyle w:val="Compact"/>
              <w:jc w:val="left"/>
            </w:pPr>
            <w:r>
              <w:t xml:space="preserve">Chapter 5</w:t>
            </w:r>
          </w:p>
        </w:tc>
      </w:tr>
      <w:tr>
        <w:trPr>
          <w:cantSplit/>
        </w:trPr>
        <w:tc>
          <w:tcPr/>
          <w:p>
            <w:pPr>
              <w:pStyle w:val="Compact"/>
              <w:jc w:val="left"/>
            </w:pPr>
            <w:r>
              <w:rPr>
                <w:b/>
                <w:bCs/>
              </w:rPr>
              <w:t xml:space="preserve">SRQ6</w:t>
            </w:r>
          </w:p>
        </w:tc>
        <w:tc>
          <w:tcPr/>
          <w:p>
            <w:pPr>
              <w:pStyle w:val="Compact"/>
              <w:jc w:val="left"/>
            </w:pPr>
            <w:r>
              <w:rPr>
                <w:b/>
                <w:bCs/>
              </w:rPr>
              <w:t xml:space="preserve">RO6:</w:t>
            </w:r>
            <w:r>
              <w:t xml:space="preserve"> </w:t>
            </w:r>
            <w:r>
              <w:t xml:space="preserve">Formal Security Assurance and Empirical Validation</w:t>
            </w:r>
          </w:p>
        </w:tc>
        <w:tc>
          <w:tcPr/>
          <w:p>
            <w:pPr>
              <w:pStyle w:val="Compact"/>
              <w:jc w:val="left"/>
            </w:pPr>
            <w:r>
              <w:t xml:space="preserve">Formally analyse the security and consistency properties of the trust-oriented authorisation mechanism and empirically evaluate the complete framework through the HALAH prototype, representative healthcare scenarios, and negative or adversarial testing.</w:t>
            </w:r>
          </w:p>
        </w:tc>
        <w:tc>
          <w:tcPr/>
          <w:p>
            <w:pPr>
              <w:pStyle w:val="Compact"/>
              <w:jc w:val="left"/>
            </w:pPr>
            <w:r>
              <w:t xml:space="preserve">Chapter 5</w:t>
            </w:r>
          </w:p>
        </w:tc>
      </w:tr>
    </w:tbl>
    <w:p>
      <w:pPr>
        <w:pStyle w:val="BodyText"/>
      </w:pPr>
      <w:r>
        <w:t xml:space="preserve">The overall research argument is that trustworthy patient consent should not be understood as a single technological artefact or as the outcome of a single access-control operation. Rather, it should be understood as a security decision emerging from a set of independently verifiable conditions. The contribution of the research is therefore to provide a coherent Trust Computing framework through which these conditions can be represented, evaluated, enforced, and ultimately validated in a decentralised healthcare data-sharing environment.</w:t>
      </w:r>
    </w:p>
    <w:p>
      <w:pPr>
        <w:pStyle w:val="BodyText"/>
      </w:pPr>
      <w:r>
        <w:t xml:space="preserve">For the foundational current stage model, the authorisation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w:t>
      </w:r>
    </w:p>
    <w:p>
      <w:pPr>
        <w:pStyle w:val="BodyText"/>
      </w:pPr>
      <w:r>
        <w:t xml:space="preserve">The next stage research will extend this decision model by incorporating temporal and lifecycle conditions, as given by Eq. (24),</w:t>
      </w:r>
    </w:p>
    <w:p>
      <w:pPr>
        <w:pStyle w:val="BodyText"/>
      </w:pPr>
      <w:r>
        <w:t xml:space="preserve">where</w:t>
      </w:r>
      <w:r>
        <w:t xml:space="preserve"> </w:t>
      </w:r>
      <w:r>
        <w:rPr>
          <w:i/>
          <w:iCs/>
        </w:rPr>
        <w:t xml:space="preserve">V</w:t>
      </w:r>
      <w:r>
        <w:rPr>
          <w:vertAlign w:val="subscript"/>
        </w:rPr>
        <w:t xml:space="preserve">T</w:t>
      </w:r>
      <w:r>
        <w:t xml:space="preserve">(</w:t>
      </w:r>
      <w:r>
        <w:rPr>
          <w:i/>
          <w:iCs/>
        </w:rPr>
        <w:t xml:space="preserve">C, t</w:t>
      </w:r>
      <w:r>
        <w:t xml:space="preserve">) represents temporal validity and</w:t>
      </w:r>
      <w:r>
        <w:t xml:space="preserve"> </w:t>
      </w:r>
      <w:r>
        <w:rPr>
          <w:i/>
          <w:iCs/>
        </w:rPr>
        <w:t xml:space="preserve">V</w:t>
      </w:r>
      <w:r>
        <w:rPr>
          <w:vertAlign w:val="subscript"/>
        </w:rPr>
        <w:t xml:space="preserve">L</w:t>
      </w:r>
      <w:r>
        <w:t xml:space="preserve">(</w:t>
      </w:r>
      <w:r>
        <w:rPr>
          <w:i/>
          <w:iCs/>
        </w:rPr>
        <w:t xml:space="preserve">C</w:t>
      </w:r>
      <w:r>
        <w:t xml:space="preserve">) represents the validity of the consent lifecycle state and its transitions. This extension provides a consistent connection between the foundational current stage objectives and the planned next research on dynamic trust, formal assurance, and comprehensive validation.</w:t>
      </w:r>
    </w:p>
    <w:bookmarkEnd w:id="63"/>
    <w:bookmarkEnd w:id="64"/>
    <w:bookmarkStart w:id="92" w:name="research-architecture-mvc"/>
    <w:p>
      <w:pPr>
        <w:pStyle w:val="Heading1"/>
      </w:pPr>
      <w:r>
        <w:t xml:space="preserve">5 Research Architecture: MVC</w:t>
      </w:r>
    </w:p>
    <w:p>
      <w:pPr>
        <w:pStyle w:val="FirstParagraph"/>
      </w:pPr>
      <w: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w:t>
      </w:r>
    </w:p>
    <w:p>
      <w:pPr>
        <w:pStyle w:val="BodyText"/>
      </w:pPr>
      <w:r>
        <w:t xml:space="preserve">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w:t>
      </w:r>
    </w:p>
    <w:p>
      <w:pPr>
        <w:pStyle w:val="BodyText"/>
      </w:pPr>
      <w:r>
        <w:t xml:space="preserve">The proposed architecture therefore distinguishes three complementary responsibilities. The</w:t>
      </w:r>
      <w:r>
        <w:t xml:space="preserve"> </w:t>
      </w:r>
      <w:r>
        <w:rPr>
          <w:i/>
          <w:iCs/>
        </w:rPr>
        <w:t xml:space="preserve">Model</w:t>
      </w:r>
      <w:r>
        <w:t xml:space="preserve"> </w:t>
      </w:r>
      <w:r>
        <w:t xml:space="preserve">represents the security and governance state of the system, including identities, credentials, consent objects, authorisation requirements, policies, approval evidence, and healthcare data scopes. The</w:t>
      </w:r>
      <w:r>
        <w:t xml:space="preserve"> </w:t>
      </w:r>
      <w:r>
        <w:rPr>
          <w:i/>
          <w:iCs/>
        </w:rPr>
        <w:t xml:space="preserve">View</w:t>
      </w:r>
      <w:r>
        <w:t xml:space="preserve"> </w:t>
      </w:r>
      <w:r>
        <w:t xml:space="preserve">provides controlled interaction mechanisms through which independent participants can create, inspect, approve, or exercise consent-related operations. The</w:t>
      </w:r>
      <w:r>
        <w:t xml:space="preserve"> </w:t>
      </w:r>
      <w:r>
        <w:rPr>
          <w:i/>
          <w:iCs/>
        </w:rPr>
        <w:t xml:space="preserve">Controller</w:t>
      </w:r>
      <w:r>
        <w:t xml:space="preserve"> </w:t>
      </w:r>
      <w:r>
        <w:t xml:space="preserve">acts as the trusted decision coordination layer responsible for validating identity, evaluating authority, aggregating multi-party approval evidence, enforcing policy constraints, and determining whether a requested healthcare data operation should be permitted.</w:t>
      </w:r>
    </w:p>
    <w:p>
      <w:pPr>
        <w:pStyle w:val="BodyText"/>
      </w:pPr>
      <w:r>
        <w:t xml:space="preserve">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w:t>
      </w:r>
      <w:r>
        <w:t xml:space="preserve"> </w:t>
      </w:r>
      <w:r>
        <w:rPr>
          <w:i/>
          <w:iCs/>
        </w:rPr>
        <w:t xml:space="preserve">what consent represents</w:t>
      </w:r>
      <w:r>
        <w:t xml:space="preserve">,</w:t>
      </w:r>
      <w:r>
        <w:t xml:space="preserve"> </w:t>
      </w:r>
      <w:r>
        <w:rPr>
          <w:i/>
          <w:iCs/>
        </w:rPr>
        <w:t xml:space="preserve">how stakeholders</w:t>
      </w:r>
      <w:r>
        <w:t xml:space="preserve"> </w:t>
      </w:r>
      <w:r>
        <w:rPr>
          <w:i/>
          <w:iCs/>
        </w:rPr>
        <w:t xml:space="preserve">interact with it</w:t>
      </w:r>
      <w:r>
        <w:t xml:space="preserve">, and</w:t>
      </w:r>
      <w:r>
        <w:t xml:space="preserve"> </w:t>
      </w:r>
      <w:r>
        <w:rPr>
          <w:i/>
          <w:iCs/>
        </w:rPr>
        <w:t xml:space="preserve">how trust is enforced</w:t>
      </w:r>
      <w:r>
        <w:t xml:space="preserve">.</w:t>
      </w:r>
    </w:p>
    <w:bookmarkStart w:id="78" w:name="X4c5c546815ea228e4b76521fee5c855eb2a3a8b"/>
    <w:p>
      <w:pPr>
        <w:pStyle w:val="Heading2"/>
      </w:pPr>
      <w:r>
        <w:t xml:space="preserve">5.1 MVC Layered Architecture and Component Decomposition</w:t>
      </w:r>
    </w:p>
    <w:p>
      <w:pPr>
        <w:pStyle w:val="FirstParagraph"/>
      </w:pPr>
      <w:r>
        <w:t xml:space="preserve">The proposed HALAH framework adopts a layered Model–View–Controller (MVC) architecture to provide a clear separation between consent representation, stakeholder interaction, and security-critical authorisation enforcement. The purpose of this architectural decomposition is not simply to follow a conventional software engineering pattern, but to establish explicit boundaries between the information that represents trust, the interfaces through which participants express their actions, and the mechanisms that determine whether those actions should result in an authorisation decision.</w:t>
      </w:r>
    </w:p>
    <w:p>
      <w:pPr>
        <w:pStyle w:val="BodyText"/>
      </w:pPr>
      <w:r>
        <w:t xml:space="preserve">At the highest level, the architecture consists of three complementary layers: the</w:t>
      </w:r>
      <w:r>
        <w:t xml:space="preserve"> </w:t>
      </w:r>
      <w:r>
        <w:rPr>
          <w:i/>
          <w:iCs/>
        </w:rPr>
        <w:t xml:space="preserve">View</w:t>
      </w:r>
      <w:r>
        <w:t xml:space="preserve"> </w:t>
      </w:r>
      <w:r>
        <w:rPr>
          <w:i/>
          <w:iCs/>
        </w:rPr>
        <w:t xml:space="preserve">Layer</w:t>
      </w:r>
      <w:r>
        <w:t xml:space="preserve">, the</w:t>
      </w:r>
      <w:r>
        <w:t xml:space="preserve"> </w:t>
      </w:r>
      <w:r>
        <w:rPr>
          <w:i/>
          <w:iCs/>
        </w:rPr>
        <w:t xml:space="preserve">Controller Layer</w:t>
      </w:r>
      <w:r>
        <w:t xml:space="preserve">, and the</w:t>
      </w:r>
      <w:r>
        <w:t xml:space="preserve"> </w:t>
      </w:r>
      <w:r>
        <w:rPr>
          <w:i/>
          <w:iCs/>
        </w:rPr>
        <w:t xml:space="preserve">Model Layer</w:t>
      </w:r>
      <w:r>
        <w:t xml:space="preserve">.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w:t>
      </w:r>
    </w:p>
    <w:p>
      <w:pPr>
        <w:pStyle w:val="BodyText"/>
      </w:pPr>
      <w:r>
        <w:t xml:space="preserve">Figure 5.1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w:t>
      </w:r>
    </w:p>
    <w:p>
      <w:pPr>
        <w:pStyle w:val="BodyText"/>
      </w:pPr>
      <w:r>
        <w:t xml:space="preserve">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w:t>
      </w:r>
    </w:p>
    <w:p>
      <w:pPr>
        <w:pStyle w:val="BodyText"/>
      </w:pPr>
      <w:r>
        <w:t xml:space="preserve">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w:t>
      </w:r>
    </w:p>
    <w:p>
      <w:pPr>
        <w:pStyle w:val="BodyText"/>
      </w:pPr>
      <w:r>
        <w:t xml:space="preserve">The protected healthcare data are deliberately positioned outside the three MVC layers as a protected resource. 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pStyle w:val="CaptionedFigure"/>
      </w:pPr>
      <w:r>
        <w:drawing>
          <wp:inline>
            <wp:extent cx="5486400" cy="5604289"/>
            <wp:effectExtent b="0" l="0" r="0" t="0"/>
            <wp:docPr descr="Figure 5.1: Layered MVC Architecture and Component Decomposition of the HALAH Framework" title="" id="66" name="Picture"/>
            <a:graphic>
              <a:graphicData uri="http://schemas.openxmlformats.org/drawingml/2006/picture">
                <pic:pic>
                  <pic:nvPicPr>
                    <pic:cNvPr descr="media_col/fig03.png" id="67" name="Picture"/>
                    <pic:cNvPicPr>
                      <a:picLocks noChangeArrowheads="1" noChangeAspect="1"/>
                    </pic:cNvPicPr>
                  </pic:nvPicPr>
                  <pic:blipFill>
                    <a:blip r:embed="rId65"/>
                    <a:stretch>
                      <a:fillRect/>
                    </a:stretch>
                  </pic:blipFill>
                  <pic:spPr bwMode="auto">
                    <a:xfrm>
                      <a:off x="0" y="0"/>
                      <a:ext cx="5486400" cy="5604289"/>
                    </a:xfrm>
                    <a:prstGeom prst="rect">
                      <a:avLst/>
                    </a:prstGeom>
                    <a:noFill/>
                    <a:ln w="9525">
                      <a:noFill/>
                      <a:headEnd/>
                      <a:tailEnd/>
                    </a:ln>
                  </pic:spPr>
                </pic:pic>
              </a:graphicData>
            </a:graphic>
          </wp:inline>
        </w:drawing>
      </w:r>
    </w:p>
    <w:p>
      <w:pPr>
        <w:pStyle w:val="ImageCaption"/>
      </w:pPr>
      <w:r>
        <w:t xml:space="preserve">Figure 5.1: Layered MVC Architecture and Component Decomposition of the HALAH Framework</w:t>
      </w:r>
    </w:p>
    <w:bookmarkStart w:id="71" w:name="mvc-component-decomposition"/>
    <w:p>
      <w:pPr>
        <w:pStyle w:val="Heading3"/>
      </w:pPr>
      <w:r>
        <w:t xml:space="preserve">5.1.1 MVC Component Decomposition</w:t>
      </w:r>
    </w:p>
    <w:p>
      <w:pPr>
        <w:pStyle w:val="FirstParagraph"/>
      </w:pPr>
      <w:r>
        <w:t xml:space="preserve">The three architectural layers are further decomposed into functional components, each corresponding to a distinct responsibility within the trust-oriented authorisation process. 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w:t>
      </w:r>
    </w:p>
    <w:p>
      <w:pPr>
        <w:pStyle w:val="CaptionedFigure"/>
      </w:pPr>
      <w:r>
        <w:drawing>
          <wp:inline>
            <wp:extent cx="5486400" cy="3008970"/>
            <wp:effectExtent b="0" l="0" r="0" t="0"/>
            <wp:docPr descr="Figure 5.2: Functional Decomposition of the MVC Components" title="" id="69" name="Picture"/>
            <a:graphic>
              <a:graphicData uri="http://schemas.openxmlformats.org/drawingml/2006/picture">
                <pic:pic>
                  <pic:nvPicPr>
                    <pic:cNvPr descr="media_col/fig04.png" id="70" name="Picture"/>
                    <pic:cNvPicPr>
                      <a:picLocks noChangeArrowheads="1" noChangeAspect="1"/>
                    </pic:cNvPicPr>
                  </pic:nvPicPr>
                  <pic:blipFill>
                    <a:blip r:embed="rId68"/>
                    <a:stretch>
                      <a:fillRect/>
                    </a:stretch>
                  </pic:blipFill>
                  <pic:spPr bwMode="auto">
                    <a:xfrm>
                      <a:off x="0" y="0"/>
                      <a:ext cx="5486400" cy="3008970"/>
                    </a:xfrm>
                    <a:prstGeom prst="rect">
                      <a:avLst/>
                    </a:prstGeom>
                    <a:noFill/>
                    <a:ln w="9525">
                      <a:noFill/>
                      <a:headEnd/>
                      <a:tailEnd/>
                    </a:ln>
                  </pic:spPr>
                </pic:pic>
              </a:graphicData>
            </a:graphic>
          </wp:inline>
        </w:drawing>
      </w:r>
    </w:p>
    <w:p>
      <w:pPr>
        <w:pStyle w:val="ImageCaption"/>
      </w:pPr>
      <w:r>
        <w:t xml:space="preserve">Figure 5.2: Functional Decomposition of the MVC Components</w:t>
      </w:r>
    </w:p>
    <w:p>
      <w:pPr>
        <w:pStyle w:val="BodyText"/>
      </w:pPr>
      <w:r>
        <w:t xml:space="preserve">The Controller is decomposed into six principal security functions.</w:t>
      </w:r>
      <w:r>
        <w:t xml:space="preserve"> </w:t>
      </w:r>
      <w:r>
        <w:rPr>
          <w:i/>
          <w:iCs/>
        </w:rPr>
        <w:t xml:space="preserve">Identity Verification</w:t>
      </w:r>
      <w:r>
        <w:t xml:space="preserve"> </w:t>
      </w:r>
      <w:r>
        <w:t xml:space="preserve">establishes whether a participant can be identified through the relevant decentralised identity mechanism.</w:t>
      </w:r>
      <w:r>
        <w:t xml:space="preserve"> </w:t>
      </w:r>
      <w:r>
        <w:rPr>
          <w:i/>
          <w:iCs/>
        </w:rPr>
        <w:t xml:space="preserve">Authority Verification</w:t>
      </w:r>
      <w:r>
        <w:t xml:space="preserve"> </w:t>
      </w:r>
      <w:r>
        <w:t xml:space="preserve">evaluates whether the participant possesses appropriate evidence concerning the required role or authority.</w:t>
      </w:r>
      <w:r>
        <w:t xml:space="preserve"> </w:t>
      </w:r>
      <w:r>
        <w:rPr>
          <w:i/>
          <w:iCs/>
        </w:rPr>
        <w:t xml:space="preserve">Approval Aggregation</w:t>
      </w:r>
      <w:r>
        <w:t xml:space="preserve"> </w:t>
      </w:r>
      <w:r>
        <w:t xml:space="preserve">determines whether independently verified approvals satisfy the predefined threshold.</w:t>
      </w:r>
      <w:r>
        <w:t xml:space="preserve"> </w:t>
      </w:r>
      <w:r>
        <w:rPr>
          <w:i/>
          <w:iCs/>
        </w:rPr>
        <w:t xml:space="preserve">Policy Enforcement</w:t>
      </w:r>
      <w:r>
        <w:t xml:space="preserve"> </w:t>
      </w:r>
      <w:r>
        <w:t xml:space="preserve">evaluates whether the requested purpose and data scope comply with the consent policy.</w:t>
      </w:r>
      <w:r>
        <w:t xml:space="preserve"> </w:t>
      </w:r>
      <w:r>
        <w:rPr>
          <w:i/>
          <w:iCs/>
        </w:rPr>
        <w:t xml:space="preserve">Decision</w:t>
      </w:r>
      <w:r>
        <w:t xml:space="preserve"> </w:t>
      </w:r>
      <w:r>
        <w:rPr>
          <w:i/>
          <w:iCs/>
        </w:rPr>
        <w:t xml:space="preserve">Engine</w:t>
      </w:r>
      <w:r>
        <w:t xml:space="preserve"> </w:t>
      </w:r>
      <w:r>
        <w:t xml:space="preserve">combines the resulting predicates into the final authorisation decision. Finally,</w:t>
      </w:r>
      <w:r>
        <w:t xml:space="preserve"> </w:t>
      </w:r>
      <w:r>
        <w:rPr>
          <w:i/>
          <w:iCs/>
        </w:rPr>
        <w:t xml:space="preserve">Audit</w:t>
      </w:r>
      <w:r>
        <w:t xml:space="preserve"> </w:t>
      </w:r>
      <w:r>
        <w:rPr>
          <w:i/>
          <w:iCs/>
        </w:rPr>
        <w:t xml:space="preserve">Coordination</w:t>
      </w:r>
      <w:r>
        <w:t xml:space="preserve"> </w:t>
      </w:r>
      <w:r>
        <w:t xml:space="preserve">records the relevant evidence and decision events.</w:t>
      </w:r>
    </w:p>
    <w:p>
      <w:pPr>
        <w:pStyle w:val="BodyText"/>
      </w:pPr>
      <w:r>
        <w:t xml:space="preserve">The Model is decomposed into seven principal state representations. The DID component represents decentralised identity information; the VC component represents credential and authority evidence; the Consent component represents the structured patient authorisation object; the Approval component represents verified multi-party approval evidence; the Policy component represents purpose and data-scope constraints; the Evidence component represents evidence generated throughout the authorisation process; and the Lifecycle component represents the current state of the consent object and its permissible transitions.</w:t>
      </w:r>
    </w:p>
    <w:p>
      <w:pPr>
        <w:pStyle w:val="BodyText"/>
      </w:pPr>
      <w:r>
        <w:t xml:space="preserve">This decomposition establishes an explicit distinction between</w:t>
      </w:r>
      <w:r>
        <w:t xml:space="preserve"> </w:t>
      </w:r>
      <w:r>
        <w:rPr>
          <w:i/>
          <w:iCs/>
        </w:rPr>
        <w:t xml:space="preserve">state</w:t>
      </w:r>
      <w:r>
        <w:t xml:space="preserve">,</w:t>
      </w:r>
      <w:r>
        <w:t xml:space="preserve"> </w:t>
      </w:r>
      <w:r>
        <w:rPr>
          <w:i/>
          <w:iCs/>
        </w:rPr>
        <w:t xml:space="preserve">interaction</w:t>
      </w:r>
      <w:r>
        <w:t xml:space="preserve">, and</w:t>
      </w:r>
      <w:r>
        <w:t xml:space="preserve"> </w:t>
      </w:r>
      <w:r>
        <w:rPr>
          <w:i/>
          <w:iCs/>
        </w:rPr>
        <w:t xml:space="preserve">enforcement</w:t>
      </w:r>
      <w:r>
        <w:t xml:space="preserve">. The Model stores and represents security-relevant state, the View expresses stakeholder actions, and the Controller determines whether those actions satisfy the required trust conditions.</w:t>
      </w:r>
    </w:p>
    <w:bookmarkEnd w:id="71"/>
    <w:bookmarkStart w:id="75" w:name="trust-evaluation-across-the-mvc-layers"/>
    <w:p>
      <w:pPr>
        <w:pStyle w:val="Heading3"/>
      </w:pPr>
      <w:r>
        <w:t xml:space="preserve">5.1.2 Trust Evaluation Across the MVC Layers</w:t>
      </w:r>
    </w:p>
    <w:p>
      <w:pPr>
        <w:pStyle w:val="FirstParagraph"/>
      </w:pPr>
      <w:r>
        <w:t xml:space="preserve">The architectural layers cooperate through a controlled authorisation sequence rather than through unrestricted direct communication. The relationship between the MVC components and the trust predicates introduced by SRQ1–SRQ5 is illustrated in Figure 5.3.</w:t>
      </w:r>
    </w:p>
    <w:p>
      <w:pPr>
        <w:pStyle w:val="BodyText"/>
      </w:pPr>
      <w:r>
        <w:t xml:space="preserve">Figure 5.3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w:t>
      </w:r>
    </w:p>
    <w:p>
      <w:pPr>
        <w:pStyle w:val="BodyText"/>
      </w:pPr>
      <w:r>
        <w:t xml:space="preserve">The first condition,</w:t>
      </w:r>
      <w:r>
        <w:t xml:space="preserve"> </w:t>
      </w:r>
      <w:r>
        <w:rPr>
          <w:i/>
          <w:iCs/>
        </w:rPr>
        <w:t xml:space="preserve">V</w:t>
      </w:r>
      <w:r>
        <w:rPr>
          <w:vertAlign w:val="subscript"/>
        </w:rPr>
        <w:t xml:space="preserve">I</w:t>
      </w:r>
      <w:r>
        <w:t xml:space="preserve">(</w:t>
      </w:r>
      <w:r>
        <w:rPr>
          <w:i/>
          <w:iCs/>
        </w:rPr>
        <w:t xml:space="preserve">u</w:t>
      </w:r>
      <w:r>
        <w:t xml:space="preserve">), determines whether the requesting participant possesses valid identity and authority evidence. The second condition,</w:t>
      </w:r>
      <w:r>
        <w:t xml:space="preserve"> </w:t>
      </w:r>
      <w:r>
        <w:rPr>
          <w:i/>
          <w:iCs/>
        </w:rPr>
        <w:t xml:space="preserve">V</w:t>
      </w:r>
      <w:r>
        <w:rPr>
          <w:vertAlign w:val="subscript"/>
        </w:rPr>
        <w:t xml:space="preserve">A</w:t>
      </w:r>
      <w:r>
        <w:t xml:space="preserve">(</w:t>
      </w:r>
      <w:r>
        <w:rPr>
          <w:i/>
          <w:iCs/>
        </w:rPr>
        <w:t xml:space="preserve">C</w:t>
      </w:r>
      <w:r>
        <w:t xml:space="preserve">), determines whether the required independently verified participants have collectively satisfied the authorisation threshold. The third condition,</w:t>
      </w:r>
      <w:r>
        <w:t xml:space="preserve"> </w:t>
      </w:r>
      <w:r>
        <w:rPr>
          <w:i/>
          <w:iCs/>
        </w:rPr>
        <w:t xml:space="preserve">V</w:t>
      </w:r>
      <w:r>
        <w:rPr>
          <w:vertAlign w:val="subscript"/>
        </w:rPr>
        <w:t xml:space="preserve">P</w:t>
      </w:r>
      <w:r>
        <w:t xml:space="preserve">(</w:t>
      </w:r>
      <w:r>
        <w:rPr>
          <w:i/>
          <w:iCs/>
        </w:rPr>
        <w:t xml:space="preserve">C, R</w:t>
      </w:r>
      <w:r>
        <w:t xml:space="preserve">), determines whether the requested operation complies with the consent policy, including purpose and data-scope restrictions. The fourth condition,</w:t>
      </w:r>
      <w:r>
        <w:t xml:space="preserve"> </w:t>
      </w:r>
      <w:r>
        <w:rPr>
          <w:i/>
          <w:iCs/>
        </w:rPr>
        <w:t xml:space="preserve">V</w:t>
      </w:r>
      <w:r>
        <w:rPr>
          <w:vertAlign w:val="subscript"/>
        </w:rPr>
        <w:t xml:space="preserve">T</w:t>
      </w:r>
      <w:r>
        <w:t xml:space="preserve">(</w:t>
      </w:r>
      <w:r>
        <w:rPr>
          <w:i/>
          <w:iCs/>
        </w:rPr>
        <w:t xml:space="preserve">C, t</w:t>
      </w:r>
      <w:r>
        <w:t xml:space="preserve">), determines whether the consent remains valid at the time of the request. The fifth condition,</w:t>
      </w:r>
      <w:r>
        <w:t xml:space="preserve"> </w:t>
      </w:r>
      <w:r>
        <w:rPr>
          <w:i/>
          <w:iCs/>
        </w:rPr>
        <w:t xml:space="preserve">V</w:t>
      </w:r>
      <w:r>
        <w:rPr>
          <w:vertAlign w:val="subscript"/>
        </w:rPr>
        <w:t xml:space="preserve">L</w:t>
      </w:r>
      <w:r>
        <w:t xml:space="preserve">(</w:t>
      </w:r>
      <w:r>
        <w:rPr>
          <w:i/>
          <w:iCs/>
        </w:rPr>
        <w:t xml:space="preserve">C</w:t>
      </w:r>
      <w:r>
        <w:t xml:space="preserve">), determines whether the consent remains in a valid lifecycle state.</w:t>
      </w:r>
    </w:p>
    <w:p>
      <w:pPr>
        <w:pStyle w:val="BodyText"/>
      </w:pPr>
      <w:r>
        <w:t xml:space="preserve">The integrated decision is therefore given by Eq. (24).</w:t>
      </w:r>
    </w:p>
    <w:p>
      <w:pPr>
        <w:pStyle w:val="BodyText"/>
      </w:pPr>
      <w:r>
        <w:t xml:space="preserve">The Controller does not itself create these trust conditions. Instead, it evaluates evidence represented by the Model and coordinates the resulting decision. This distinction is important for the interpretation of the architecture: the Controller is a</w:t>
      </w:r>
      <w:r>
        <w:t xml:space="preserve"> </w:t>
      </w:r>
      <w:r>
        <w:rPr>
          <w:i/>
          <w:iCs/>
        </w:rPr>
        <w:t xml:space="preserve">decision-enforcement mechanism</w:t>
      </w:r>
      <w:r>
        <w:t xml:space="preserve">, whereas the Model is a</w:t>
      </w:r>
      <w:r>
        <w:t xml:space="preserve"> </w:t>
      </w:r>
      <w:r>
        <w:rPr>
          <w:i/>
          <w:iCs/>
        </w:rPr>
        <w:t xml:space="preserve">representation of trust and governance state</w:t>
      </w:r>
      <w:r>
        <w:t xml:space="preserve">.</w:t>
      </w:r>
    </w:p>
    <w:p>
      <w:pPr>
        <w:pStyle w:val="BodyText"/>
      </w:pPr>
      <w:r>
        <w:t xml:space="preserve">If any required predicate evaluates to false, the decision is DENY (Eq. (18)).</w:t>
      </w:r>
    </w:p>
    <w:p>
      <w:pPr>
        <w:pStyle w:val="CaptionedFigure"/>
      </w:pPr>
      <w:r>
        <w:drawing>
          <wp:inline>
            <wp:extent cx="3419856" cy="7671897"/>
            <wp:effectExtent b="0" l="0" r="0" t="0"/>
            <wp:docPr descr="Figure 5.3: Trust Predicate Evaluation and Authorisation Decision Flow" title="" id="73" name="Picture"/>
            <a:graphic>
              <a:graphicData uri="http://schemas.openxmlformats.org/drawingml/2006/picture">
                <pic:pic>
                  <pic:nvPicPr>
                    <pic:cNvPr descr="media_col/fig05.png" id="74" name="Picture"/>
                    <pic:cNvPicPr>
                      <a:picLocks noChangeArrowheads="1" noChangeAspect="1"/>
                    </pic:cNvPicPr>
                  </pic:nvPicPr>
                  <pic:blipFill>
                    <a:blip r:embed="rId72"/>
                    <a:stretch>
                      <a:fillRect/>
                    </a:stretch>
                  </pic:blipFill>
                  <pic:spPr bwMode="auto">
                    <a:xfrm>
                      <a:off x="0" y="0"/>
                      <a:ext cx="3419856" cy="7671897"/>
                    </a:xfrm>
                    <a:prstGeom prst="rect">
                      <a:avLst/>
                    </a:prstGeom>
                    <a:noFill/>
                    <a:ln w="9525">
                      <a:noFill/>
                      <a:headEnd/>
                      <a:tailEnd/>
                    </a:ln>
                  </pic:spPr>
                </pic:pic>
              </a:graphicData>
            </a:graphic>
          </wp:inline>
        </w:drawing>
      </w:r>
    </w:p>
    <w:p>
      <w:pPr>
        <w:pStyle w:val="ImageCaption"/>
      </w:pPr>
      <w:r>
        <w:t xml:space="preserve">Figure 5.3: Trust Predicate Evaluation and Authorisation Decision Flow</w:t>
      </w:r>
    </w:p>
    <w:p>
      <w:pPr>
        <w:pStyle w:val="BodyText"/>
      </w:pPr>
      <w:r>
        <w:t xml:space="preserve">Both successful and unsuccessful decisions are subsequently associated with authorisation evidence. This ensures that the architecture supports not only access enforcement but also accountability and subsequent verification.</w:t>
      </w:r>
    </w:p>
    <w:bookmarkEnd w:id="75"/>
    <w:bookmarkStart w:id="76" w:name="X78e7c83bde76a8fa89c47d21e3a1fec3e5afd01"/>
    <w:p>
      <w:pPr>
        <w:pStyle w:val="Heading3"/>
      </w:pPr>
      <w:r>
        <w:t xml:space="preserve">5.1.3 Relationship Between MVC Layers and Research Questions</w:t>
      </w:r>
    </w:p>
    <w:p>
      <w:pPr>
        <w:pStyle w:val="FirstParagraph"/>
      </w:pPr>
      <w: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w:t>
      </w:r>
    </w:p>
    <w:p>
      <w:pPr>
        <w:pStyle w:val="BodyText"/>
      </w:pPr>
      <w:r>
        <w:t xml:space="preserve">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w:t>
      </w:r>
    </w:p>
    <w:p>
      <w:pPr>
        <w:pStyle w:val="BodyText"/>
      </w:pPr>
      <w:r>
        <w:t xml:space="preserve">The relationship can therefore be summarised as follows</w:t>
      </w:r>
    </w:p>
    <w:p>
      <w:pPr>
        <w:pStyle w:val="BodyText"/>
      </w:pPr>
      <m:oMathPara>
        <m:oMathParaPr>
          <m:jc m:val="center"/>
        </m:oMathParaPr>
        <m:oMath>
          <m:m>
            <m:mPr>
              <m:baseJc m:val="center"/>
              <m:plcHide m:val="on"/>
              <m:mcs>
                <m:mc>
                  <m:mcPr>
                    <m:count m:val="1"/>
                    <m:mcJc m:val="left"/>
                  </m:mcPr>
                </m:mc>
                <m:mc>
                  <m:mcPr>
                    <m:count m:val="1"/>
                    <m:mcJc m:val="left"/>
                  </m:mcPr>
                </m:mc>
              </m:mcs>
            </m:mPr>
            <m:mr>
              <m:e>
                <m:r>
                  <m:t>S</m:t>
                </m:r>
                <m:r>
                  <m:t>R</m:t>
                </m:r>
                <m:r>
                  <m:t>Q</m:t>
                </m:r>
                <m:r>
                  <m:t>1</m:t>
                </m:r>
                <m:r>
                  <m:rPr>
                    <m:sty m:val="p"/>
                  </m:rPr>
                  <m:t>→</m:t>
                </m:r>
                <m:r>
                  <m:t>M</m:t>
                </m:r>
                <m:r>
                  <m:t>o</m:t>
                </m:r>
                <m:r>
                  <m:t>d</m:t>
                </m:r>
                <m:r>
                  <m:t>e</m:t>
                </m:r>
                <m:r>
                  <m:t>l</m:t>
                </m:r>
                <m:r>
                  <m:rPr>
                    <m:sty m:val="p"/>
                  </m:rPr>
                  <m:t>,</m:t>
                </m:r>
              </m:e>
              <m:e>
                <m:r>
                  <m:t>S</m:t>
                </m:r>
                <m:r>
                  <m:t>R</m:t>
                </m:r>
                <m:r>
                  <m:t>Q</m:t>
                </m:r>
                <m:r>
                  <m:t>2</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3</m:t>
                </m:r>
                <m:r>
                  <m:rPr>
                    <m:sty m:val="p"/>
                  </m:rPr>
                  <m:t>→</m:t>
                </m:r>
                <m:r>
                  <m:t>C</m:t>
                </m:r>
                <m:r>
                  <m:t>o</m:t>
                </m:r>
                <m:r>
                  <m:t>n</m:t>
                </m:r>
                <m:r>
                  <m:t>t</m:t>
                </m:r>
                <m:r>
                  <m:t>r</m:t>
                </m:r>
                <m:r>
                  <m:t>o</m:t>
                </m:r>
                <m:r>
                  <m:t>l</m:t>
                </m:r>
                <m:r>
                  <m:t>l</m:t>
                </m:r>
                <m:r>
                  <m:t>e</m:t>
                </m:r>
                <m:r>
                  <m:t>r</m:t>
                </m:r>
                <m:r>
                  <m:rPr>
                    <m:sty m:val="p"/>
                  </m:rPr>
                  <m:t>,</m:t>
                </m:r>
              </m:e>
              <m:e>
                <m:r>
                  <m:t>S</m:t>
                </m:r>
                <m:r>
                  <m:t>R</m:t>
                </m:r>
                <m:r>
                  <m:t>Q</m:t>
                </m:r>
                <m:r>
                  <m:t>4</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mr>
            <m:mr>
              <m:e>
                <m:r>
                  <m:t>S</m:t>
                </m:r>
                <m:r>
                  <m:t>R</m:t>
                </m:r>
                <m:r>
                  <m:t>Q</m:t>
                </m:r>
                <m:r>
                  <m:t>5</m:t>
                </m:r>
                <m:r>
                  <m:rPr>
                    <m:sty m:val="p"/>
                  </m:rPr>
                  <m:t>→</m:t>
                </m:r>
                <m:r>
                  <m:t>M</m:t>
                </m:r>
                <m:r>
                  <m:t>o</m:t>
                </m:r>
                <m:r>
                  <m:t>d</m:t>
                </m:r>
                <m:r>
                  <m:t>e</m:t>
                </m:r>
                <m:r>
                  <m:t>l</m:t>
                </m:r>
                <m:r>
                  <m:rPr>
                    <m:sty m:val="p"/>
                  </m:rPr>
                  <m:t>+</m:t>
                </m:r>
                <m:r>
                  <m:t>C</m:t>
                </m:r>
                <m:r>
                  <m:t>o</m:t>
                </m:r>
                <m:r>
                  <m:t>n</m:t>
                </m:r>
                <m:r>
                  <m:t>t</m:t>
                </m:r>
                <m:r>
                  <m:t>r</m:t>
                </m:r>
                <m:r>
                  <m:t>o</m:t>
                </m:r>
                <m:r>
                  <m:t>l</m:t>
                </m:r>
                <m:r>
                  <m:t>l</m:t>
                </m:r>
                <m:r>
                  <m:t>e</m:t>
                </m:r>
                <m:r>
                  <m:t>r</m:t>
                </m:r>
                <m:r>
                  <m:rPr>
                    <m:sty m:val="p"/>
                  </m:rPr>
                  <m:t>,</m:t>
                </m:r>
              </m:e>
              <m:e>
                <m:r>
                  <m:t>S</m:t>
                </m:r>
                <m:r>
                  <m:t>R</m:t>
                </m:r>
                <m:r>
                  <m:t>Q</m:t>
                </m:r>
                <m:r>
                  <m:t>6</m:t>
                </m:r>
                <m:r>
                  <m:rPr>
                    <m:sty m:val="p"/>
                  </m:rPr>
                  <m:t>→</m:t>
                </m:r>
                <m:r>
                  <m:t>M</m:t>
                </m:r>
                <m:r>
                  <m:t>o</m:t>
                </m:r>
                <m:r>
                  <m:t>d</m:t>
                </m:r>
                <m:r>
                  <m:t>e</m:t>
                </m:r>
                <m:r>
                  <m:t>l</m:t>
                </m:r>
                <m:r>
                  <m:rPr>
                    <m:sty m:val="p"/>
                  </m:rPr>
                  <m:t>+</m:t>
                </m:r>
                <m:r>
                  <m:t>V</m:t>
                </m:r>
                <m:r>
                  <m:t>i</m:t>
                </m:r>
                <m:r>
                  <m:t>e</m:t>
                </m:r>
                <m:r>
                  <m:t>w</m:t>
                </m:r>
                <m:r>
                  <m:rPr>
                    <m:sty m:val="p"/>
                  </m:rPr>
                  <m:t>+</m:t>
                </m:r>
                <m:r>
                  <m:t>C</m:t>
                </m:r>
                <m:r>
                  <m:t>o</m:t>
                </m:r>
                <m:r>
                  <m:t>n</m:t>
                </m:r>
                <m:r>
                  <m:t>t</m:t>
                </m:r>
                <m:r>
                  <m:t>r</m:t>
                </m:r>
                <m:r>
                  <m:t>o</m:t>
                </m:r>
                <m:r>
                  <m:t>l</m:t>
                </m:r>
                <m:r>
                  <m:t>l</m:t>
                </m:r>
                <m:r>
                  <m:t>e</m:t>
                </m:r>
                <m:r>
                  <m:t>r</m:t>
                </m:r>
                <m:r>
                  <m:rPr>
                    <m:sty m:val="p"/>
                  </m:rPr>
                  <m:t>.</m:t>
                </m:r>
              </m:e>
            </m:mr>
          </m:m>
        </m:oMath>
      </m:oMathPara>
    </w:p>
    <w:p>
      <w:pPr>
        <w:pStyle w:val="FirstParagraph"/>
      </w:pPr>
      <w: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bookmarkEnd w:id="76"/>
    <w:bookmarkStart w:id="77" w:name="Xd007e785e3bfaada6ef882ac3ef6839127aa1d0"/>
    <w:p>
      <w:pPr>
        <w:pStyle w:val="Heading3"/>
      </w:pPr>
      <w:r>
        <w:t xml:space="preserve">5.1.4 Architectural Boundary and Trust Assumptions</w:t>
      </w:r>
    </w:p>
    <w:p>
      <w:pPr>
        <w:pStyle w:val="FirstParagraph"/>
      </w:pPr>
      <w: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w:t>
      </w:r>
    </w:p>
    <w:p>
      <w:pPr>
        <w:pStyle w:val="BodyText"/>
      </w:pPr>
      <w:r>
        <w:t xml:space="preserve">The Controller represents the security enforcement boundary. It is responsible for applying the authorisation rules consistently and for preventing direct access to protected healthcare data when the required trust conditions are not satisfied.</w:t>
      </w:r>
    </w:p>
    <w:p>
      <w:pPr>
        <w:pStyle w:val="BodyText"/>
      </w:pPr>
      <w:r>
        <w:t xml:space="preserve">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pStyle w:val="BodyText"/>
      </w:pPr>
      <w: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w:t>
      </w:r>
    </w:p>
    <w:p>
      <w:pPr>
        <w:pStyle w:val="BodyText"/>
      </w:pPr>
      <w:r>
        <w:t xml:space="preserve">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The realisation of each layer in the HALAH prototype is mapped to its source code in Section 7.10.</w:t>
      </w:r>
    </w:p>
    <w:p>
      <w:pPr>
        <w:pStyle w:val="BodyText"/>
      </w:pPr>
      <w:r>
        <w:t xml:space="preserve">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bookmarkEnd w:id="77"/>
    <w:bookmarkEnd w:id="78"/>
    <w:bookmarkStart w:id="82" w:name="X558a2b42e7f558743af400a9676e37558071ee0"/>
    <w:p>
      <w:pPr>
        <w:pStyle w:val="Heading2"/>
      </w:pPr>
      <w:r>
        <w:t xml:space="preserve">5.2 Trust-Oriented Consent Authorisation Workflow</w:t>
      </w:r>
    </w:p>
    <w:p>
      <w:pPr>
        <w:pStyle w:val="FirstParagraph"/>
      </w:pPr>
      <w:r>
        <w:t xml:space="preserve">Figure 5.4 presents the end-to-end workflow of the proposed trust-oriented patient consent authorisation framework. The workflow operationalises the central premise of this research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authorisation, and policy compliance. Accordingly, the proposed workflow transforms a patient’s consent from a static permission record into an evaluable authorisation object that can be verified before healthcare data are released.</w:t>
      </w:r>
    </w:p>
    <w:p>
      <w:pPr>
        <w:pStyle w:val="BodyText"/>
      </w:pPr>
      <w:r>
        <w:t xml:space="preserve">The workflow begins when the patient creates a consent request and specifies the conditions under which healthcare data may be accessed. The consent specification defines the intended purpose, permitted data scope, and other authorisation conditions. This step establishes what the patient intends to authorise and provides the policy context against which subsequent access requests can be evaluated. Therefore, consent is not represented merely as an approval flag, but as a structured object containing the information required for subsequent authorisation decisions.</w:t>
      </w:r>
    </w:p>
    <w:p>
      <w:pPr>
        <w:pStyle w:val="BodyText"/>
      </w:pPr>
      <w:r>
        <w:t xml:space="preserve">The next stage performs decentralised identity and authority verification using Decentralised Identifiers (DIDs) and Verifiable Credentials (VCs). The purpose of this stage is to establish both the identity of the participant and the evidence supporting the participant’s claimed role or authority. Importantly, the framework explicitly separates identity authentication from authorisation.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authorised participant.</w:t>
      </w:r>
    </w:p>
    <w:p>
      <w:pPr>
        <w:pStyle w:val="BodyText"/>
      </w:pPr>
      <w:r>
        <w:t xml:space="preserve">After identity and authority verification, the framework identifies the participants required to establish the consent decision. The authorisation requirement may involve multiple independent participants, such as a patient together with one or more guardians or other authorised parties. The framework then collects their independent approvals and evaluates whether the predefined authorisation threshold has been satisfied. Let</w:t>
      </w:r>
      <w:r>
        <w:t xml:space="preserve"> </w:t>
      </w:r>
      <w:r>
        <w:rPr>
          <w:i/>
          <w:iCs/>
        </w:rPr>
        <w:t xml:space="preserve">A</w:t>
      </w:r>
      <w:r>
        <w:rPr>
          <w:vertAlign w:val="subscript"/>
        </w:rPr>
        <w:t xml:space="preserve">v</w:t>
      </w:r>
      <w:r>
        <w:t xml:space="preserve"> </w:t>
      </w:r>
      <w:r>
        <w:t xml:space="preserve">denote the set of successfully verified approvals and let</w:t>
      </w:r>
      <w:r>
        <w:t xml:space="preserve"> </w:t>
      </w:r>
      <w:r>
        <w:rPr>
          <w:i/>
          <w:iCs/>
        </w:rPr>
        <w:t xml:space="preserve">N</w:t>
      </w:r>
      <w:r>
        <w:t xml:space="preserve"> </w:t>
      </w:r>
      <w:r>
        <w:t xml:space="preserve">denote the required authorisation threshold. Multi-party authorisation is satisfied when</w:t>
      </w:r>
      <w:r>
        <w:t xml:space="preserve"> </w:t>
      </w:r>
      <m:oMath>
        <m:d>
          <m:dPr>
            <m:begChr m:val="|"/>
            <m:sepChr m:val=""/>
            <m:endChr m:val="|"/>
            <m:grow/>
          </m:dPr>
          <m:e>
            <m:sSub>
              <m:e>
                <m:r>
                  <m:t>A</m:t>
                </m:r>
              </m:e>
              <m:sub>
                <m:r>
                  <m:t>v</m:t>
                </m:r>
              </m:sub>
            </m:sSub>
          </m:e>
        </m:d>
        <m:r>
          <m:rPr>
            <m:sty m:val="p"/>
          </m:rPr>
          <m:t>≥</m:t>
        </m:r>
        <m:r>
          <m:t>N</m:t>
        </m:r>
      </m:oMath>
      <w:r>
        <w:t xml:space="preserve"> </w:t>
      </w:r>
      <w:r>
        <w:t xml:space="preserve">(Eq. (9)).</w:t>
      </w:r>
    </w:p>
    <w:p>
      <w:pPr>
        <w:pStyle w:val="CaptionedFigure"/>
      </w:pPr>
      <w:r>
        <w:drawing>
          <wp:inline>
            <wp:extent cx="2194560" cy="7674568"/>
            <wp:effectExtent b="0" l="0" r="0" t="0"/>
            <wp:docPr descr="Figure 5.4: End-to-End Workflow of Trust-Oriented Consent Authorisation Framework" title="" id="80" name="Picture"/>
            <a:graphic>
              <a:graphicData uri="http://schemas.openxmlformats.org/drawingml/2006/picture">
                <pic:pic>
                  <pic:nvPicPr>
                    <pic:cNvPr descr="media_col/fig06.png" id="81" name="Picture"/>
                    <pic:cNvPicPr>
                      <a:picLocks noChangeArrowheads="1" noChangeAspect="1"/>
                    </pic:cNvPicPr>
                  </pic:nvPicPr>
                  <pic:blipFill>
                    <a:blip r:embed="rId79"/>
                    <a:stretch>
                      <a:fillRect/>
                    </a:stretch>
                  </pic:blipFill>
                  <pic:spPr bwMode="auto">
                    <a:xfrm>
                      <a:off x="0" y="0"/>
                      <a:ext cx="2194560" cy="7674568"/>
                    </a:xfrm>
                    <a:prstGeom prst="rect">
                      <a:avLst/>
                    </a:prstGeom>
                    <a:noFill/>
                    <a:ln w="9525">
                      <a:noFill/>
                      <a:headEnd/>
                      <a:tailEnd/>
                    </a:ln>
                  </pic:spPr>
                </pic:pic>
              </a:graphicData>
            </a:graphic>
          </wp:inline>
        </w:drawing>
      </w:r>
    </w:p>
    <w:p>
      <w:pPr>
        <w:pStyle w:val="ImageCaption"/>
      </w:pPr>
      <w:r>
        <w:t xml:space="preserve">Figure 5.4: End-to-End Workflow of Trust-Oriented Consent Authorisation Framework</w:t>
      </w:r>
    </w:p>
    <w:p>
      <w:pPr>
        <w:pStyle w:val="BodyText"/>
      </w:pPr>
      <w:r>
        <w:t xml:space="preserve">If the required threshold is not satisfied, the authorisation process terminates with a denial decision. This prevents a single participant from unilaterally establishing authorisation when the consent policy requires collective approval.</w:t>
      </w:r>
    </w:p>
    <w:p>
      <w:pPr>
        <w:pStyle w:val="BodyText"/>
      </w:pPr>
      <w:r>
        <w:t xml:space="preserve">When the authorisation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the request in Eq. (4) must not be authorised.</w:t>
      </w:r>
    </w:p>
    <w:p>
      <w:pPr>
        <w:pStyle w:val="BodyText"/>
      </w:pPr>
      <w:r>
        <w:t xml:space="preserve">Similarly, the requested purpose must be consistent with the purpose specified in the consent. Consequently, a valid identity and sufficient multi-party approval are necessary but not sufficient conditions for access.</w:t>
      </w:r>
    </w:p>
    <w:p>
      <w:pPr>
        <w:pStyle w:val="BodyText"/>
      </w:pPr>
      <w:r>
        <w:t xml:space="preserve">The final authorisation decision is therefore determined by the conjunction of identity and authority verification, multi-party authorisation, and policy compliance. For the current stage scope of the proposed framework, the decision is given by Eq. (6),</w:t>
      </w:r>
    </w:p>
    <w:p>
      <w:pPr>
        <w:pStyle w:val="BodyText"/>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requesting participant’s identity and authority evidence,</w:t>
      </w:r>
      <w:r>
        <w:t xml:space="preserve"> </w:t>
      </w:r>
      <w:r>
        <w:rPr>
          <w:i/>
          <w:iCs/>
        </w:rPr>
        <w:t xml:space="preserve">V</w:t>
      </w:r>
      <w:r>
        <w:rPr>
          <w:vertAlign w:val="subscript"/>
        </w:rPr>
        <w:t xml:space="preserve">A</w:t>
      </w:r>
      <w:r>
        <w:t xml:space="preserve">(</w:t>
      </w:r>
      <w:r>
        <w:rPr>
          <w:i/>
          <w:iCs/>
        </w:rPr>
        <w:t xml:space="preserve">C</w:t>
      </w:r>
      <w:r>
        <w:t xml:space="preserve">) represents satisfaction of the required multi-party authorisation threshold,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access request and the consent policy. If any of these conditions is false, the request is denied. Only when all required conditions are satisfied is healthcare data access granted.</w:t>
      </w:r>
    </w:p>
    <w:p>
      <w:pPr>
        <w:pStyle w:val="BodyText"/>
      </w:pPr>
      <w:r>
        <w:t xml:space="preserve">Finally, the framework records the resulting authorisation evidence in the audit layer. Importantly, both successful and denied decisions should be recorded because a trustworthy authorisation framework requires accountability not only for data that were released but also for access attempts that were rejected. The audit evidence can therefore provide a traceable record of the authorisation decision, including the relevant consent, participants, policy evaluation, decision outcome, and associated evidence. In this manner, the workflow connects consent specification with identity trust, collective authorisation, policy enforcement, and accountability, providing the operational foundation of the proposed trust-oriented authorisation framework.</w:t>
      </w:r>
    </w:p>
    <w:bookmarkEnd w:id="82"/>
    <w:bookmarkStart w:id="83" w:name="Xe4d2ece9a21da9d7e0f73941c1ddb60d05c823c"/>
    <w:p>
      <w:pPr>
        <w:pStyle w:val="Heading2"/>
      </w:pPr>
      <w:r>
        <w:t xml:space="preserve">5.3 Model: Trust-Aware Consent and Authorisation Representation</w:t>
      </w:r>
    </w:p>
    <w:p>
      <w:pPr>
        <w:pStyle w:val="FirstParagraph"/>
      </w:pPr>
      <w: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w:t>
      </w:r>
    </w:p>
    <w:p>
      <w:pPr>
        <w:pStyle w:val="BodyText"/>
      </w:pPr>
      <w:r>
        <w:t xml:space="preserve">For the current stage scope, the core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identity-related information associated with the relevant participants,</w:t>
      </w:r>
      <w:r>
        <w:t xml:space="preserve"> </w:t>
      </w:r>
      <w:r>
        <w:rPr>
          <w:i/>
          <w:iCs/>
        </w:rPr>
        <w:t xml:space="preserve">A</w:t>
      </w:r>
      <w:r>
        <w:t xml:space="preserve"> </w:t>
      </w:r>
      <w:r>
        <w:t xml:space="preserve">represents the authorisation requirements that must be satisfied before access can be granted,</w:t>
      </w:r>
      <w:r>
        <w:t xml:space="preserve"> </w:t>
      </w:r>
      <w:r>
        <w:rPr>
          <w:i/>
          <w:iCs/>
        </w:rPr>
        <w:t xml:space="preserve">P</w:t>
      </w:r>
      <w:r>
        <w:t xml:space="preserve"> </w:t>
      </w:r>
      <w:r>
        <w:t xml:space="preserve">represents the policy conditions governing purpose and healthcare data scope, and</w:t>
      </w:r>
      <w:r>
        <w:t xml:space="preserve"> </w:t>
      </w:r>
      <w:r>
        <w:rPr>
          <w:i/>
          <w:iCs/>
        </w:rPr>
        <w:t xml:space="preserve">E</w:t>
      </w:r>
      <w:r>
        <w:t xml:space="preserve"> </w:t>
      </w:r>
      <w:r>
        <w:t xml:space="preserve">represents the evidence generated throughout the authorisation process.</w:t>
      </w:r>
    </w:p>
    <w:p>
      <w:pPr>
        <w:pStyle w:val="BodyText"/>
      </w:pPr>
      <w:r>
        <w:t xml:space="preserve">The identity component</w:t>
      </w:r>
      <w:r>
        <w:t xml:space="preserve"> </w:t>
      </w:r>
      <w:r>
        <w:rPr>
          <w:i/>
          <w:iCs/>
        </w:rPr>
        <w:t xml:space="preserve">I</w:t>
      </w:r>
      <w:r>
        <w:t xml:space="preserve"> </w:t>
      </w:r>
      <w:r>
        <w:t xml:space="preserve">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w:t>
      </w:r>
    </w:p>
    <w:p>
      <w:pPr>
        <w:pStyle w:val="BodyText"/>
      </w:pPr>
      <w:r>
        <w:t xml:space="preserve">The authorisation component</w:t>
      </w:r>
      <w:r>
        <w:t xml:space="preserve"> </w:t>
      </w:r>
      <w:r>
        <w:rPr>
          <w:i/>
          <w:iCs/>
        </w:rPr>
        <w:t xml:space="preserve">A</w:t>
      </w:r>
      <w:r>
        <w:t xml:space="preserve"> </w:t>
      </w:r>
      <w:r>
        <w:t xml:space="preserve">defines the conditions under which a consent object may become operational. In particular, it specifies whether a single participant is sufficient or whether multiple independent entities are required to jointly authorise a sensitive healthcare data operation. Let</w:t>
      </w:r>
      <w:r>
        <w:t xml:space="preserve"> </w:t>
      </w:r>
      <w:r>
        <w:rPr>
          <w:i/>
          <w:iCs/>
        </w:rPr>
        <w:t xml:space="preserve">A</w:t>
      </w:r>
      <w:r>
        <w:rPr>
          <w:vertAlign w:val="subscript"/>
        </w:rPr>
        <w:t xml:space="preserve">v</w:t>
      </w:r>
      <w:r>
        <w:t xml:space="preserve"> </w:t>
      </w:r>
      <w:r>
        <w:t xml:space="preserve">denote the set of participants whose identities and authority have been successfully verified, and let</w:t>
      </w:r>
      <w:r>
        <w:t xml:space="preserve"> </w:t>
      </w:r>
      <w:r>
        <w:rPr>
          <w:i/>
          <w:iCs/>
        </w:rPr>
        <w:t xml:space="preserve">N</w:t>
      </w:r>
      <w:r>
        <w:t xml:space="preserve"> </w:t>
      </w:r>
      <w:r>
        <w:t xml:space="preserve">denote the minimum required approval threshold. The authorisation condition is then given by Eq. (9).</w:t>
      </w:r>
    </w:p>
    <w:p>
      <w:pPr>
        <w:pStyle w:val="BodyText"/>
      </w:pPr>
      <w:r>
        <w:t xml:space="preserve">This mechanism provides an important departure from conventional consent systems. In a traditional single-owner model, compromise, error, or misuse of one privileged account may be sufficient to produce an authorisation decision. In the proposed framework, trust can instead be distributed across multiple independently verified participants. A sensitive access decision becomes valid only when the defined collective authorisation condition has been satisfied.</w:t>
      </w:r>
    </w:p>
    <w:p>
      <w:pPr>
        <w:pStyle w:val="BodyText"/>
      </w:pPr>
      <w:r>
        <w:t xml:space="preserve">The policy component</w:t>
      </w:r>
      <w:r>
        <w:t xml:space="preserve"> </w:t>
      </w:r>
      <w:r>
        <w:rPr>
          <w:i/>
          <w:iCs/>
        </w:rPr>
        <w:t xml:space="preserve">P</w:t>
      </w:r>
      <w:r>
        <w:t xml:space="preserve"> </w:t>
      </w:r>
      <w:r>
        <w:t xml:space="preserve">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w:t>
      </w:r>
    </w:p>
    <w:p>
      <w:pPr>
        <w:pStyle w:val="BodyText"/>
      </w:pPr>
      <w:r>
        <w:t xml:space="preserve">Let</w:t>
      </w:r>
      <w:r>
        <w:t xml:space="preserve"> </w:t>
      </w:r>
      <w:r>
        <w:rPr>
          <w:i/>
          <w:iCs/>
        </w:rPr>
        <w:t xml:space="preserve">S</w:t>
      </w:r>
      <w:r>
        <w:rPr>
          <w:vertAlign w:val="subscript"/>
        </w:rPr>
        <w:t xml:space="preserve">C</w:t>
      </w:r>
      <w:r>
        <w:t xml:space="preserve"> </w:t>
      </w:r>
      <w:r>
        <w:t xml:space="preserve">denote the healthcare data scope authorised by the consent object and</w:t>
      </w:r>
      <w:r>
        <w:t xml:space="preserve"> </w:t>
      </w:r>
      <w:r>
        <w:rPr>
          <w:i/>
          <w:iCs/>
        </w:rPr>
        <w:t xml:space="preserve">S</w:t>
      </w:r>
      <w:r>
        <w:rPr>
          <w:vertAlign w:val="subscript"/>
        </w:rPr>
        <w:t xml:space="preserve">R</w:t>
      </w:r>
      <w:r>
        <w:t xml:space="preserve"> </w:t>
      </w:r>
      <w:r>
        <w:t xml:space="preserve">denote the scope requested by an entity. Policy compliance requires</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25</m:t>
          </m:r>
          <m:r>
            <m:rPr>
              <m:sty m:val="p"/>
            </m:rPr>
            <m:t>)</m:t>
          </m:r>
        </m:oMath>
      </m:oMathPara>
    </w:p>
    <w:p>
      <w:pPr>
        <w:pStyle w:val="FirstParagraph"/>
      </w:pPr>
      <w:r>
        <w:t xml:space="preserve">If the requested data exceeds the authorised scope, the request must be rejected even if the requester has successfully authenticated and the required number of participants has approved the consent.</w:t>
      </w:r>
    </w:p>
    <w:p>
      <w:pPr>
        <w:pStyle w:val="BodyText"/>
      </w:pPr>
      <w:r>
        <w:t xml:space="preserve">The evidence component</w:t>
      </w:r>
      <w:r>
        <w:t xml:space="preserve"> </w:t>
      </w:r>
      <w:r>
        <w:rPr>
          <w:i/>
          <w:iCs/>
        </w:rPr>
        <w:t xml:space="preserve">E</w:t>
      </w:r>
      <w:r>
        <w:t xml:space="preserve"> </w:t>
      </w:r>
      <w:r>
        <w:t xml:space="preserve">represents the verifiable information generated during the authorisation process. This may include identity-verification results, credential-verification results, approval records, policy-evaluation outcomes, access decisions, and audit events. The purpose of</w:t>
      </w:r>
      <w:r>
        <w:t xml:space="preserve"> </w:t>
      </w:r>
      <w:r>
        <w:rPr>
          <w:i/>
          <w:iCs/>
        </w:rPr>
        <w:t xml:space="preserve">E</w:t>
      </w:r>
      <w:r>
        <w:t xml:space="preserve"> </w:t>
      </w:r>
      <w:r>
        <w:t xml:space="preserve">is not merely to record that a decision occurred, but to provide evidence concerning why the decision was produced.</w:t>
      </w:r>
    </w:p>
    <w:p>
      <w:pPr>
        <w:pStyle w:val="BodyText"/>
      </w:pPr>
      <w:r>
        <w:t xml:space="preserve">This distinction is particularly important for trustworthy consent governance. A conventional immutable record may demonstrate that a transaction was stored,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pStyle w:val="BodyText"/>
      </w:pPr>
      <w:r>
        <w:t xml:space="preserve">For the current stage implementation, the Model focuses on the foundational dimensions of identity, authority, multi-party approval, policy constraints, and authorisation evidence. The next-stage research will extend this representation to include temporal validity, expiration, revocation, lifecycle transitions, and formal security properties.</w:t>
      </w:r>
    </w:p>
    <w:bookmarkEnd w:id="83"/>
    <w:bookmarkStart w:id="84" w:name="X96d81aae39a4d93ee42ea3f75f4e5970520a9db"/>
    <w:p>
      <w:pPr>
        <w:pStyle w:val="Heading2"/>
      </w:pPr>
      <w:r>
        <w:t xml:space="preserve">5.4 View: Controlled Interaction Among Independent Participants</w:t>
      </w:r>
    </w:p>
    <w:p>
      <w:pPr>
        <w:pStyle w:val="FirstParagraph"/>
      </w:pPr>
      <w: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w:t>
      </w:r>
    </w:p>
    <w:p>
      <w:pPr>
        <w:pStyle w:val="BodyText"/>
      </w:pPr>
      <w:r>
        <w:t xml:space="preserve">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w:t>
      </w:r>
    </w:p>
    <w:p>
      <w:pPr>
        <w:pStyle w:val="BodyText"/>
      </w:pPr>
      <w:r>
        <w:t xml:space="preserve">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w:t>
      </w:r>
    </w:p>
    <w:p>
      <w:pPr>
        <w:pStyle w:val="BodyText"/>
      </w:pPr>
      <w:r>
        <w:t xml:space="preserve">The separation between interaction and enforcement prevents the user interface from becoming the source of trust. A request submitted through the View represents an</w:t>
      </w:r>
      <w:r>
        <w:t xml:space="preserve"> </w:t>
      </w:r>
      <w:r>
        <w:rPr>
          <w:i/>
          <w:iCs/>
        </w:rPr>
        <w:t xml:space="preserve">input to the</w:t>
      </w:r>
      <w:r>
        <w:t xml:space="preserve"> </w:t>
      </w:r>
      <w:r>
        <w:rPr>
          <w:i/>
          <w:iCs/>
        </w:rPr>
        <w:t xml:space="preserve">authorisation process</w:t>
      </w:r>
      <w:r>
        <w:t xml:space="preserve">, rather than an authorisation decision itself. The actual security decision remains the responsibility of the Controller.</w:t>
      </w:r>
    </w:p>
    <w:p>
      <w:pPr>
        <w:pStyle w:val="BodyText"/>
      </w:pPr>
      <w:r>
        <w:t xml:space="preserve">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bookmarkEnd w:id="84"/>
    <w:bookmarkStart w:id="85" w:name="X29a124864d396411eac11d932965b7ef7582ae4"/>
    <w:p>
      <w:pPr>
        <w:pStyle w:val="Heading2"/>
      </w:pPr>
      <w:r>
        <w:t xml:space="preserve">5.5 Controller: Trusted Multi-Party Authorisation Enforcement</w:t>
      </w:r>
    </w:p>
    <w:p>
      <w:pPr>
        <w:pStyle w:val="FirstParagraph"/>
      </w:pPr>
      <w: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w:t>
      </w:r>
    </w:p>
    <w:p>
      <w:pPr>
        <w:pStyle w:val="BodyText"/>
      </w:pPr>
      <w:r>
        <w:t xml:space="preserve">The Controller first evaluates whether the requesting entity and relevant authorisation participants possess valid identities and credentials. Identity verification is given by Eq. (8),</w:t>
      </w:r>
    </w:p>
    <w:p>
      <w:pPr>
        <w:pStyle w:val="BodyText"/>
      </w:pPr>
      <w:r>
        <w:t xml:space="preserve">where</w:t>
      </w:r>
      <w:r>
        <w:t xml:space="preserve"> </w:t>
      </w:r>
      <w:r>
        <w:rPr>
          <w:i/>
          <w:iCs/>
        </w:rPr>
        <w:t xml:space="preserve">VerifyDID</w:t>
      </w:r>
      <w:r>
        <w:t xml:space="preserve">(</w:t>
      </w:r>
      <w:r>
        <w:rPr>
          <w:i/>
          <w:iCs/>
        </w:rPr>
        <w:t xml:space="preserve">u</w:t>
      </w:r>
      <w:r>
        <w:t xml:space="preserve">) determines whether the decentralised identity of participant</w:t>
      </w:r>
      <w:r>
        <w:t xml:space="preserve"> </w:t>
      </w:r>
      <w:r>
        <w:rPr>
          <w:i/>
          <w:iCs/>
        </w:rPr>
        <w:t xml:space="preserve">u</w:t>
      </w:r>
      <w:r>
        <w:t xml:space="preserve"> </w:t>
      </w:r>
      <w:r>
        <w:t xml:space="preserve">can be verified and</w:t>
      </w:r>
      <w:r>
        <w:t xml:space="preserve"> </w:t>
      </w:r>
      <w:r>
        <w:rPr>
          <w:i/>
          <w:iCs/>
        </w:rPr>
        <w:t xml:space="preserve">VerifyVC</w:t>
      </w:r>
      <w:r>
        <w:t xml:space="preserve">(</w:t>
      </w:r>
      <w:r>
        <w:rPr>
          <w:i/>
          <w:iCs/>
        </w:rPr>
        <w:t xml:space="preserve">u</w:t>
      </w:r>
      <w:r>
        <w:t xml:space="preserve">) determines whether the associated credential provides valid evidence of the relevant authority or role.</w:t>
      </w:r>
    </w:p>
    <w:p>
      <w:pPr>
        <w:pStyle w:val="BodyText"/>
      </w:pPr>
      <w:r>
        <w:t xml:space="preserve">A central principle of the proposed architecture is that identity verification and authorisation authority are not equivalent. A participant may possess a valid identity while lacking the authority required to access a particular patient’s healthcare information. Therefore, identity is not authorisation (Eq. (1)).</w:t>
      </w:r>
    </w:p>
    <w:p>
      <w:pPr>
        <w:pStyle w:val="BodyText"/>
      </w:pPr>
      <w:r>
        <w:t xml:space="preserve">This distinction prevents successful authentication from being incorrectly interpreted as unrestricted permission.</w:t>
      </w:r>
    </w:p>
    <w:p>
      <w:pPr>
        <w:pStyle w:val="BodyText"/>
      </w:pPr>
      <w:r>
        <w:t xml:space="preserve">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w:t>
      </w:r>
      <w:r>
        <w:t xml:space="preserve"> </w:t>
      </w:r>
      <w:r>
        <w:rPr>
          <w:i/>
          <w:iCs/>
        </w:rPr>
        <w:t xml:space="preserve">A</w:t>
      </w:r>
      <w:r>
        <w:rPr>
          <w:vertAlign w:val="subscript"/>
        </w:rPr>
        <w:t xml:space="preserve">v</w:t>
      </w:r>
      <w:r>
        <w:t xml:space="preserve">. If the number of valid approvals is below the required threshold</w:t>
      </w:r>
      <w:r>
        <w:t xml:space="preserve"> </w:t>
      </w:r>
      <w:r>
        <w:rPr>
          <w:i/>
          <w:iCs/>
        </w:rPr>
        <w:t xml:space="preserve">N</w:t>
      </w:r>
      <w:r>
        <w:t xml:space="preserve">, the consent cannot produce an effective authorisation decision.</w:t>
      </w:r>
    </w:p>
    <w:p>
      <w:pPr>
        <w:pStyle w:val="BodyText"/>
      </w:pPr>
      <w:r>
        <w:t xml:space="preserve">The Controller then evaluates the relationship between the access request</w:t>
      </w:r>
      <w:r>
        <w:t xml:space="preserve"> </w:t>
      </w:r>
      <w:r>
        <w:rPr>
          <w:i/>
          <w:iCs/>
        </w:rPr>
        <w:t xml:space="preserve">R</w:t>
      </w:r>
      <w:r>
        <w:t xml:space="preserve"> </w:t>
      </w:r>
      <w:r>
        <w:t xml:space="preserve">and the policy conditions contained within the consent object. This process determines whether the requested healthcare data, operation, and intended purpose remain within the permitted authorisation boundary. The corresponding policy predicate is given by Eq. (11).</w:t>
      </w:r>
    </w:p>
    <w:p>
      <w:pPr>
        <w:pStyle w:val="BodyText"/>
      </w:pPr>
      <w:r>
        <w:t xml:space="preserve">The overall current stage authorisation decision is therefore determined by the conjunction of the foundational trust conditions in Eq. (6).</w:t>
      </w:r>
    </w:p>
    <w:p>
      <w:pPr>
        <w:pStyle w:val="BodyText"/>
      </w:pPr>
      <w: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w:t>
      </w:r>
    </w:p>
    <w:p>
      <w:pPr>
        <w:pStyle w:val="BodyText"/>
      </w:pPr>
      <w:r>
        <w:t xml:space="preserve">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bookmarkEnd w:id="85"/>
    <w:bookmarkStart w:id="86" w:name="X7ea2e96574592c59422d2a5ee233779814b7dd7"/>
    <w:p>
      <w:pPr>
        <w:pStyle w:val="Heading2"/>
      </w:pPr>
      <w:r>
        <w:t xml:space="preserve">5.6 Multi-Party Consent as Distributed Trust Establishment</w:t>
      </w:r>
    </w:p>
    <w:p>
      <w:pPr>
        <w:pStyle w:val="FirstParagraph"/>
      </w:pPr>
      <w:r>
        <w:t xml:space="preserve">A central contribution of the proposed architecture is the treatment of multi-party consent as a distributed trust-establishment mechanism rather than as a simple collection of multiple signatures.</w:t>
      </w:r>
    </w:p>
    <w:p>
      <w:pPr>
        <w:pStyle w:val="BodyText"/>
      </w:pPr>
      <w:r>
        <w:t xml:space="preserve">In conventional approval systems, multiple signatures may simply be appended to a document or transaction. However, the presence of multiple approvals does not necessarily establish that the approving entities were legitimate, possessed the appropriate authority, or approved the same policy conditions.</w:t>
      </w:r>
    </w:p>
    <w:p>
      <w:pPr>
        <w:pStyle w:val="BodyText"/>
      </w:pPr>
      <w:r>
        <w:t xml:space="preserve">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w:t>
      </w:r>
    </w:p>
    <w:p>
      <w:pPr>
        <w:pStyle w:val="BodyText"/>
      </w:pPr>
      <w:r>
        <w:t xml:space="preserve">Let the set of submitted approvals be denoted by</w:t>
      </w:r>
    </w:p>
    <w:p>
      <w:pPr>
        <w:pStyle w:val="BodyText"/>
      </w:pPr>
      <m:oMathPara>
        <m:oMathParaPr>
          <m:jc m:val="center"/>
        </m:oMathParaPr>
        <m:oMath>
          <m:sSub>
            <m:e>
              <m:r>
                <m:t>A</m:t>
              </m:r>
            </m:e>
            <m:sub>
              <m:r>
                <m:t>s</m:t>
              </m:r>
            </m:sub>
          </m:sSub>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m</m:t>
              </m:r>
            </m:sub>
          </m:sSub>
          <m:r>
            <m:rPr>
              <m:sty m:val="p"/>
            </m:rPr>
            <m:t>}</m:t>
          </m:r>
          <m:r>
            <m:rPr>
              <m:sty m:val="p"/>
            </m:rPr>
            <m:t>.</m:t>
          </m:r>
          <m:r>
            <m:t>  </m:t>
          </m:r>
          <m:r>
            <m:t>  </m:t>
          </m:r>
          <m:r>
            <m:rPr>
              <m:sty m:val="p"/>
            </m:rPr>
            <m:t>(</m:t>
          </m:r>
          <m:r>
            <m:t>26</m:t>
          </m:r>
          <m:r>
            <m:rPr>
              <m:sty m:val="p"/>
            </m:rPr>
            <m:t>)</m:t>
          </m:r>
        </m:oMath>
      </m:oMathPara>
    </w:p>
    <w:p>
      <w:pPr>
        <w:pStyle w:val="FirstParagraph"/>
      </w:pPr>
      <w:r>
        <w:t xml:space="preserve">The verified approval set is then derived as</w:t>
      </w:r>
    </w:p>
    <w:p>
      <w:pPr>
        <w:pStyle w:val="BodyText"/>
      </w:pPr>
      <m:oMathPara>
        <m:oMathParaPr>
          <m:jc m:val="center"/>
        </m:oMathParaPr>
        <m:oMath>
          <m:sSub>
            <m:e>
              <m:r>
                <m:t>A</m:t>
              </m:r>
            </m:e>
            <m:sub>
              <m:r>
                <m:t>v</m:t>
              </m:r>
            </m:sub>
          </m:sSub>
          <m:r>
            <m:rPr>
              <m:sty m:val="p"/>
            </m:rPr>
            <m:t>=</m:t>
          </m:r>
          <m:r>
            <m:rPr>
              <m:sty m:val="p"/>
            </m:rPr>
            <m:t>{</m:t>
          </m:r>
          <m:sSub>
            <m:e>
              <m:r>
                <m:t>a</m:t>
              </m:r>
            </m:e>
            <m:sub>
              <m:r>
                <m:t>i</m:t>
              </m:r>
            </m:sub>
          </m:sSub>
          <m:r>
            <m:rPr>
              <m:sty m:val="p"/>
            </m:rPr>
            <m:t>∈</m:t>
          </m:r>
          <m:sSub>
            <m:e>
              <m:r>
                <m:t>A</m:t>
              </m:r>
            </m:e>
            <m:sub>
              <m:r>
                <m:t>s</m:t>
              </m:r>
            </m:sub>
          </m:sSub>
          <m:r>
            <m:rPr>
              <m:sty m:val="p"/>
            </m:rPr>
            <m:t>|</m:t>
          </m:r>
          <m:sSub>
            <m:e>
              <m:r>
                <m:t>V</m:t>
              </m:r>
            </m:e>
            <m:sub>
              <m:r>
                <m:t>I</m:t>
              </m:r>
            </m:sub>
          </m:sSub>
          <m:r>
            <m:rPr>
              <m:sty m:val="p"/>
            </m:rPr>
            <m:t>(</m:t>
          </m:r>
          <m:sSub>
            <m:e>
              <m:r>
                <m:t>a</m:t>
              </m:r>
            </m:e>
            <m:sub>
              <m:r>
                <m:t>i</m:t>
              </m:r>
            </m:sub>
          </m:sSub>
          <m:r>
            <m:rPr>
              <m:sty m:val="p"/>
            </m:rPr>
            <m:t>)</m:t>
          </m:r>
          <m:r>
            <m:rPr>
              <m:sty m:val="p"/>
            </m:rPr>
            <m:t>=</m:t>
          </m:r>
          <m:r>
            <m:t>1</m:t>
          </m:r>
          <m:r>
            <m:rPr>
              <m:sty m:val="p"/>
            </m:rPr>
            <m:t>∧</m:t>
          </m:r>
          <m:r>
            <m:t>A</m:t>
          </m:r>
          <m:r>
            <m:t>u</m:t>
          </m:r>
          <m:r>
            <m:t>t</m:t>
          </m:r>
          <m:r>
            <m:t>h</m:t>
          </m:r>
          <m:r>
            <m:t>o</m:t>
          </m:r>
          <m:r>
            <m:t>r</m:t>
          </m:r>
          <m:r>
            <m:t>i</m:t>
          </m:r>
          <m:r>
            <m:t>t</m:t>
          </m:r>
          <m:r>
            <m:t>y</m:t>
          </m:r>
          <m:r>
            <m:rPr>
              <m:sty m:val="p"/>
            </m:rPr>
            <m:t>(</m:t>
          </m:r>
          <m:sSub>
            <m:e>
              <m:r>
                <m:t>a</m:t>
              </m:r>
            </m:e>
            <m:sub>
              <m:r>
                <m:t>i</m:t>
              </m:r>
            </m:sub>
          </m:sSub>
          <m:r>
            <m:rPr>
              <m:sty m:val="p"/>
            </m:rPr>
            <m:t>)</m:t>
          </m:r>
          <m:r>
            <m:rPr>
              <m:sty m:val="p"/>
            </m:rPr>
            <m:t>=</m:t>
          </m:r>
          <m:r>
            <m:t>V</m:t>
          </m:r>
          <m:r>
            <m:t>a</m:t>
          </m:r>
          <m:r>
            <m:t>l</m:t>
          </m:r>
          <m:r>
            <m:t>i</m:t>
          </m:r>
          <m:r>
            <m:t>d</m:t>
          </m:r>
          <m:r>
            <m:rPr>
              <m:sty m:val="p"/>
            </m:rPr>
            <m:t>}</m:t>
          </m:r>
          <m:r>
            <m:rPr>
              <m:sty m:val="p"/>
            </m:rPr>
            <m:t>.</m:t>
          </m:r>
          <m:r>
            <m:t>  </m:t>
          </m:r>
          <m:r>
            <m:t>  </m:t>
          </m:r>
          <m:r>
            <m:rPr>
              <m:sty m:val="p"/>
            </m:rPr>
            <m:t>(</m:t>
          </m:r>
          <m:r>
            <m:t>27</m:t>
          </m:r>
          <m:r>
            <m:rPr>
              <m:sty m:val="p"/>
            </m:rPr>
            <m:t>)</m:t>
          </m:r>
        </m:oMath>
      </m:oMathPara>
    </w:p>
    <w:p>
      <w:pPr>
        <w:pStyle w:val="FirstParagraph"/>
      </w:pPr>
      <w:r>
        <w:t xml:space="preserve">Only the verified set</w:t>
      </w:r>
      <w:r>
        <w:t xml:space="preserve"> </w:t>
      </w:r>
      <w:r>
        <w:rPr>
          <w:i/>
          <w:iCs/>
        </w:rPr>
        <w:t xml:space="preserve">A</w:t>
      </w:r>
      <w:r>
        <w:rPr>
          <w:vertAlign w:val="subscript"/>
        </w:rPr>
        <w:t xml:space="preserve">v</w:t>
      </w:r>
      <w:r>
        <w:t xml:space="preserve"> </w:t>
      </w:r>
      <w:r>
        <w:t xml:space="preserve">contributes to the threshold condition. Consequently, an arbitrary number of unverified or unauthorised approvals cannot satisfy the multi-party authorisation requirement.</w:t>
      </w:r>
    </w:p>
    <w:p>
      <w:pPr>
        <w:pStyle w:val="BodyText"/>
      </w:pPr>
      <w:r>
        <w:t xml:space="preserve">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w:t>
      </w:r>
    </w:p>
    <w:p>
      <w:pPr>
        <w:pStyle w:val="BodyText"/>
      </w:pPr>
      <w:r>
        <w:t xml:space="preserve">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bookmarkEnd w:id="86"/>
    <w:bookmarkStart w:id="87" w:name="policy-aware-consent-enforcement"/>
    <w:p>
      <w:pPr>
        <w:pStyle w:val="Heading2"/>
      </w:pPr>
      <w:r>
        <w:t xml:space="preserve">5.7 Policy-Aware Consent Enforcement</w:t>
      </w:r>
    </w:p>
    <w:p>
      <w:pPr>
        <w:pStyle w:val="FirstParagraph"/>
      </w:pPr>
      <w:r>
        <w:t xml:space="preserve">Another important feature of the architecture is the explicit separation between</w:t>
      </w:r>
      <w:r>
        <w:t xml:space="preserve"> </w:t>
      </w:r>
      <w:r>
        <w:rPr>
          <w:i/>
          <w:iCs/>
        </w:rPr>
        <w:t xml:space="preserve">approval</w:t>
      </w:r>
      <w:r>
        <w:t xml:space="preserve"> </w:t>
      </w:r>
      <w:r>
        <w:rPr>
          <w:i/>
          <w:iCs/>
        </w:rPr>
        <w:t xml:space="preserve">validity</w:t>
      </w:r>
      <w:r>
        <w:t xml:space="preserve"> </w:t>
      </w:r>
      <w:r>
        <w:t xml:space="preserve">and</w:t>
      </w:r>
      <w:r>
        <w:t xml:space="preserve"> </w:t>
      </w:r>
      <w:r>
        <w:rPr>
          <w:i/>
          <w:iCs/>
        </w:rPr>
        <w:t xml:space="preserve">access scope validity</w:t>
      </w:r>
      <w:r>
        <w:t xml:space="preserve">. Even when all required participants have approved a consent request, the resulting authorisation remains bounded by the policy encoded within the consent object.</w:t>
      </w:r>
    </w:p>
    <w:p>
      <w:pPr>
        <w:pStyle w:val="BodyText"/>
      </w:pPr>
      <w:r>
        <w:t xml:space="preserve">For example, if a healthcare professional requests the scope in Eq. (4), the request exceeds the consented scope (Eq. (5)) and the Controller must return DENY.</w:t>
      </w:r>
    </w:p>
    <w:p>
      <w:pPr>
        <w:pStyle w:val="BodyText"/>
      </w:pPr>
      <w:r>
        <w:t xml:space="preserve">This property is important because conventional authentication and role-based access-control mechanisms may determine that an entity is generally authorised to access a category of healthcare information without adequately considering the specific policy conditions associated with an individual patient’s consent.</w:t>
      </w:r>
    </w:p>
    <w:p>
      <w:pPr>
        <w:pStyle w:val="BodyText"/>
      </w:pPr>
      <w:r>
        <w:t xml:space="preserve">The proposed architecture instead binds the access decision to the consent policy itself. Consent therefore becomes an active authorisation constraint rather than a historical indication that a participant was once granted permission.</w:t>
      </w:r>
    </w:p>
    <w:p>
      <w:pPr>
        <w:pStyle w:val="BodyText"/>
      </w:pPr>
      <w: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bookmarkEnd w:id="87"/>
    <w:bookmarkStart w:id="88" w:name="authorisation-evidence-and-auditability"/>
    <w:p>
      <w:pPr>
        <w:pStyle w:val="Heading2"/>
      </w:pPr>
      <w:r>
        <w:t xml:space="preserve">5.8 Authorisation Evidence and Auditability</w:t>
      </w:r>
    </w:p>
    <w:p>
      <w:pPr>
        <w:pStyle w:val="FirstParagraph"/>
      </w:pPr>
      <w:r>
        <w:t xml:space="preserve">The proposed architecture further distinguishes between</w:t>
      </w:r>
      <w:r>
        <w:t xml:space="preserve"> </w:t>
      </w:r>
      <w:r>
        <w:rPr>
          <w:i/>
          <w:iCs/>
        </w:rPr>
        <w:t xml:space="preserve">making</w:t>
      </w:r>
      <w:r>
        <w:t xml:space="preserve"> </w:t>
      </w:r>
      <w:r>
        <w:t xml:space="preserve">an authorisation decision and</w:t>
      </w:r>
      <w:r>
        <w:t xml:space="preserve"> </w:t>
      </w:r>
      <w:r>
        <w:rPr>
          <w:i/>
          <w:iCs/>
        </w:rPr>
        <w:t xml:space="preserve">demonstrating</w:t>
      </w:r>
      <w:r>
        <w:t xml:space="preserve"> </w:t>
      </w:r>
      <w:r>
        <w:t xml:space="preserve">how that decision was made. For this reason, the Controller generates evidence associated with each relevant stage of the authorisation process. Conceptually, an authorisation evidence record can be represented as</w:t>
      </w:r>
    </w:p>
    <w:p>
      <w:pPr>
        <w:pStyle w:val="BodyText"/>
      </w:pPr>
      <m:oMathPara>
        <m:oMathParaPr>
          <m:jc m:val="center"/>
        </m:oMathParaPr>
        <m:oMath>
          <m:sSub>
            <m:e>
              <m:r>
                <m:t>E</m:t>
              </m:r>
            </m:e>
            <m:sub>
              <m:r>
                <m:t>R</m:t>
              </m:r>
            </m:sub>
          </m:sSub>
          <m:r>
            <m:rPr>
              <m:sty m:val="p"/>
            </m:rPr>
            <m:t>=</m:t>
          </m:r>
          <m:r>
            <m:rPr>
              <m:sty m:val="p"/>
            </m:rPr>
            <m:t>{</m:t>
          </m:r>
          <m:r>
            <m:t>I</m:t>
          </m:r>
          <m:r>
            <m:t>D</m:t>
          </m:r>
          <m:r>
            <m:rPr>
              <m:sty m:val="p"/>
            </m:rPr>
            <m:t>,</m:t>
          </m:r>
          <m:r>
            <m:t>C</m:t>
          </m:r>
          <m:r>
            <m:t>r</m:t>
          </m:r>
          <m:r>
            <m:t>e</m:t>
          </m:r>
          <m:r>
            <m:t>d</m:t>
          </m:r>
          <m:r>
            <m:t>e</m:t>
          </m:r>
          <m:r>
            <m:t>n</m:t>
          </m:r>
          <m:r>
            <m:t>t</m:t>
          </m:r>
          <m:r>
            <m:t>i</m:t>
          </m:r>
          <m:r>
            <m:t>a</m:t>
          </m:r>
          <m:r>
            <m:t>l</m:t>
          </m:r>
          <m:r>
            <m:rPr>
              <m:sty m:val="p"/>
            </m:rPr>
            <m:t>,</m:t>
          </m:r>
          <m:r>
            <m:t>A</m:t>
          </m:r>
          <m:r>
            <m:t>p</m:t>
          </m:r>
          <m:r>
            <m:t>p</m:t>
          </m:r>
          <m:r>
            <m:t>r</m:t>
          </m:r>
          <m:r>
            <m:t>o</m:t>
          </m:r>
          <m:r>
            <m:t>v</m:t>
          </m:r>
          <m:r>
            <m:t>a</m:t>
          </m:r>
          <m:r>
            <m:t>l</m:t>
          </m:r>
          <m:r>
            <m:rPr>
              <m:sty m:val="p"/>
            </m:rPr>
            <m:t>,</m:t>
          </m:r>
          <m:r>
            <m:t>P</m:t>
          </m:r>
          <m:r>
            <m:t>o</m:t>
          </m:r>
          <m:r>
            <m:t>l</m:t>
          </m:r>
          <m:r>
            <m:t>i</m:t>
          </m:r>
          <m:r>
            <m:t>c</m:t>
          </m:r>
          <m:r>
            <m:t>y</m:t>
          </m:r>
          <m:r>
            <m:rPr>
              <m:sty m:val="p"/>
            </m:rPr>
            <m:t>,</m:t>
          </m:r>
          <m:r>
            <m:t>D</m:t>
          </m:r>
          <m:r>
            <m:t>e</m:t>
          </m:r>
          <m:r>
            <m:t>c</m:t>
          </m:r>
          <m:r>
            <m:t>i</m:t>
          </m:r>
          <m:r>
            <m:t>s</m:t>
          </m:r>
          <m:r>
            <m:t>i</m:t>
          </m:r>
          <m:r>
            <m:t>o</m:t>
          </m:r>
          <m:r>
            <m:t>n</m:t>
          </m:r>
          <m:r>
            <m:rPr>
              <m:sty m:val="p"/>
            </m:rPr>
            <m:t>,</m:t>
          </m:r>
          <m:r>
            <m:t>A</m:t>
          </m:r>
          <m:r>
            <m:t>u</m:t>
          </m:r>
          <m:r>
            <m:t>d</m:t>
          </m:r>
          <m:r>
            <m:t>i</m:t>
          </m:r>
          <m:r>
            <m:t>t</m:t>
          </m:r>
          <m:r>
            <m:rPr>
              <m:sty m:val="p"/>
            </m:rPr>
            <m:t>}</m:t>
          </m:r>
          <m:r>
            <m:rPr>
              <m:sty m:val="p"/>
            </m:rPr>
            <m:t>.</m:t>
          </m:r>
          <m:r>
            <m:t>  </m:t>
          </m:r>
          <m:r>
            <m:t>  </m:t>
          </m:r>
          <m:r>
            <m:rPr>
              <m:sty m:val="p"/>
            </m:rPr>
            <m:t>(</m:t>
          </m:r>
          <m:r>
            <m:t>28</m:t>
          </m:r>
          <m:r>
            <m:rPr>
              <m:sty m:val="p"/>
            </m:rPr>
            <m:t>)</m:t>
          </m:r>
        </m:oMath>
      </m:oMathPara>
    </w:p>
    <w:p>
      <w:pPr>
        <w:pStyle w:val="FirstParagraph"/>
      </w:pPr>
      <w:r>
        <w:t xml:space="preserve">where</w:t>
      </w:r>
      <w:r>
        <w:t xml:space="preserve"> </w:t>
      </w:r>
      <w:r>
        <w:rPr>
          <w:i/>
          <w:iCs/>
        </w:rPr>
        <w:t xml:space="preserve">ID</w:t>
      </w:r>
      <w:r>
        <w:t xml:space="preserve"> </w:t>
      </w:r>
      <w:r>
        <w:t xml:space="preserve">represents identity-verification evidence,</w:t>
      </w:r>
      <w:r>
        <w:t xml:space="preserve"> </w:t>
      </w:r>
      <w:r>
        <w:rPr>
          <w:i/>
          <w:iCs/>
        </w:rPr>
        <w:t xml:space="preserve">Credential</w:t>
      </w:r>
      <w:r>
        <w:t xml:space="preserve"> </w:t>
      </w:r>
      <w:r>
        <w:t xml:space="preserve">represents authority or role-verification evidence,</w:t>
      </w:r>
      <w:r>
        <w:t xml:space="preserve"> </w:t>
      </w:r>
      <w:r>
        <w:rPr>
          <w:i/>
          <w:iCs/>
        </w:rPr>
        <w:t xml:space="preserve">Approval</w:t>
      </w:r>
      <w:r>
        <w:t xml:space="preserve"> </w:t>
      </w:r>
      <w:r>
        <w:t xml:space="preserve">represents the verified multi-party approval state,</w:t>
      </w:r>
      <w:r>
        <w:t xml:space="preserve"> </w:t>
      </w:r>
      <w:r>
        <w:rPr>
          <w:i/>
          <w:iCs/>
        </w:rPr>
        <w:t xml:space="preserve">Policy</w:t>
      </w:r>
      <w:r>
        <w:t xml:space="preserve"> </w:t>
      </w:r>
      <w:r>
        <w:t xml:space="preserve">represents the result of policy evaluation,</w:t>
      </w:r>
      <w:r>
        <w:t xml:space="preserve"> </w:t>
      </w:r>
      <w:r>
        <w:rPr>
          <w:i/>
          <w:iCs/>
        </w:rPr>
        <w:t xml:space="preserve">Decision</w:t>
      </w:r>
      <w:r>
        <w:t xml:space="preserve"> </w:t>
      </w:r>
      <w:r>
        <w:t xml:space="preserve">represents the final access outcome, and</w:t>
      </w:r>
      <w:r>
        <w:t xml:space="preserve"> </w:t>
      </w:r>
      <w:r>
        <w:rPr>
          <w:i/>
          <w:iCs/>
        </w:rPr>
        <w:t xml:space="preserve">Audit</w:t>
      </w:r>
      <w:r>
        <w:t xml:space="preserve"> </w:t>
      </w:r>
      <w:r>
        <w:t xml:space="preserve">represents the associated event record.</w:t>
      </w:r>
    </w:p>
    <w:p>
      <w:pPr>
        <w:pStyle w:val="BodyText"/>
      </w:pPr>
      <w:r>
        <w:t xml:space="preserve">The resulting audit trail provides a stronger governance capability than a simple record of successful access. An auditor can examine not only whether access occurred, but also whether the requester possessed a valid identity, whether the required authorisation threshold was satisfied, whether the requested data complied with the authorised scope, and which conditions produced the final decision.</w:t>
      </w:r>
    </w:p>
    <w:p>
      <w:pPr>
        <w:pStyle w:val="BodyText"/>
      </w:pPr>
      <w:r>
        <w:t xml:space="preserve">Blockchain or other tamper-resistant storage mechanisms may be integrated as infrastructure for preserving selected authorisation evidence. However, the blockchain itself is not treated as the source of trust. Its role is to strengthen integrity, non-repudiation, and auditability of the evidence generated by the authorisation process.</w:t>
      </w:r>
    </w:p>
    <w:p>
      <w:pPr>
        <w:pStyle w:val="BodyText"/>
      </w:pPr>
      <w:r>
        <w:t xml:space="preserve">The trustworthiness of the access decision instead originates from the coordinated enforcement of identity, authority, multi-party approval, and policy conditions.</w:t>
      </w:r>
    </w:p>
    <w:bookmarkEnd w:id="88"/>
    <w:bookmarkStart w:id="89" w:name="architectural-security-properties"/>
    <w:p>
      <w:pPr>
        <w:pStyle w:val="Heading2"/>
      </w:pPr>
      <w:r>
        <w:t xml:space="preserve">5.9 Architectural Security Properties</w:t>
      </w:r>
    </w:p>
    <w:p>
      <w:pPr>
        <w:pStyle w:val="FirstParagraph"/>
      </w:pPr>
      <w:r>
        <w:t xml:space="preserve">The proposed MVC architecture provides several foundational security properties for the current stage. These properties emerge from the interaction between the Model, View, and Controller rather than from any single technology.</w:t>
      </w:r>
    </w:p>
    <w:p>
      <w:pPr>
        <w:pStyle w:val="BodyText"/>
      </w:pPr>
      <w:r>
        <w:t xml:space="preserve">First, the architecture provides</w:t>
      </w:r>
      <w:r>
        <w:t xml:space="preserve"> </w:t>
      </w:r>
      <w:r>
        <w:rPr>
          <w:i/>
          <w:iCs/>
        </w:rPr>
        <w:t xml:space="preserve">identity-dependent participation</w:t>
      </w:r>
      <w:r>
        <w:t xml:space="preserve">. A participant cannot contribute to the authorisation process solely by interacting with the system interface. The corresponding identity and credential must satisfy the verification requirements.</w:t>
      </w:r>
    </w:p>
    <w:p>
      <w:pPr>
        <w:pStyle w:val="BodyText"/>
      </w:pPr>
      <w:r>
        <w:t xml:space="preserve">Second, the architecture provides</w:t>
      </w:r>
      <w:r>
        <w:t xml:space="preserve"> </w:t>
      </w:r>
      <w:r>
        <w:rPr>
          <w:i/>
          <w:iCs/>
        </w:rPr>
        <w:t xml:space="preserve">authority separation</w:t>
      </w:r>
      <w:r>
        <w:t xml:space="preserve">.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w:t>
      </w:r>
    </w:p>
    <w:p>
      <w:pPr>
        <w:pStyle w:val="BodyText"/>
      </w:pPr>
      <w:r>
        <w:t xml:space="preserve">Third, the architecture provides</w:t>
      </w:r>
      <w:r>
        <w:t xml:space="preserve"> </w:t>
      </w:r>
      <w:r>
        <w:rPr>
          <w:i/>
          <w:iCs/>
        </w:rPr>
        <w:t xml:space="preserve">collective authorisation integrity</w:t>
      </w:r>
      <w:r>
        <w:t xml:space="preserve">. Sensitive healthcare data access can be configured to require multiple independently verified participants. Therefore, a single participant cannot unilaterally activate access when the defined authorisation threshold has not been reached.</w:t>
      </w:r>
    </w:p>
    <w:p>
      <w:pPr>
        <w:pStyle w:val="BodyText"/>
      </w:pPr>
      <w:r>
        <w:t xml:space="preserve">Fourth, the architecture provides</w:t>
      </w:r>
      <w:r>
        <w:t xml:space="preserve"> </w:t>
      </w:r>
      <w:r>
        <w:rPr>
          <w:i/>
          <w:iCs/>
        </w:rPr>
        <w:t xml:space="preserve">policy-bounded access</w:t>
      </w:r>
      <w:r>
        <w:t xml:space="preserve">. A valid requester with sufficient approval evidence cannot access healthcare information beyond the purpose or data scope defined by the consent object.</w:t>
      </w:r>
    </w:p>
    <w:p>
      <w:pPr>
        <w:pStyle w:val="BodyText"/>
      </w:pPr>
      <w:r>
        <w:t xml:space="preserve">Finally, the architecture provides</w:t>
      </w:r>
      <w:r>
        <w:t xml:space="preserve"> </w:t>
      </w:r>
      <w:r>
        <w:rPr>
          <w:i/>
          <w:iCs/>
        </w:rPr>
        <w:t xml:space="preserve">decision accountability</w:t>
      </w:r>
      <w:r>
        <w:t xml:space="preserve">. The system maintains evidence concerning the conditions that produced an authorisation decision, thereby supporting auditing and subsequent verification. These properties can be summarised as shown in Table 5.1.</w:t>
      </w:r>
    </w:p>
    <w:bookmarkEnd w:id="89"/>
    <w:bookmarkStart w:id="90" w:name="Xa2cefacf258c40709ece440e33da236e205e6c3"/>
    <w:p>
      <w:pPr>
        <w:pStyle w:val="Heading2"/>
      </w:pPr>
      <w:r>
        <w:t xml:space="preserve">5.10 MVC Architecture and the Research Objectives</w:t>
      </w:r>
    </w:p>
    <w:p>
      <w:pPr>
        <w:pStyle w:val="FirstParagraph"/>
      </w:pPr>
      <w: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w:t>
      </w:r>
    </w:p>
    <w:p>
      <w:pPr>
        <w:pStyle w:val="BodyText"/>
      </w:pPr>
      <w:r>
        <w:t xml:space="preserve">As shown in Table 5.2, the View provides the operational environment through which these mechanisms are exercised by independent participants. Importantly, the View does not determine whether an operation is authorised. Instead, it captures participant actions and forwards them to the Controller, which evaluates the security predicates defined by the Model.</w:t>
      </w:r>
    </w:p>
    <w:bookmarkEnd w:id="90"/>
    <w:bookmarkStart w:id="91" w:name="architectural-contribution-and-scope"/>
    <w:p>
      <w:pPr>
        <w:pStyle w:val="Heading2"/>
      </w:pPr>
      <w:r>
        <w:t xml:space="preserve">5.11 Architectural Contribution and Scope</w:t>
      </w:r>
    </w:p>
    <w:p>
      <w:pPr>
        <w:pStyle w:val="FirstParagraph"/>
      </w:pPr>
      <w: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w:t>
      </w:r>
    </w:p>
    <w:p>
      <w:pPr>
        <w:pStyle w:val="BodyText"/>
      </w:pPr>
      <w:r>
        <w:t xml:space="preserve">This design transforms multi-party consent management from a conventional record-management problem into a distributed security-governance problem. The key innovation is that consent is treated as an active and evaluable authorisation object whose effectiveness depends on the joint satisfaction of identity, authority, collective approval, and policy conditions.</w:t>
      </w:r>
    </w:p>
    <w:p>
      <w:pPr>
        <w:pStyle w:val="BodyText"/>
      </w:pPr>
      <w:r>
        <w:t xml:space="preserve">For the current stage, the architecture therefore establishes the foundational mechanisms required to answer SRQ1–SRQ4. The implemented HALAH prototype provides the practical environment in which these mechanisms can be instantiated and evaluated through representative healthcare data-sharing scenarios.</w:t>
      </w:r>
    </w:p>
    <w:p>
      <w:pPr>
        <w:pStyle w:val="TableCaption"/>
      </w:pPr>
      <w:r>
        <w:t xml:space="preserve">Table 5.1: Security Properties Supported by the Proposed MVC-Based Consent Architecture</w:t>
      </w:r>
    </w:p>
    <w:tbl>
      <w:tblPr>
        <w:tblStyle w:val="Table"/>
        <w:tblW w:type="pct" w:w="5000"/>
        <w:tblLayout w:type="fixed"/>
        <w:tblLook w:firstRow="1" w:lastRow="0" w:firstColumn="0" w:lastColumn="0" w:noHBand="0" w:noVBand="0" w:val="0020"/>
        <w:tblCaption w:val="Table 5.1: Security Properties Supported by the Proposed MVC-Based Consent Architecture"/>
      </w:tblPr>
      <w:tblGrid>
        <w:gridCol w:w="2310"/>
        <w:gridCol w:w="2805"/>
        <w:gridCol w:w="280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Security Property</w:t>
            </w:r>
          </w:p>
        </w:tc>
        <w:tc>
          <w:tcPr>
            <w:tcBorders>
              <w:bottom w:val="single" w:sz="8" w:space="0" w:color="000000"/>
            </w:tcBorders>
            <w:shd w:val="clear" w:color="auto" w:fill="E7E6E6"/>
            <w:vAlign w:val="center"/>
          </w:tcPr>
          <w:p>
            <w:pPr>
              <w:pStyle w:val="Compact"/>
              <w:jc w:val="left"/>
            </w:pPr>
            <w:r>
              <w:rPr>
                <w:b/>
                <w:bCs/>
              </w:rPr>
              <w:t xml:space="preserve">Architectural Mechanism</w:t>
            </w:r>
          </w:p>
        </w:tc>
        <w:tc>
          <w:tcPr>
            <w:tcBorders>
              <w:bottom w:val="single" w:sz="8" w:space="0" w:color="000000"/>
            </w:tcBorders>
            <w:shd w:val="clear" w:color="auto" w:fill="E7E6E6"/>
            <w:vAlign w:val="center"/>
          </w:tcPr>
          <w:p>
            <w:pPr>
              <w:pStyle w:val="Compact"/>
              <w:jc w:val="left"/>
            </w:pPr>
            <w:r>
              <w:rPr>
                <w:b/>
                <w:bCs/>
              </w:rPr>
              <w:t xml:space="preserve">Security Significance</w:t>
            </w:r>
          </w:p>
        </w:tc>
      </w:tr>
      <w:tr>
        <w:trPr>
          <w:cantSplit/>
        </w:trPr>
        <w:tc>
          <w:tcPr/>
          <w:p>
            <w:pPr>
              <w:pStyle w:val="Compact"/>
              <w:jc w:val="left"/>
            </w:pPr>
            <w:r>
              <w:t xml:space="preserve">Identity-dependent participation</w:t>
            </w:r>
          </w:p>
        </w:tc>
        <w:tc>
          <w:tcPr/>
          <w:p>
            <w:pPr>
              <w:pStyle w:val="Compact"/>
              <w:jc w:val="left"/>
            </w:pPr>
            <w:r>
              <w:t xml:space="preserve">DID and credential verification before a participant can contribute to the authorisation process</w:t>
            </w:r>
          </w:p>
        </w:tc>
        <w:tc>
          <w:tcPr/>
          <w:p>
            <w:pPr>
              <w:pStyle w:val="Compact"/>
              <w:jc w:val="left"/>
            </w:pPr>
            <w:r>
              <w:t xml:space="preserve">Prevents unverified entities from being treated as legitimate participants.</w:t>
            </w:r>
          </w:p>
        </w:tc>
      </w:tr>
      <w:tr>
        <w:trPr>
          <w:cantSplit/>
        </w:trPr>
        <w:tc>
          <w:tcPr/>
          <w:p>
            <w:pPr>
              <w:pStyle w:val="Compact"/>
              <w:jc w:val="left"/>
            </w:pPr>
            <w:r>
              <w:t xml:space="preserve">Authority separation</w:t>
            </w:r>
          </w:p>
        </w:tc>
        <w:tc>
          <w:tcPr/>
          <w:p>
            <w:pPr>
              <w:pStyle w:val="Compact"/>
              <w:jc w:val="left"/>
            </w:pPr>
            <w:r>
              <w:t xml:space="preserve">Independent evaluation of identity and role or authority evidence</w:t>
            </w:r>
          </w:p>
        </w:tc>
        <w:tc>
          <w:tcPr/>
          <w:p>
            <w:pPr>
              <w:pStyle w:val="Compact"/>
              <w:jc w:val="left"/>
            </w:pPr>
            <w:r>
              <w:t xml:space="preserve">Prevents successful authentication from being interpreted as unrestricted authorisation.</w:t>
            </w:r>
          </w:p>
        </w:tc>
      </w:tr>
      <w:tr>
        <w:trPr>
          <w:cantSplit/>
        </w:trPr>
        <w:tc>
          <w:tcPr/>
          <w:p>
            <w:pPr>
              <w:pStyle w:val="Compact"/>
              <w:jc w:val="left"/>
            </w:pPr>
            <w:r>
              <w:t xml:space="preserve">Multi-party authorisation integrity</w:t>
            </w:r>
          </w:p>
        </w:tc>
        <w:tc>
          <w:tcPr/>
          <w:p>
            <w:pPr>
              <w:pStyle w:val="Compact"/>
              <w:jc w:val="left"/>
            </w:pPr>
            <w:r>
              <w:t xml:space="preserve">Threshold evaluation over independently verified approval participants</w:t>
            </w:r>
          </w:p>
        </w:tc>
        <w:tc>
          <w:tcPr/>
          <w:p>
            <w:pPr>
              <w:pStyle w:val="Compact"/>
              <w:jc w:val="left"/>
            </w:pPr>
            <w:r>
              <w:t xml:space="preserve">Prevents a single participant from unilaterally activating sensitive healthcare data access when collective approval is required.</w:t>
            </w:r>
          </w:p>
        </w:tc>
      </w:tr>
      <w:tr>
        <w:trPr>
          <w:cantSplit/>
        </w:trPr>
        <w:tc>
          <w:tcPr/>
          <w:p>
            <w:pPr>
              <w:pStyle w:val="Compact"/>
              <w:jc w:val="left"/>
            </w:pPr>
            <w:r>
              <w:t xml:space="preserve">Policy-bounded access</w:t>
            </w:r>
          </w:p>
        </w:tc>
        <w:tc>
          <w:tcPr/>
          <w:p>
            <w:pPr>
              <w:pStyle w:val="Compact"/>
              <w:jc w:val="left"/>
            </w:pPr>
            <w:r>
              <w:t xml:space="preserve">Evaluation of purpose and requested data scope against consent policy</w:t>
            </w:r>
          </w:p>
        </w:tc>
        <w:tc>
          <w:tcPr/>
          <w:p>
            <w:pPr>
              <w:pStyle w:val="Compact"/>
              <w:jc w:val="left"/>
            </w:pPr>
            <w:r>
              <w:t xml:space="preserve">Prevents otherwise valid identities and approvals from being used to obtain data beyond the authorised scope.</w:t>
            </w:r>
          </w:p>
        </w:tc>
      </w:tr>
      <w:tr>
        <w:trPr>
          <w:cantSplit/>
        </w:trPr>
        <w:tc>
          <w:tcPr/>
          <w:p>
            <w:pPr>
              <w:pStyle w:val="Compact"/>
              <w:jc w:val="left"/>
            </w:pPr>
            <w:r>
              <w:t xml:space="preserve">Authorisation evidence</w:t>
            </w:r>
          </w:p>
        </w:tc>
        <w:tc>
          <w:tcPr/>
          <w:p>
            <w:pPr>
              <w:pStyle w:val="Compact"/>
              <w:jc w:val="left"/>
            </w:pPr>
            <w:r>
              <w:t xml:space="preserve">Recording of verification results, approval evidence, policy evaluation, and final decisions</w:t>
            </w:r>
          </w:p>
        </w:tc>
        <w:tc>
          <w:tcPr/>
          <w:p>
            <w:pPr>
              <w:pStyle w:val="Compact"/>
              <w:jc w:val="left"/>
            </w:pPr>
            <w:r>
              <w:t xml:space="preserve">Provides traceability and supports accountability, auditing, and future verification.</w:t>
            </w:r>
          </w:p>
        </w:tc>
      </w:tr>
      <w:tr>
        <w:trPr>
          <w:cantSplit/>
        </w:trPr>
        <w:tc>
          <w:tcPr/>
          <w:p>
            <w:pPr>
              <w:pStyle w:val="Compact"/>
              <w:jc w:val="left"/>
            </w:pPr>
            <w:r>
              <w:t xml:space="preserve">Separation of interaction and enforcement</w:t>
            </w:r>
          </w:p>
        </w:tc>
        <w:tc>
          <w:tcPr/>
          <w:p>
            <w:pPr>
              <w:pStyle w:val="Compact"/>
              <w:jc w:val="left"/>
            </w:pPr>
            <w:r>
              <w:t xml:space="preserve">The View submits requests while the Controller independently determines the security decision</w:t>
            </w:r>
          </w:p>
        </w:tc>
        <w:tc>
          <w:tcPr/>
          <w:p>
            <w:pPr>
              <w:pStyle w:val="Compact"/>
              <w:jc w:val="left"/>
            </w:pPr>
            <w:r>
              <w:t xml:space="preserve">Prevents user-interface actions from being interpreted directly as trusted authorisation outcomes.</w:t>
            </w:r>
          </w:p>
        </w:tc>
      </w:tr>
    </w:tbl>
    <w:p/>
    <w:p>
      <w:pPr>
        <w:pStyle w:val="TableCaption"/>
      </w:pPr>
      <w:r>
        <w:t xml:space="preserve">Table 5.2: Mapping Between Research Objectives and MVC Components</w:t>
      </w:r>
    </w:p>
    <w:tbl>
      <w:tblPr>
        <w:tblStyle w:val="Table"/>
        <w:tblW w:type="pct" w:w="5000"/>
        <w:tblLayout w:type="fixed"/>
        <w:tblLook w:firstRow="1" w:lastRow="0" w:firstColumn="0" w:lastColumn="0" w:noHBand="0" w:noVBand="0" w:val="0020"/>
        <w:tblCaption w:val="Table 5.2: Mapping Between Research Objectives and MVC Components"/>
      </w:tblPr>
      <w:tblGrid>
        <w:gridCol w:w="1190"/>
        <w:gridCol w:w="1449"/>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Objective</w:t>
            </w:r>
          </w:p>
        </w:tc>
        <w:tc>
          <w:tcPr>
            <w:tcBorders>
              <w:bottom w:val="single" w:sz="8" w:space="0" w:color="000000"/>
            </w:tcBorders>
            <w:shd w:val="clear" w:color="auto" w:fill="E7E6E6"/>
            <w:vAlign w:val="center"/>
          </w:tcPr>
          <w:p>
            <w:pPr>
              <w:pStyle w:val="Compact"/>
              <w:jc w:val="left"/>
            </w:pPr>
            <w:r>
              <w:rPr>
                <w:b/>
                <w:bCs/>
              </w:rPr>
              <w:t xml:space="preserve">Primary MVC Component</w:t>
            </w:r>
          </w:p>
        </w:tc>
        <w:tc>
          <w:tcPr>
            <w:tcBorders>
              <w:bottom w:val="single" w:sz="8" w:space="0" w:color="000000"/>
            </w:tcBorders>
            <w:shd w:val="clear" w:color="auto" w:fill="E7E6E6"/>
            <w:vAlign w:val="center"/>
          </w:tcPr>
          <w:p>
            <w:pPr>
              <w:pStyle w:val="Compact"/>
              <w:jc w:val="left"/>
            </w:pPr>
            <w:r>
              <w:rPr>
                <w:b/>
                <w:bCs/>
              </w:rPr>
              <w:t xml:space="preserve">Core Mechanism</w:t>
            </w:r>
          </w:p>
        </w:tc>
        <w:tc>
          <w:tcPr>
            <w:tcBorders>
              <w:bottom w:val="single" w:sz="8" w:space="0" w:color="000000"/>
            </w:tcBorders>
            <w:shd w:val="clear" w:color="auto" w:fill="E7E6E6"/>
            <w:vAlign w:val="center"/>
          </w:tcPr>
          <w:p>
            <w:pPr>
              <w:pStyle w:val="Compact"/>
              <w:jc w:val="left"/>
            </w:pPr>
            <w:r>
              <w:rPr>
                <w:b/>
                <w:bCs/>
              </w:rPr>
              <w:t xml:space="preserve">Expected Contribution</w:t>
            </w:r>
          </w:p>
        </w:tc>
      </w:tr>
      <w:tr>
        <w:trPr>
          <w:cantSplit/>
        </w:trPr>
        <w:tc>
          <w:tcPr/>
          <w:p>
            <w:pPr>
              <w:pStyle w:val="Compact"/>
              <w:jc w:val="left"/>
            </w:pPr>
            <w:r>
              <w:t xml:space="preserve">RO1</w:t>
            </w:r>
          </w:p>
        </w:tc>
        <w:tc>
          <w:tcPr/>
          <w:p>
            <w:pPr>
              <w:pStyle w:val="Compact"/>
              <w:jc w:val="left"/>
            </w:pPr>
            <w:r>
              <w:t xml:space="preserve">Model</w:t>
            </w:r>
          </w:p>
        </w:tc>
        <w:tc>
          <w:tcPr/>
          <w:p>
            <w:pPr>
              <w:pStyle w:val="Compact"/>
              <w:jc w:val="left"/>
            </w:pPr>
            <w:r>
              <w:t xml:space="preserve">Trust-aware consent representation</w:t>
            </w:r>
          </w:p>
        </w:tc>
        <w:tc>
          <w:tcPr/>
          <w:p>
            <w:pPr>
              <w:pStyle w:val="Compact"/>
              <w:jc w:val="left"/>
            </w:pPr>
            <w:r>
              <w:t xml:space="preserve">Transforms consent from a passive permission record into a structured and evaluable authorisation object.</w:t>
            </w:r>
          </w:p>
        </w:tc>
      </w:tr>
      <w:tr>
        <w:trPr>
          <w:cantSplit/>
        </w:trPr>
        <w:tc>
          <w:tcPr/>
          <w:p>
            <w:pPr>
              <w:pStyle w:val="Compact"/>
              <w:jc w:val="left"/>
            </w:pPr>
            <w:r>
              <w:t xml:space="preserve">RO2</w:t>
            </w:r>
          </w:p>
        </w:tc>
        <w:tc>
          <w:tcPr/>
          <w:p>
            <w:pPr>
              <w:pStyle w:val="Compact"/>
              <w:jc w:val="left"/>
            </w:pPr>
            <w:r>
              <w:t xml:space="preserve">Controller and Model</w:t>
            </w:r>
          </w:p>
        </w:tc>
        <w:tc>
          <w:tcPr/>
          <w:p>
            <w:pPr>
              <w:pStyle w:val="Compact"/>
              <w:jc w:val="left"/>
            </w:pPr>
            <w:r>
              <w:t xml:space="preserve">DID and VC verification</w:t>
            </w:r>
          </w:p>
        </w:tc>
        <w:tc>
          <w:tcPr/>
          <w:p>
            <w:pPr>
              <w:pStyle w:val="Compact"/>
              <w:jc w:val="left"/>
            </w:pPr>
            <w:r>
              <w:t xml:space="preserve">Establishes trustworthy participants while explicitly separating identity from authorisation authority.</w:t>
            </w:r>
          </w:p>
        </w:tc>
      </w:tr>
      <w:tr>
        <w:trPr>
          <w:cantSplit/>
        </w:trPr>
        <w:tc>
          <w:tcPr/>
          <w:p>
            <w:pPr>
              <w:pStyle w:val="Compact"/>
              <w:jc w:val="left"/>
            </w:pPr>
            <w:r>
              <w:t xml:space="preserve">RO3</w:t>
            </w:r>
          </w:p>
        </w:tc>
        <w:tc>
          <w:tcPr/>
          <w:p>
            <w:pPr>
              <w:pStyle w:val="Compact"/>
              <w:jc w:val="left"/>
            </w:pPr>
            <w:r>
              <w:t xml:space="preserve">Controller</w:t>
            </w:r>
          </w:p>
        </w:tc>
        <w:tc>
          <w:tcPr/>
          <w:p>
            <w:pPr>
              <w:pStyle w:val="Compact"/>
              <w:jc w:val="left"/>
            </w:pPr>
            <w:r>
              <w:t xml:space="preserve">Verified multi-party threshold evaluation</w:t>
            </w:r>
          </w:p>
        </w:tc>
        <w:tc>
          <w:tcPr/>
          <w:p>
            <w:pPr>
              <w:pStyle w:val="Compact"/>
              <w:jc w:val="left"/>
            </w:pPr>
            <w:r>
              <w:t xml:space="preserve">Establishes collective trust and prevents unilateral authorisation when multiple approvals are required.</w:t>
            </w:r>
          </w:p>
        </w:tc>
      </w:tr>
      <w:tr>
        <w:trPr>
          <w:cantSplit/>
        </w:trPr>
        <w:tc>
          <w:tcPr/>
          <w:p>
            <w:pPr>
              <w:pStyle w:val="Compact"/>
              <w:jc w:val="left"/>
            </w:pPr>
            <w:r>
              <w:t xml:space="preserve">RO4</w:t>
            </w:r>
          </w:p>
        </w:tc>
        <w:tc>
          <w:tcPr/>
          <w:p>
            <w:pPr>
              <w:pStyle w:val="Compact"/>
              <w:jc w:val="left"/>
            </w:pPr>
            <w:r>
              <w:t xml:space="preserve">Controller and Model</w:t>
            </w:r>
          </w:p>
        </w:tc>
        <w:tc>
          <w:tcPr/>
          <w:p>
            <w:pPr>
              <w:pStyle w:val="Compact"/>
              <w:jc w:val="left"/>
            </w:pPr>
            <w:r>
              <w:t xml:space="preserve">Policy, purpose, and data-scope evaluation</w:t>
            </w:r>
          </w:p>
        </w:tc>
        <w:tc>
          <w:tcPr/>
          <w:p>
            <w:pPr>
              <w:pStyle w:val="Compact"/>
              <w:jc w:val="left"/>
            </w:pPr>
            <w:r>
              <w:t xml:space="preserve">Ensures that valid participants and sufficient approvals remain constrained by the authorised purpose and healthcare data scope.</w:t>
            </w:r>
          </w:p>
        </w:tc>
      </w:tr>
      <w:tr>
        <w:trPr>
          <w:cantSplit/>
        </w:trPr>
        <w:tc>
          <w:tcPr/>
          <w:p>
            <w:pPr>
              <w:pStyle w:val="Compact"/>
              <w:jc w:val="left"/>
            </w:pPr>
            <w:r>
              <w:t xml:space="preserve">RO5</w:t>
            </w:r>
          </w:p>
        </w:tc>
        <w:tc>
          <w:tcPr/>
          <w:p>
            <w:pPr>
              <w:pStyle w:val="Compact"/>
              <w:jc w:val="left"/>
            </w:pPr>
            <w:r>
              <w:t xml:space="preserve">Model and Controller</w:t>
            </w:r>
          </w:p>
        </w:tc>
        <w:tc>
          <w:tcPr/>
          <w:p>
            <w:pPr>
              <w:pStyle w:val="Compact"/>
              <w:jc w:val="left"/>
            </w:pPr>
            <w:r>
              <w:t xml:space="preserve">Temporal validity and consent lifecycle enforcement</w:t>
            </w:r>
          </w:p>
        </w:tc>
        <w:tc>
          <w:tcPr/>
          <w:p>
            <w:pPr>
              <w:pStyle w:val="Compact"/>
              <w:jc w:val="left"/>
            </w:pPr>
            <w:r>
              <w:t xml:space="preserve">Ensures that authorisation remains valid only within its permitted time interval and lifecycle state, and that expiration, revocation, and unauthorised state transitions are correctly enforced.</w:t>
            </w:r>
          </w:p>
        </w:tc>
      </w:tr>
      <w:tr>
        <w:trPr>
          <w:cantSplit/>
        </w:trPr>
        <w:tc>
          <w:tcPr/>
          <w:p>
            <w:pPr>
              <w:pStyle w:val="Compact"/>
              <w:jc w:val="left"/>
            </w:pPr>
            <w:r>
              <w:t xml:space="preserve">RO6</w:t>
            </w:r>
          </w:p>
        </w:tc>
        <w:tc>
          <w:tcPr/>
          <w:p>
            <w:pPr>
              <w:pStyle w:val="Compact"/>
              <w:jc w:val="left"/>
            </w:pPr>
            <w:r>
              <w:t xml:space="preserve">Model, View, and Controller</w:t>
            </w:r>
          </w:p>
        </w:tc>
        <w:tc>
          <w:tcPr/>
          <w:p>
            <w:pPr>
              <w:pStyle w:val="Compact"/>
              <w:jc w:val="left"/>
            </w:pPr>
            <w:r>
              <w:t xml:space="preserve">Formal security analysis and empirical validation</w:t>
            </w:r>
          </w:p>
        </w:tc>
        <w:tc>
          <w:tcPr/>
          <w:p>
            <w:pPr>
              <w:pStyle w:val="Compact"/>
              <w:jc w:val="left"/>
            </w:pPr>
            <w:r>
              <w:t xml:space="preserve">Provides formal assurance of the defined trust and authorisation properties and empirically evaluates whether the implemented framework correctly enforces authorised and unauthorised healthcare data-access decisions.</w:t>
            </w:r>
          </w:p>
        </w:tc>
      </w:tr>
    </w:tbl>
    <w:p>
      <w:pPr>
        <w:pStyle w:val="BodyText"/>
      </w:pPr>
      <w:r>
        <w:t xml:space="preserve">The subsequent stage will extend the architecture beyond the current foundational authorisation model. The consent Model will be expanded to include temporal validity, expiration, revocation, and controlled lifecycle transitions. The Controller will subsequently incorporate the corresponding temporal and lifecycle predicates into the authorisation decision. In addition, the complete decision model will be subjected to formal security analysis and broader empirical validation.</w:t>
      </w:r>
    </w:p>
    <w:p>
      <w:pPr>
        <w:pStyle w:val="BodyText"/>
      </w:pPr>
      <w:r>
        <w:t xml:space="preserve">Accordingly, the current stage architecture establishes the foundational security core of the research, while the next stage will investigate whether this core can maintain trust dynamically over time, satisfy formally defined security properties, and consistently enforce the complete trust-oriented authorisation model under representative and adversarial healthcare data-sharing conditions.</w:t>
      </w:r>
    </w:p>
    <w:bookmarkEnd w:id="91"/>
    <w:bookmarkEnd w:id="92"/>
    <w:bookmarkStart w:id="136" w:name="proposed-solution"/>
    <w:p>
      <w:pPr>
        <w:pStyle w:val="Heading1"/>
      </w:pPr>
      <w:r>
        <w:t xml:space="preserve">6 Proposed Solution</w:t>
      </w:r>
    </w:p>
    <w:bookmarkStart w:id="99" w:name="trust-centric-consent-model-for-ro1"/>
    <w:p>
      <w:pPr>
        <w:pStyle w:val="Heading2"/>
      </w:pPr>
      <w:r>
        <w:t xml:space="preserve">6.1 Trust-Centric Consent Model for RO1</w:t>
      </w:r>
    </w:p>
    <w:p>
      <w:pPr>
        <w:pStyle w:val="FirstParagraph"/>
      </w:pPr>
      <w:r>
        <w:t xml:space="preserve">RO1 addresses SRQ1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where</w:t>
      </w:r>
      <w:r>
        <w:t xml:space="preserve"> </w:t>
      </w:r>
      <w:r>
        <w:rPr>
          <w:i/>
          <w:iCs/>
        </w:rPr>
        <w:t xml:space="preserve">I</w:t>
      </w:r>
      <w:r>
        <w:t xml:space="preserve"> </w:t>
      </w:r>
      <w:r>
        <w:t xml:space="preserve">represents patient and participant identity information,</w:t>
      </w:r>
      <w:r>
        <w:t xml:space="preserve"> </w:t>
      </w:r>
      <w:r>
        <w:rPr>
          <w:i/>
          <w:iCs/>
        </w:rPr>
        <w:t xml:space="preserve">A</w:t>
      </w:r>
      <w:r>
        <w:t xml:space="preserve"> </w:t>
      </w:r>
      <w:r>
        <w:t xml:space="preserve">represents authorisation requirements,</w:t>
      </w:r>
      <w:r>
        <w:t xml:space="preserve"> </w:t>
      </w:r>
      <w:r>
        <w:rPr>
          <w:i/>
          <w:iCs/>
        </w:rPr>
        <w:t xml:space="preserve">P</w:t>
      </w:r>
      <w:r>
        <w:t xml:space="preserve"> </w:t>
      </w:r>
      <w:r>
        <w:t xml:space="preserve">represents policy constraints, and</w:t>
      </w:r>
      <w:r>
        <w:t xml:space="preserve"> </w:t>
      </w:r>
      <w:r>
        <w:rPr>
          <w:i/>
          <w:iCs/>
        </w:rPr>
        <w:t xml:space="preserve">E</w:t>
      </w:r>
      <w:r>
        <w:t xml:space="preserve"> </w:t>
      </w:r>
      <w:r>
        <w:t xml:space="preserve">represents authorisation evidence.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w:t>
      </w:r>
    </w:p>
    <w:p>
      <w:pPr>
        <w:pStyle w:val="BodyText"/>
      </w:pPr>
      <w:r>
        <w:t xml:space="preserve">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bookmarkStart w:id="96" w:name="ro1-consent-creation-workflow"/>
    <w:p>
      <w:pPr>
        <w:pStyle w:val="Heading3"/>
      </w:pPr>
      <w:r>
        <w:t xml:space="preserve">6.1.1 RO1 Consent Creation Workflow</w:t>
      </w:r>
    </w:p>
    <w:p>
      <w:pPr>
        <w:pStyle w:val="FirstParagraph"/>
      </w:pPr>
      <w:r>
        <w:t xml:space="preserve">The following workflow(Figure 6.1) describes the creation of a trust-aware consent object. The process begins with a patient request and ends with a structured consent record that can be verified by subsequent authorisation services.</w:t>
      </w:r>
    </w:p>
    <w:p>
      <w:pPr>
        <w:pStyle w:val="BodyText"/>
      </w:pPr>
      <w:r>
        <w:t xml:space="preserve">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This interface is shown in Figure 7.1 (Section 7.2). The implementation also collects the start and expiry time of the consent.</w:t>
      </w:r>
    </w:p>
    <w:p>
      <w:pPr>
        <w:pStyle w:val="CaptionedFigure"/>
      </w:pPr>
      <w:r>
        <w:drawing>
          <wp:inline>
            <wp:extent cx="3593592" cy="7675998"/>
            <wp:effectExtent b="0" l="0" r="0" t="0"/>
            <wp:docPr descr="Figure 6.1: RO1 workflow for trust-centric consent creation" title="" id="94" name="Picture"/>
            <a:graphic>
              <a:graphicData uri="http://schemas.openxmlformats.org/drawingml/2006/picture">
                <pic:pic>
                  <pic:nvPicPr>
                    <pic:cNvPr descr="media_col/fig07.png" id="95" name="Picture"/>
                    <pic:cNvPicPr>
                      <a:picLocks noChangeArrowheads="1" noChangeAspect="1"/>
                    </pic:cNvPicPr>
                  </pic:nvPicPr>
                  <pic:blipFill>
                    <a:blip r:embed="rId93"/>
                    <a:stretch>
                      <a:fillRect/>
                    </a:stretch>
                  </pic:blipFill>
                  <pic:spPr bwMode="auto">
                    <a:xfrm>
                      <a:off x="0" y="0"/>
                      <a:ext cx="3593592" cy="7675998"/>
                    </a:xfrm>
                    <a:prstGeom prst="rect">
                      <a:avLst/>
                    </a:prstGeom>
                    <a:noFill/>
                    <a:ln w="9525">
                      <a:noFill/>
                      <a:headEnd/>
                      <a:tailEnd/>
                    </a:ln>
                  </pic:spPr>
                </pic:pic>
              </a:graphicData>
            </a:graphic>
          </wp:inline>
        </w:drawing>
      </w:r>
    </w:p>
    <w:p>
      <w:pPr>
        <w:pStyle w:val="ImageCaption"/>
      </w:pPr>
      <w:r>
        <w:t xml:space="preserve">Figure 6.1: RO1 workflow for trust-centric consent creation</w:t>
      </w:r>
    </w:p>
    <w:p>
      <w:pPr>
        <w:pStyle w:val="BodyText"/>
      </w:pPr>
      <w: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bookmarkEnd w:id="96"/>
    <w:bookmarkStart w:id="97" w:name="Xc188a3981fd31bd266aea119eb4e582f5917a4c"/>
    <w:p>
      <w:pPr>
        <w:pStyle w:val="Heading3"/>
      </w:pPr>
      <w:r>
        <w:t xml:space="preserve">6.1.2 Procedure for Trust-Aware Consent Creation</w:t>
      </w:r>
    </w:p>
    <w:p>
      <w:pPr>
        <w:pStyle w:val="FirstParagraph"/>
      </w:pPr>
      <w: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Compact"/>
        <w:numPr>
          <w:ilvl w:val="0"/>
          <w:numId w:val="1005"/>
        </w:numPr>
      </w:pPr>
      <w:r>
        <w:rPr>
          <w:b/>
          <w:bCs/>
        </w:rPr>
        <w:t xml:space="preserve">Step 1 – Validate Patient Identity.</w:t>
      </w:r>
    </w:p>
    <w:p>
      <w:pPr>
        <w:pStyle w:val="FirstParagraph"/>
      </w:pPr>
      <w:r>
        <w:t xml:space="preserve">The system first validates the patient’s identity</w:t>
      </w:r>
      <w:r>
        <w:t xml:space="preserve"> </w:t>
      </w:r>
      <w:r>
        <w:rPr>
          <w:i/>
          <w:iCs/>
        </w:rPr>
        <w:t xml:space="preserve">I</w:t>
      </w:r>
      <w:r>
        <w:rPr>
          <w:vertAlign w:val="subscript"/>
        </w:rPr>
        <w:t xml:space="preserve">p</w:t>
      </w:r>
      <w:r>
        <w:t xml:space="preserve">. The identity is checked against the available identity and credential verification mechanisms to ensure that the consent request originates from a recognised patient entity. If</w:t>
      </w:r>
      <w:r>
        <w:t xml:space="preserve"> </w:t>
      </w:r>
      <w:r>
        <w:rPr>
          <w:i/>
          <w:iCs/>
        </w:rPr>
        <w:t xml:space="preserve">I</w:t>
      </w:r>
      <w:r>
        <w:rPr>
          <w:vertAlign w:val="subscript"/>
        </w:rPr>
        <w:t xml:space="preserve">p</w:t>
      </w:r>
      <w:r>
        <w:t xml:space="preserve"> </w:t>
      </w:r>
      <w:r>
        <w:t xml:space="preserve">cannot be successfully validated, the procedure terminates immediately and returns</w:t>
      </w:r>
      <w:r>
        <w:t xml:space="preserve"> </w:t>
      </w:r>
      <w:r>
        <w:rPr>
          <w:i/>
          <w:iCs/>
        </w:rPr>
        <w:t xml:space="preserve">REJECT</w:t>
      </w:r>
      <w:r>
        <w:t xml:space="preserve">.</w:t>
      </w:r>
    </w:p>
    <w:p>
      <w:pPr>
        <w:pStyle w:val="Compact"/>
        <w:numPr>
          <w:ilvl w:val="0"/>
          <w:numId w:val="1006"/>
        </w:numPr>
      </w:pPr>
      <w:r>
        <w:rPr>
          <w:b/>
          <w:bCs/>
        </w:rPr>
        <w:t xml:space="preserve">Step 2 – Validate the Authorised Doctor.</w:t>
      </w:r>
    </w:p>
    <w:p>
      <w:pPr>
        <w:pStyle w:val="FirstParagraph"/>
      </w:pPr>
      <w:r>
        <w:t xml:space="preserve">The system validates the identity and authorisation status of the designated doctor</w:t>
      </w:r>
      <w:r>
        <w:t xml:space="preserve"> </w:t>
      </w:r>
      <w:r>
        <w:rPr>
          <w:i/>
          <w:iCs/>
        </w:rPr>
        <w:t xml:space="preserve">D</w:t>
      </w:r>
      <w:r>
        <w:t xml:space="preserve">.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Compact"/>
        <w:numPr>
          <w:ilvl w:val="0"/>
          <w:numId w:val="1007"/>
        </w:numPr>
      </w:pPr>
      <w:r>
        <w:rPr>
          <w:b/>
          <w:bCs/>
        </w:rPr>
        <w:t xml:space="preserve">Step 3 – Validate Guardian or Proxy Participants.</w:t>
      </w:r>
    </w:p>
    <w:p>
      <w:pPr>
        <w:pStyle w:val="FirstParagraph"/>
      </w:pPr>
      <w:r>
        <w:t xml:space="preserve">If a guardian or proxy is specified, the system validates the guardian set</w:t>
      </w:r>
      <w:r>
        <w:t xml:space="preserve"> </w:t>
      </w:r>
      <w:r>
        <w:rPr>
          <w:i/>
          <w:iCs/>
        </w:rPr>
        <w:t xml:space="preserve">G</w:t>
      </w:r>
      <w:r>
        <w:t xml:space="preserve">.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Compact"/>
        <w:numPr>
          <w:ilvl w:val="0"/>
          <w:numId w:val="1008"/>
        </w:numPr>
      </w:pPr>
      <w:r>
        <w:rPr>
          <w:b/>
          <w:bCs/>
        </w:rPr>
        <w:t xml:space="preserve">Step 4 – Validate the Intended Purpose.</w:t>
      </w:r>
    </w:p>
    <w:p>
      <w:pPr>
        <w:pStyle w:val="FirstParagraph"/>
      </w:pPr>
      <w:r>
        <w:t xml:space="preserve">The intended data-use purpose</w:t>
      </w:r>
      <w:r>
        <w:t xml:space="preserve"> </w:t>
      </w:r>
      <w:r>
        <w:rPr>
          <w:i/>
          <w:iCs/>
        </w:rPr>
        <w:t xml:space="preserve">P</w:t>
      </w:r>
      <w:r>
        <w:rPr>
          <w:vertAlign w:val="subscript"/>
        </w:rPr>
        <w:t xml:space="preserve">u</w:t>
      </w:r>
      <w:r>
        <w:t xml:space="preserve"> </w:t>
      </w:r>
      <w:r>
        <w:t xml:space="preserve">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Compact"/>
        <w:numPr>
          <w:ilvl w:val="0"/>
          <w:numId w:val="1009"/>
        </w:numPr>
      </w:pPr>
      <w:r>
        <w:rPr>
          <w:b/>
          <w:bCs/>
        </w:rPr>
        <w:t xml:space="preserve">Step 5 – Validate the Data Scope.</w:t>
      </w:r>
    </w:p>
    <w:p>
      <w:pPr>
        <w:pStyle w:val="FirstParagraph"/>
      </w:pPr>
      <w:r>
        <w:t xml:space="preserve">The requested data scope</w:t>
      </w:r>
      <w:r>
        <w:t xml:space="preserve"> </w:t>
      </w:r>
      <w:r>
        <w:rPr>
          <w:i/>
          <w:iCs/>
        </w:rPr>
        <w:t xml:space="preserve">S</w:t>
      </w:r>
      <w:r>
        <w:rPr>
          <w:vertAlign w:val="subscript"/>
        </w:rPr>
        <w:t xml:space="preserve">C</w:t>
      </w:r>
      <w:r>
        <w:t xml:space="preserve"> </w:t>
      </w:r>
      <w:r>
        <w:t xml:space="preserve">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Compact"/>
        <w:numPr>
          <w:ilvl w:val="0"/>
          <w:numId w:val="1010"/>
        </w:numPr>
      </w:pPr>
      <w:r>
        <w:rPr>
          <w:b/>
          <w:bCs/>
        </w:rPr>
        <w:t xml:space="preserve">Step 6 – Validate the Consent Validity Interval.</w:t>
      </w:r>
    </w:p>
    <w:p>
      <w:pPr>
        <w:pStyle w:val="FirstParagraph"/>
      </w:pPr>
      <w:r>
        <w:t xml:space="preserve">The system validates the temporal validity interval</w:t>
      </w:r>
      <w:r>
        <w:t xml:space="preserve"> </w:t>
      </w:r>
      <w:r>
        <w:rPr>
          <w:i/>
          <w:iCs/>
        </w:rPr>
        <w:t xml:space="preserve">T</w:t>
      </w:r>
      <w:r>
        <w:t xml:space="preserve"> </w:t>
      </w:r>
      <w:r>
        <w:t xml:space="preserve">= (</w:t>
      </w:r>
      <w:r>
        <w:rPr>
          <w:i/>
          <w:iCs/>
        </w:rPr>
        <w:t xml:space="preserve">t</w:t>
      </w:r>
      <w:r>
        <w:rPr>
          <w:vertAlign w:val="subscript"/>
        </w:rPr>
        <w:t xml:space="preserve">s</w:t>
      </w:r>
      <w:r>
        <w:rPr>
          <w:i/>
          <w:iCs/>
        </w:rPr>
        <w:t xml:space="preserve">, t</w:t>
      </w:r>
      <w:r>
        <w:rPr>
          <w:vertAlign w:val="subscript"/>
        </w:rPr>
        <w:t xml:space="preserve">e</w:t>
      </w:r>
      <w:r>
        <w:t xml:space="preserve">), where</w:t>
      </w:r>
      <w:r>
        <w:t xml:space="preserve"> </w:t>
      </w:r>
      <w:r>
        <w:rPr>
          <w:i/>
          <w:iCs/>
        </w:rPr>
        <w:t xml:space="preserve">t</w:t>
      </w:r>
      <w:r>
        <w:rPr>
          <w:vertAlign w:val="subscript"/>
        </w:rPr>
        <w:t xml:space="preserve">s</w:t>
      </w:r>
      <w:r>
        <w:t xml:space="preserve"> </w:t>
      </w:r>
      <w:r>
        <w:t xml:space="preserve">represents the consent start time and</w:t>
      </w:r>
      <w:r>
        <w:t xml:space="preserve"> </w:t>
      </w:r>
      <w:r>
        <w:rPr>
          <w:i/>
          <w:iCs/>
        </w:rPr>
        <w:t xml:space="preserve">t</w:t>
      </w:r>
      <w:r>
        <w:rPr>
          <w:vertAlign w:val="subscript"/>
        </w:rPr>
        <w:t xml:space="preserve">e</w:t>
      </w:r>
      <w:r>
        <w:t xml:space="preserve"> </w:t>
      </w:r>
      <w:r>
        <w:t xml:space="preserve">represents the expiration time. The system verifies that the interval is logically valid by requiring</w:t>
      </w:r>
      <w:r>
        <w:t xml:space="preserve"> </w:t>
      </w:r>
      <w:r>
        <w:rPr>
          <w:i/>
          <w:iCs/>
        </w:rPr>
        <w:t xml:space="preserve">t</w:t>
      </w:r>
      <w:r>
        <w:rPr>
          <w:vertAlign w:val="subscript"/>
        </w:rPr>
        <w:t xml:space="preserve">e</w:t>
      </w:r>
      <w:r>
        <w:t xml:space="preserve"> </w:t>
      </w:r>
      <w:r>
        <w:rPr>
          <w:i/>
          <w:iCs/>
        </w:rPr>
        <w:t xml:space="preserve">&gt; t</w:t>
      </w:r>
      <w:r>
        <w:rPr>
          <w:vertAlign w:val="subscript"/>
        </w:rPr>
        <w:t xml:space="preserve">s</w:t>
      </w:r>
      <w:r>
        <w:t xml:space="preserve">. If this condition is not satisfied, the consent request is rejected.</w:t>
      </w:r>
    </w:p>
    <w:p>
      <w:pPr>
        <w:pStyle w:val="Compact"/>
        <w:numPr>
          <w:ilvl w:val="0"/>
          <w:numId w:val="1011"/>
        </w:numPr>
      </w:pPr>
      <w:r>
        <w:rPr>
          <w:b/>
          <w:bCs/>
        </w:rPr>
        <w:t xml:space="preserve">Step 7 – Define the Authorisation Requirement.</w:t>
      </w:r>
    </w:p>
    <w:p>
      <w:pPr>
        <w:pStyle w:val="FirstParagraph"/>
      </w:pPr>
      <w:r>
        <w:t xml:space="preserve">After all input elements have been validated, the system defines the authorisation requirement</w:t>
      </w:r>
      <w:r>
        <w:t xml:space="preserve"> </w:t>
      </w:r>
      <w:r>
        <w:rPr>
          <w:i/>
          <w:iCs/>
        </w:rPr>
        <w:t xml:space="preserve">A</w:t>
      </w:r>
      <w:r>
        <w:t xml:space="preserve">. This requirement specifies the conditions that must subsequently be satisfied before access can be granted. Depending on the system configuration,</w:t>
      </w:r>
      <w:r>
        <w:t xml:space="preserve"> </w:t>
      </w:r>
      <w:r>
        <w:rPr>
          <w:i/>
          <w:iCs/>
        </w:rPr>
        <w:t xml:space="preserve">A</w:t>
      </w:r>
      <w:r>
        <w:t xml:space="preserve"> </w:t>
      </w:r>
      <w:r>
        <w:t xml:space="preserve">may incorporate patient approval, guardian approval, doctor authority, role requirements, multi-party approval, scope restrictions, purpose restrictions, and temporal constraints.</w:t>
      </w:r>
    </w:p>
    <w:p>
      <w:pPr>
        <w:pStyle w:val="Compact"/>
        <w:numPr>
          <w:ilvl w:val="0"/>
          <w:numId w:val="1012"/>
        </w:numPr>
      </w:pPr>
      <w:r>
        <w:rPr>
          <w:b/>
          <w:bCs/>
        </w:rPr>
        <w:t xml:space="preserve">Step 8 – Generate a Unique Consent Identifier.</w:t>
      </w:r>
    </w:p>
    <w:p>
      <w:pPr>
        <w:pStyle w:val="FirstParagraph"/>
      </w:pPr>
      <w:r>
        <w:t xml:space="preserve">The system generates a unique consent identifier</w:t>
      </w:r>
      <w:r>
        <w:t xml:space="preserve"> </w:t>
      </w:r>
      <w:r>
        <w:rPr>
          <w:i/>
          <w:iCs/>
        </w:rPr>
        <w:t xml:space="preserve">id</w:t>
      </w:r>
      <w:r>
        <w:rPr>
          <w:vertAlign w:val="subscript"/>
        </w:rPr>
        <w:t xml:space="preserve">C</w:t>
      </w:r>
      <w:r>
        <w:t xml:space="preserve">. This identifier provides a persistent reference to the consent object and enables subsequent operations, including consent verification, access authorisation, modification, revocation, and audit.</w:t>
      </w:r>
    </w:p>
    <w:p>
      <w:pPr>
        <w:pStyle w:val="Compact"/>
        <w:numPr>
          <w:ilvl w:val="0"/>
          <w:numId w:val="1013"/>
        </w:numPr>
      </w:pPr>
      <w:r>
        <w:rPr>
          <w:b/>
          <w:bCs/>
        </w:rPr>
        <w:t xml:space="preserve">Step 9 – Construct the Consent Object.</w:t>
      </w:r>
    </w:p>
    <w:p>
      <w:pPr>
        <w:pStyle w:val="FirstParagraph"/>
      </w:pPr>
      <w:r>
        <w:t xml:space="preserve">The validated information is combined to construct the consent object</w:t>
      </w:r>
    </w:p>
    <w:p>
      <w:pPr>
        <w:pStyle w:val="BodyText"/>
      </w:pPr>
      <m:oMathPara>
        <m:oMathParaPr>
          <m:jc m:val="center"/>
        </m:oMathParaPr>
        <m:oMath>
          <m:r>
            <m:t>C</m:t>
          </m:r>
          <m:r>
            <m:rPr>
              <m:sty m:val="p"/>
            </m:rPr>
            <m:t>=</m:t>
          </m:r>
          <m:r>
            <m:rPr>
              <m:sty m:val="p"/>
            </m:rPr>
            <m:t>(</m:t>
          </m:r>
          <m:r>
            <m:t>I</m:t>
          </m:r>
          <m:r>
            <m:rPr>
              <m:sty m:val="p"/>
            </m:rPr>
            <m:t>,</m:t>
          </m:r>
          <m:r>
            <m:t>A</m:t>
          </m:r>
          <m:r>
            <m:rPr>
              <m:sty m:val="p"/>
            </m:rPr>
            <m:t>,</m:t>
          </m:r>
          <m:r>
            <m:t>P</m:t>
          </m:r>
          <m:r>
            <m:rPr>
              <m:sty m:val="p"/>
            </m:rPr>
            <m:t>,</m:t>
          </m:r>
          <m:r>
            <m:t>E</m:t>
          </m:r>
          <m:r>
            <m:rPr>
              <m:sty m:val="p"/>
            </m:rPr>
            <m:t>)</m:t>
          </m:r>
          <m:r>
            <m:rPr>
              <m:sty m:val="p"/>
            </m:rPr>
            <m:t>,</m:t>
          </m:r>
        </m:oMath>
      </m:oMathPara>
    </w:p>
    <w:p>
      <w:pPr>
        <w:pStyle w:val="FirstParagraph"/>
      </w:pPr>
      <w:r>
        <w:t xml:space="preserve">where</w:t>
      </w:r>
      <w:r>
        <w:t xml:space="preserve"> </w:t>
      </w:r>
      <w:r>
        <w:rPr>
          <w:i/>
          <w:iCs/>
        </w:rPr>
        <w:t xml:space="preserve">I</w:t>
      </w:r>
      <w:r>
        <w:t xml:space="preserve"> </w:t>
      </w:r>
      <w:r>
        <w:t xml:space="preserve">represents the verified identity information,</w:t>
      </w:r>
      <w:r>
        <w:t xml:space="preserve"> </w:t>
      </w:r>
      <w:r>
        <w:rPr>
          <w:i/>
          <w:iCs/>
        </w:rPr>
        <w:t xml:space="preserve">A</w:t>
      </w:r>
      <w:r>
        <w:t xml:space="preserve"> </w:t>
      </w:r>
      <w:r>
        <w:t xml:space="preserve">represents the authorisation requirements,</w:t>
      </w:r>
      <w:r>
        <w:t xml:space="preserve"> </w:t>
      </w:r>
      <w:r>
        <w:rPr>
          <w:i/>
          <w:iCs/>
        </w:rPr>
        <w:t xml:space="preserve">P</w:t>
      </w:r>
      <w:r>
        <w:t xml:space="preserve"> </w:t>
      </w:r>
      <w:r>
        <w:t xml:space="preserve">represents the consent purpose and associated permissions, and</w:t>
      </w:r>
      <w:r>
        <w:t xml:space="preserve"> </w:t>
      </w:r>
      <w:r>
        <w:rPr>
          <w:i/>
          <w:iCs/>
        </w:rPr>
        <w:t xml:space="preserve">E</w:t>
      </w:r>
      <w:r>
        <w:t xml:space="preserve"> </w:t>
      </w:r>
      <w:r>
        <w:t xml:space="preserve">represents the evidence associated with the consent decision. The resulting object therefore captures not only the patient’s preference but also the evidence required to support subsequent authorisation decisions.</w:t>
      </w:r>
    </w:p>
    <w:p>
      <w:pPr>
        <w:pStyle w:val="Compact"/>
        <w:numPr>
          <w:ilvl w:val="0"/>
          <w:numId w:val="1014"/>
        </w:numPr>
      </w:pPr>
      <w:r>
        <w:rPr>
          <w:b/>
          <w:bCs/>
        </w:rPr>
        <w:t xml:space="preserve">Step 10 – Persist the Consent Object.</w:t>
      </w:r>
    </w:p>
    <w:p>
      <w:pPr>
        <w:pStyle w:val="FirstParagraph"/>
      </w:pPr>
      <w:r>
        <w:t xml:space="preserve">The constructed consent object</w:t>
      </w:r>
      <w:r>
        <w:t xml:space="preserve"> </w:t>
      </w:r>
      <w:r>
        <w:rPr>
          <w:i/>
          <w:iCs/>
        </w:rPr>
        <w:t xml:space="preserve">C</w:t>
      </w:r>
      <w:r>
        <w:t xml:space="preserve"> </w:t>
      </w:r>
      <w:r>
        <w:t xml:space="preserve">is persisted in the consent-management infrastructure. The persistence mechanism provides a stable representation of the consent state that can subsequently be referenced by the access-control and authorisation components.</w:t>
      </w:r>
    </w:p>
    <w:p>
      <w:pPr>
        <w:pStyle w:val="Compact"/>
        <w:numPr>
          <w:ilvl w:val="0"/>
          <w:numId w:val="1015"/>
        </w:numPr>
      </w:pPr>
      <w:r>
        <w:rPr>
          <w:b/>
          <w:bCs/>
        </w:rPr>
        <w:t xml:space="preserve">Step 11 – Record Consent Creation Evidence.</w:t>
      </w:r>
    </w:p>
    <w:p>
      <w:pPr>
        <w:pStyle w:val="FirstParagraph"/>
      </w:pPr>
      <w:r>
        <w:t xml:space="preserve">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Compact"/>
        <w:numPr>
          <w:ilvl w:val="0"/>
          <w:numId w:val="1016"/>
        </w:numPr>
      </w:pPr>
      <w:r>
        <w:rPr>
          <w:b/>
          <w:bCs/>
        </w:rPr>
        <w:t xml:space="preserve">Step 12 – Return the Consent Result.</w:t>
      </w:r>
    </w:p>
    <w:p>
      <w:pPr>
        <w:pStyle w:val="FirstParagraph"/>
      </w:pPr>
      <w:r>
        <w:t xml:space="preserve">If all validation and construction operations are completed successfully, the system returns the newly created consent object</w:t>
      </w:r>
      <w:r>
        <w:t xml:space="preserve"> </w:t>
      </w:r>
      <w:r>
        <w:rPr>
          <w:i/>
          <w:iCs/>
        </w:rPr>
        <w:t xml:space="preserve">C</w:t>
      </w:r>
      <w:r>
        <w:t xml:space="preserve">. If any mandatory validation fails during the process, the system terminates the procedure and returns</w:t>
      </w:r>
      <w:r>
        <w:t xml:space="preserve"> </w:t>
      </w:r>
      <w:r>
        <w:rPr>
          <w:i/>
          <w:iCs/>
        </w:rPr>
        <w:t xml:space="preserve">REJECT</w:t>
      </w:r>
      <w:r>
        <w:t xml:space="preserve">.</w:t>
      </w:r>
    </w:p>
    <w:p>
      <w:pPr>
        <w:pStyle w:val="BodyText"/>
      </w:pPr>
      <w:r>
        <w:t xml:space="preserve">The overall procedure can therefore be represented as a sequential trust establishment process:</w:t>
      </w:r>
      <w:r>
        <w:t xml:space="preserve"> </w:t>
      </w:r>
      <w:r>
        <w:rPr>
          <w:i/>
          <w:iCs/>
        </w:rPr>
        <w:t xml:space="preserve">I</w:t>
      </w:r>
      <w:r>
        <w:rPr>
          <w:vertAlign w:val="subscript"/>
        </w:rPr>
        <w:t xml:space="preserve">p</w:t>
      </w:r>
      <w:r>
        <w:t xml:space="preserve"> </w:t>
      </w:r>
      <w:r>
        <w:t xml:space="preserve">→</w:t>
      </w:r>
      <w:r>
        <w:t xml:space="preserve"> </w:t>
      </w:r>
      <w:r>
        <w:rPr>
          <w:i/>
          <w:iCs/>
        </w:rPr>
        <w:t xml:space="preserve">D</w:t>
      </w:r>
      <w:r>
        <w:t xml:space="preserve"> </w:t>
      </w:r>
      <w:r>
        <w:t xml:space="preserve">→</w:t>
      </w:r>
      <w:r>
        <w:t xml:space="preserve"> </w:t>
      </w:r>
      <w:r>
        <w:rPr>
          <w:i/>
          <w:iCs/>
        </w:rPr>
        <w:t xml:space="preserve">G</w:t>
      </w:r>
      <w:r>
        <w:t xml:space="preserve"> </w:t>
      </w:r>
      <w:r>
        <w:t xml:space="preserve">→</w:t>
      </w:r>
      <w:r>
        <w:t xml:space="preserve"> </w:t>
      </w:r>
      <w:r>
        <w:rPr>
          <w:i/>
          <w:iCs/>
        </w:rPr>
        <w:t xml:space="preserve">P</w:t>
      </w:r>
      <w:r>
        <w:rPr>
          <w:vertAlign w:val="subscript"/>
        </w:rPr>
        <w:t xml:space="preserve">u</w:t>
      </w:r>
      <w:r>
        <w:t xml:space="preserve"> </w:t>
      </w:r>
      <w:r>
        <w:t xml:space="preserve">→</w:t>
      </w:r>
      <w:r>
        <w:t xml:space="preserve"> </w:t>
      </w:r>
      <w:r>
        <w:rPr>
          <w:i/>
          <w:iCs/>
        </w:rPr>
        <w:t xml:space="preserve">S</w:t>
      </w:r>
      <w:r>
        <w:rPr>
          <w:vertAlign w:val="subscript"/>
        </w:rPr>
        <w:t xml:space="preserve">C</w:t>
      </w:r>
      <w:r>
        <w:t xml:space="preserve"> </w:t>
      </w:r>
      <w:r>
        <w:t xml:space="preserve">→</w:t>
      </w:r>
      <w:r>
        <w:t xml:space="preserve"> </w:t>
      </w:r>
      <w:r>
        <w:rPr>
          <w:i/>
          <w:iCs/>
        </w:rPr>
        <w:t xml:space="preserve">T</w:t>
      </w:r>
      <w:r>
        <w:t xml:space="preserve"> </w:t>
      </w:r>
      <w:r>
        <w:t xml:space="preserve">→</w:t>
      </w:r>
      <w:r>
        <w:t xml:space="preserve"> </w:t>
      </w:r>
      <w:r>
        <w:rPr>
          <w:i/>
          <w:iCs/>
        </w:rPr>
        <w:t xml:space="preserve">A</w:t>
      </w:r>
      <w:r>
        <w:t xml:space="preserve"> </w:t>
      </w:r>
      <w:r>
        <w:t xml:space="preserve">→</w:t>
      </w:r>
      <w:r>
        <w:t xml:space="preserve"> </w:t>
      </w:r>
      <w:r>
        <w:rPr>
          <w:i/>
          <w:iCs/>
        </w:rPr>
        <w:t xml:space="preserve">id</w:t>
      </w:r>
      <w:r>
        <w:rPr>
          <w:vertAlign w:val="subscript"/>
        </w:rPr>
        <w:t xml:space="preserve">C</w:t>
      </w:r>
      <w:r>
        <w:t xml:space="preserve"> </w:t>
      </w:r>
      <w:r>
        <w:t xml:space="preserve">→</w:t>
      </w:r>
      <w:r>
        <w:t xml:space="preserve"> </w:t>
      </w:r>
      <w:r>
        <w:rPr>
          <w:i/>
          <w:iCs/>
        </w:rPr>
        <w:t xml:space="preserve">C</w:t>
      </w:r>
      <w:r>
        <w:t xml:space="preserve"> </w:t>
      </w:r>
      <w:r>
        <w:t xml:space="preserve">→</w:t>
      </w:r>
      <w:r>
        <w:t xml:space="preserve"> </w:t>
      </w:r>
      <w:r>
        <w:rPr>
          <w:i/>
          <w:iCs/>
        </w:rPr>
        <w:t xml:space="preserve">E.</w:t>
      </w:r>
      <w:r>
        <w:t xml:space="preserve"> </w:t>
      </w:r>
      <w:r>
        <w:t xml:space="preserve">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pPr>
        <w:pStyle w:val="BodyText"/>
      </w:pPr>
      <w:r>
        <w:t xml:space="preserve">In the HALAH prototype (Section 7.2), Steps 1–3 currently perform a syntactic DID check, and credential-based authority validation is scheduled for Stage 2. Step 6 is implemented: the patient interface rejects an expiry time that is not later than the start time.</w:t>
      </w:r>
    </w:p>
    <w:p>
      <w:pPr>
        <w:pStyle w:val="Algorithm"/>
      </w:pPr>
      <w:r>
        <w:rPr>
          <w:b/>
          <w:bCs/>
        </w:rPr>
        <w:t xml:space="preserve">Algorithm 1</w:t>
      </w:r>
      <w:r>
        <w:t xml:space="preserve"> </w:t>
      </w:r>
      <w:r>
        <w:t xml:space="preserve">Trust-Aware Consent Creation</w:t>
      </w:r>
      <w:r>
        <w:br/>
      </w:r>
      <w:r>
        <w:rPr>
          <w:b/>
          <w:bCs/>
        </w:rPr>
        <w:t xml:space="preserve">Require:</w:t>
      </w:r>
      <w:r>
        <w:t xml:space="preserve"> </w:t>
      </w:r>
      <w:r>
        <w:t xml:space="preserve">Patient identity</w:t>
      </w:r>
      <w:r>
        <w:t xml:space="preserve"> </w:t>
      </w:r>
      <m:oMath>
        <m:sSub>
          <m:e>
            <m:r>
              <m:t>I</m:t>
            </m:r>
          </m:e>
          <m:sub>
            <m:r>
              <m:t>p</m:t>
            </m:r>
          </m:sub>
        </m:sSub>
      </m:oMath>
      <w:r>
        <w:t xml:space="preserve">, authorised doctor</w:t>
      </w:r>
      <w:r>
        <w:t xml:space="preserve"> </w:t>
      </w:r>
      <m:oMath>
        <m:r>
          <m:t>D</m:t>
        </m:r>
      </m:oMath>
      <w:r>
        <w:t xml:space="preserve">, guardian set</w:t>
      </w:r>
      <w:r>
        <w:t xml:space="preserve"> </w:t>
      </w:r>
      <m:oMath>
        <m:r>
          <m:t>G</m:t>
        </m:r>
      </m:oMath>
      <w:r>
        <w:t xml:space="preserve">, purpose</w:t>
      </w:r>
      <w:r>
        <w:t xml:space="preserve"> </w:t>
      </w:r>
      <m:oMath>
        <m:sSub>
          <m:e>
            <m:r>
              <m:t>P</m:t>
            </m:r>
          </m:e>
          <m:sub>
            <m:r>
              <m:t>u</m:t>
            </m:r>
          </m:sub>
        </m:sSub>
      </m:oMath>
      <w:r>
        <w:t xml:space="preserve">, data scope</w:t>
      </w:r>
      <w:r>
        <w:t xml:space="preserve"> </w:t>
      </w:r>
      <m:oMath>
        <m:sSub>
          <m:e>
            <m:r>
              <m:t>S</m:t>
            </m:r>
          </m:e>
          <m:sub>
            <m:r>
              <m:t>C</m:t>
            </m:r>
          </m:sub>
        </m:sSub>
      </m:oMath>
      <w:r>
        <w:t xml:space="preserve">, validity interval</w:t>
      </w:r>
      <w:r>
        <w:t xml:space="preserve"> </w:t>
      </w:r>
      <m:oMath>
        <m:r>
          <m:t>T</m:t>
        </m:r>
      </m:oMath>
      <w:r>
        <w:br/>
      </w:r>
      <w:r>
        <w:rPr>
          <w:b/>
          <w:bCs/>
        </w:rPr>
        <w:t xml:space="preserve">Ensure:</w:t>
      </w:r>
      <w:r>
        <w:t xml:space="preserve"> </w:t>
      </w:r>
      <w:r>
        <w:t xml:space="preserve">Consent object</w:t>
      </w:r>
      <w:r>
        <w:t xml:space="preserve"> </w:t>
      </w:r>
      <m:oMath>
        <m:r>
          <m:t>C</m:t>
        </m:r>
      </m:oMath>
      <w:r>
        <w:t xml:space="preserve"> </w:t>
      </w:r>
      <w:r>
        <w:t xml:space="preserve">or rejection</w:t>
      </w:r>
      <w:r>
        <w:br/>
      </w:r>
      <w:r>
        <w:t xml:space="preserve">1: Validate</w:t>
      </w:r>
      <w:r>
        <w:t xml:space="preserve"> </w:t>
      </w:r>
      <m:oMath>
        <m:sSub>
          <m:e>
            <m:r>
              <m:t>I</m:t>
            </m:r>
          </m:e>
          <m:sub>
            <m:r>
              <m:t>p</m:t>
            </m:r>
          </m:sub>
        </m:sSub>
      </m:oMath>
      <w:r>
        <w:br/>
      </w:r>
      <w:r>
        <w:t xml:space="preserve">2:</w:t>
      </w:r>
      <w:r>
        <w:t xml:space="preserve"> </w:t>
      </w:r>
      <w:r>
        <w:rPr>
          <w:b/>
          <w:bCs/>
        </w:rPr>
        <w:t xml:space="preserve">if</w:t>
      </w:r>
      <w:r>
        <w:t xml:space="preserve"> </w:t>
      </w:r>
      <m:oMath>
        <m:sSub>
          <m:e>
            <m:r>
              <m:t>I</m:t>
            </m:r>
          </m:e>
          <m:sub>
            <m:r>
              <m:t>p</m:t>
            </m:r>
          </m:sub>
        </m:sSub>
      </m:oMath>
      <w:r>
        <w:t xml:space="preserve"> </w:t>
      </w:r>
      <w:r>
        <w:t xml:space="preserve">is invalid</w:t>
      </w:r>
      <w:r>
        <w:t xml:space="preserve"> </w:t>
      </w:r>
      <w:r>
        <w:rPr>
          <w:b/>
          <w:bCs/>
        </w:rPr>
        <w:t xml:space="preserve">then</w:t>
      </w:r>
      <w:r>
        <w:br/>
      </w:r>
      <w:r>
        <w:t xml:space="preserve">    3:</w:t>
      </w:r>
      <w:r>
        <w:t xml:space="preserve"> </w:t>
      </w:r>
      <w:r>
        <w:rPr>
          <w:b/>
          <w:bCs/>
        </w:rPr>
        <w:t xml:space="preserve">return</w:t>
      </w:r>
      <w:r>
        <w:t xml:space="preserve"> </w:t>
      </w:r>
      <w:r>
        <w:t xml:space="preserve">REJECT</w:t>
      </w:r>
      <w:r>
        <w:br/>
      </w:r>
      <w:r>
        <w:t xml:space="preserve">4:</w:t>
      </w:r>
      <w:r>
        <w:t xml:space="preserve"> </w:t>
      </w:r>
      <w:r>
        <w:rPr>
          <w:b/>
          <w:bCs/>
        </w:rPr>
        <w:t xml:space="preserve">end if</w:t>
      </w:r>
      <w:r>
        <w:br/>
      </w:r>
      <w:r>
        <w:t xml:space="preserve">5: Validate authorised doctor</w:t>
      </w:r>
      <w:r>
        <w:t xml:space="preserve"> </w:t>
      </w:r>
      <m:oMath>
        <m:r>
          <m:t>D</m:t>
        </m:r>
      </m:oMath>
      <w:r>
        <w:br/>
      </w:r>
      <w:r>
        <w:t xml:space="preserve">6: Validate guardian set</w:t>
      </w:r>
      <w:r>
        <w:t xml:space="preserve"> </w:t>
      </w:r>
      <m:oMath>
        <m:r>
          <m:t>G</m:t>
        </m:r>
      </m:oMath>
      <w:r>
        <w:br/>
      </w:r>
      <w:r>
        <w:t xml:space="preserve">7: Validate purpose</w:t>
      </w:r>
      <w:r>
        <w:t xml:space="preserve"> </w:t>
      </w:r>
      <m:oMath>
        <m:sSub>
          <m:e>
            <m:r>
              <m:t>P</m:t>
            </m:r>
          </m:e>
          <m:sub>
            <m:r>
              <m:t>u</m:t>
            </m:r>
          </m:sub>
        </m:sSub>
      </m:oMath>
      <w:r>
        <w:br/>
      </w:r>
      <w:r>
        <w:t xml:space="preserve">8: Validate data scope</w:t>
      </w:r>
      <w:r>
        <w:t xml:space="preserve"> </w:t>
      </w:r>
      <m:oMath>
        <m:sSub>
          <m:e>
            <m:r>
              <m:t>S</m:t>
            </m:r>
          </m:e>
          <m:sub>
            <m:r>
              <m:t>C</m:t>
            </m:r>
          </m:sub>
        </m:sSub>
      </m:oMath>
      <w:r>
        <w:br/>
      </w:r>
      <w:r>
        <w:t xml:space="preserve">9: Validate validity interval</w:t>
      </w:r>
      <w:r>
        <w:t xml:space="preserve"> </w:t>
      </w:r>
      <m:oMath>
        <m:r>
          <m:t>T</m:t>
        </m:r>
        <m:r>
          <m:rPr>
            <m:sty m:val="p"/>
          </m:rPr>
          <m:t>=</m:t>
        </m:r>
        <m:r>
          <m:rPr>
            <m:sty m:val="p"/>
          </m:rPr>
          <m:t>(</m:t>
        </m:r>
        <m:sSub>
          <m:e>
            <m:r>
              <m:t>t</m:t>
            </m:r>
          </m:e>
          <m:sub>
            <m:r>
              <m:t>s</m:t>
            </m:r>
          </m:sub>
        </m:sSub>
        <m:r>
          <m:rPr>
            <m:sty m:val="p"/>
          </m:rPr>
          <m:t>,</m:t>
        </m:r>
        <m:sSub>
          <m:e>
            <m:r>
              <m:t>t</m:t>
            </m:r>
          </m:e>
          <m:sub>
            <m:r>
              <m:t>e</m:t>
            </m:r>
          </m:sub>
        </m:sSub>
        <m:r>
          <m:rPr>
            <m:sty m:val="p"/>
          </m:rPr>
          <m:t>)</m:t>
        </m:r>
      </m:oMath>
      <w:r>
        <w:br/>
      </w:r>
      <w:r>
        <w:t xml:space="preserve">10:</w:t>
      </w:r>
      <w:r>
        <w:t xml:space="preserve"> </w:t>
      </w:r>
      <w:r>
        <w:rPr>
          <w:b/>
          <w:bCs/>
        </w:rPr>
        <w:t xml:space="preserve">if</w:t>
      </w:r>
      <w:r>
        <w:t xml:space="preserve"> </w:t>
      </w:r>
      <m:oMath>
        <m:sSub>
          <m:e>
            <m:r>
              <m:t>t</m:t>
            </m:r>
          </m:e>
          <m:sub>
            <m:r>
              <m:t>e</m:t>
            </m:r>
          </m:sub>
        </m:sSub>
        <m:r>
          <m:rPr>
            <m:sty m:val="p"/>
          </m:rPr>
          <m:t>≤</m:t>
        </m:r>
        <m:sSub>
          <m:e>
            <m:r>
              <m:t>t</m:t>
            </m:r>
          </m:e>
          <m:sub>
            <m:r>
              <m:t>s</m:t>
            </m:r>
          </m:sub>
        </m:sSub>
      </m:oMath>
      <w:r>
        <w:t xml:space="preserve"> </w:t>
      </w:r>
      <w:r>
        <w:rPr>
          <w:b/>
          <w:bCs/>
        </w:rPr>
        <w:t xml:space="preserve">then</w:t>
      </w:r>
      <w:r>
        <w:br/>
      </w:r>
      <w:r>
        <w:t xml:space="preserve">    11:</w:t>
      </w:r>
      <w:r>
        <w:t xml:space="preserve"> </w:t>
      </w:r>
      <w:r>
        <w:rPr>
          <w:b/>
          <w:bCs/>
        </w:rPr>
        <w:t xml:space="preserve">return</w:t>
      </w:r>
      <w:r>
        <w:t xml:space="preserve"> </w:t>
      </w:r>
      <w:r>
        <w:t xml:space="preserve">REJECT</w:t>
      </w:r>
      <w:r>
        <w:br/>
      </w:r>
      <w:r>
        <w:t xml:space="preserve">12:</w:t>
      </w:r>
      <w:r>
        <w:t xml:space="preserve"> </w:t>
      </w:r>
      <w:r>
        <w:rPr>
          <w:b/>
          <w:bCs/>
        </w:rPr>
        <w:t xml:space="preserve">end if</w:t>
      </w:r>
      <w:r>
        <w:br/>
      </w:r>
      <w:r>
        <w:t xml:space="preserve">13: Define authorisation requirement</w:t>
      </w:r>
      <w:r>
        <w:t xml:space="preserve"> </w:t>
      </w:r>
      <m:oMath>
        <m:r>
          <m:t>A</m:t>
        </m:r>
      </m:oMath>
      <w:r>
        <w:br/>
      </w:r>
      <w:r>
        <w:t xml:space="preserve">14: Generate consent identifier</w:t>
      </w:r>
      <w:r>
        <w:t xml:space="preserve"> </w:t>
      </w:r>
      <m:oMath>
        <m:r>
          <m:t>i</m:t>
        </m:r>
        <m:sSub>
          <m:e>
            <m:r>
              <m:t>d</m:t>
            </m:r>
          </m:e>
          <m:sub>
            <m:r>
              <m:t>C</m:t>
            </m:r>
          </m:sub>
        </m:sSub>
      </m:oMath>
      <w:r>
        <w:br/>
      </w:r>
      <w:r>
        <w:t xml:space="preserve">15: Construct</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br/>
      </w:r>
      <w:r>
        <w:t xml:space="preserve">16: Persist</w:t>
      </w:r>
      <w:r>
        <w:t xml:space="preserve"> </w:t>
      </w:r>
      <m:oMath>
        <m:r>
          <m:t>C</m:t>
        </m:r>
      </m:oMath>
      <w:r>
        <w:br/>
      </w:r>
      <w:r>
        <w:t xml:space="preserve">17: Record consent creation evidence</w:t>
      </w:r>
      <w:r>
        <w:br/>
      </w:r>
      <w:r>
        <w:t xml:space="preserve">18:</w:t>
      </w:r>
      <w:r>
        <w:t xml:space="preserve"> </w:t>
      </w:r>
      <w:r>
        <w:rPr>
          <w:b/>
          <w:bCs/>
        </w:rPr>
        <w:t xml:space="preserve">return</w:t>
      </w:r>
      <w:r>
        <w:t xml:space="preserve"> </w:t>
      </w:r>
      <m:oMath>
        <m:r>
          <m:t>C</m:t>
        </m:r>
      </m:oMath>
    </w:p>
    <w:bookmarkEnd w:id="97"/>
    <w:bookmarkStart w:id="98" w:name="algorithm-1-trust-aware-consent-creation"/>
    <w:p>
      <w:pPr>
        <w:pStyle w:val="Heading3"/>
      </w:pPr>
      <w:r>
        <w:t xml:space="preserve">6.1.3 Algorithm 1: Trust-Aware Consent Creation</w:t>
      </w:r>
    </w:p>
    <w:p>
      <w:pPr>
        <w:pStyle w:val="FirstParagraph"/>
      </w:pPr>
      <w: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w:t>
      </w:r>
    </w:p>
    <w:p>
      <w:pPr>
        <w:pStyle w:val="BodyText"/>
      </w:pPr>
      <w:r>
        <w:t xml:space="preserve">The algorithm also establishes the relationship between RO1 and the remaining objectives. RO2 uses the identity and authority information contained in</w:t>
      </w:r>
      <w:r>
        <w:t xml:space="preserve"> </w:t>
      </w:r>
      <w:r>
        <w:rPr>
          <w:i/>
          <w:iCs/>
        </w:rPr>
        <w:t xml:space="preserve">I</w:t>
      </w:r>
      <w:r>
        <w:t xml:space="preserve">, RO3 evaluates the authorisation requirements contained in</w:t>
      </w:r>
      <w:r>
        <w:t xml:space="preserve"> </w:t>
      </w:r>
      <w:r>
        <w:rPr>
          <w:i/>
          <w:iCs/>
        </w:rPr>
        <w:t xml:space="preserve">A</w:t>
      </w:r>
      <w:r>
        <w:t xml:space="preserve">, and RO4 evaluates the policy constraints contained in</w:t>
      </w:r>
      <w:r>
        <w:t xml:space="preserve"> </w:t>
      </w:r>
      <w:r>
        <w:rPr>
          <w:i/>
          <w:iCs/>
        </w:rPr>
        <w:t xml:space="preserve">P</w:t>
      </w:r>
      <w:r>
        <w:t xml:space="preserve">. Consequently, RO1 provides the data structure upon which the subsequent trust-oriented authorisation mechanisms operate.</w:t>
      </w:r>
    </w:p>
    <w:bookmarkEnd w:id="98"/>
    <w:bookmarkEnd w:id="99"/>
    <w:bookmarkStart w:id="106" w:name="X3b93ca6d6b3213e06bf792918c5f2e554ad197d"/>
    <w:p>
      <w:pPr>
        <w:pStyle w:val="Heading2"/>
      </w:pPr>
      <w:r>
        <w:t xml:space="preserve">6.2 Decentralised Identity and Authority Trust for RO2</w:t>
      </w:r>
    </w:p>
    <w:p>
      <w:pPr>
        <w:pStyle w:val="FirstParagraph"/>
      </w:pPr>
      <w:r>
        <w:t xml:space="preserve">RO2 addresses SRQ2 by developing a decentralised identity and authority verification mechanism using Decentralised Identifiers and Verifiable Credentials. The objective is to establish trustworthy participants while explicitly separating identity authentication from authorisation authority.</w:t>
      </w:r>
    </w:p>
    <w:p>
      <w:pPr>
        <w:pStyle w:val="BodyText"/>
      </w:pPr>
      <w:r>
        <w:t xml:space="preserve">The central principle of RO2 is that identity is not authorisation (Eq. (1)).</w:t>
      </w:r>
    </w:p>
    <w:p>
      <w:pPr>
        <w:pStyle w:val="BodyText"/>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verification condition is given by Eq. (8),</w:t>
      </w:r>
    </w:p>
    <w:p>
      <w:pPr>
        <w:pStyle w:val="BodyText"/>
      </w:pPr>
      <w:r>
        <w:t xml:space="preserve">where</w:t>
      </w:r>
      <w:r>
        <w:t xml:space="preserve"> </w:t>
      </w:r>
      <w:r>
        <w:rPr>
          <w:i/>
          <w:iCs/>
        </w:rPr>
        <w:t xml:space="preserve">u</w:t>
      </w:r>
      <w:r>
        <w:t xml:space="preserve"> </w:t>
      </w:r>
      <w:r>
        <w:t xml:space="preserve">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bookmarkStart w:id="103" w:name="X40f13bf52dbab2e76356a6753423f1584e794fb"/>
    <w:p>
      <w:pPr>
        <w:pStyle w:val="Heading3"/>
      </w:pPr>
      <w:r>
        <w:t xml:space="preserve">6.2.1 RO2 Identity and Authority Verification Workflow</w:t>
      </w:r>
    </w:p>
    <w:p>
      <w:pPr>
        <w:pStyle w:val="FirstParagraph"/>
      </w:pPr>
      <w:r>
        <w:t xml:space="preserve">The workflow, shown in Figure 6.2,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w:t>
      </w:r>
    </w:p>
    <w:p>
      <w:pPr>
        <w:pStyle w:val="CaptionedFigure"/>
      </w:pPr>
      <w:r>
        <w:drawing>
          <wp:inline>
            <wp:extent cx="3008376" cy="7679143"/>
            <wp:effectExtent b="0" l="0" r="0" t="0"/>
            <wp:docPr descr="Figure 6.2: RO2 workflow for decentralised identity and authority verification" title="" id="101" name="Picture"/>
            <a:graphic>
              <a:graphicData uri="http://schemas.openxmlformats.org/drawingml/2006/picture">
                <pic:pic>
                  <pic:nvPicPr>
                    <pic:cNvPr descr="media_col/fig08.png" id="102" name="Picture"/>
                    <pic:cNvPicPr>
                      <a:picLocks noChangeArrowheads="1" noChangeAspect="1"/>
                    </pic:cNvPicPr>
                  </pic:nvPicPr>
                  <pic:blipFill>
                    <a:blip r:embed="rId100"/>
                    <a:stretch>
                      <a:fillRect/>
                    </a:stretch>
                  </pic:blipFill>
                  <pic:spPr bwMode="auto">
                    <a:xfrm>
                      <a:off x="0" y="0"/>
                      <a:ext cx="3008376" cy="7679143"/>
                    </a:xfrm>
                    <a:prstGeom prst="rect">
                      <a:avLst/>
                    </a:prstGeom>
                    <a:noFill/>
                    <a:ln w="9525">
                      <a:noFill/>
                      <a:headEnd/>
                      <a:tailEnd/>
                    </a:ln>
                  </pic:spPr>
                </pic:pic>
              </a:graphicData>
            </a:graphic>
          </wp:inline>
        </w:drawing>
      </w:r>
    </w:p>
    <w:p>
      <w:pPr>
        <w:pStyle w:val="ImageCaption"/>
      </w:pPr>
      <w:r>
        <w:t xml:space="preserve">Figure 6.2: RO2 workflow for decentralised identity and authority verification</w:t>
      </w:r>
    </w:p>
    <w:p>
      <w:pPr>
        <w:pStyle w:val="BodyText"/>
      </w:pPr>
      <w:r>
        <w:t xml:space="preserve">In the HALAH prototype, identity and authority are established in two separate steps. First, the guardian’s DID is checked for syntactic validity. Second, the guardian’s approval is expressed as an EIP-712 typed-data signature [39] over the consent identifier, and the approval is accepted only if the address recovered from the signature matches the address bound to that guardian DID; an approval that fails this check is rejected and does not count towards the threshold (Section 7.3). For demonstration, guardian keys are derived deterministically from the DID; in deployment, each guardian would sign the same typed data with their own wallet. Full W3C Verifiable Credential verification [41, 42], covering issuer, proof, credential status and validity period (Steps 3–4 below), is specified here but has not yet been implemented and is scheduled for Stage 2 (CA3). The prototype therefore already separates</w:t>
      </w:r>
      <w:r>
        <w:t xml:space="preserve"> </w:t>
      </w:r>
      <w:r>
        <w:rPr>
          <w:i/>
          <w:iCs/>
        </w:rPr>
        <w:t xml:space="preserve">who</w:t>
      </w:r>
      <w:r>
        <w:t xml:space="preserve"> </w:t>
      </w:r>
      <w:r>
        <w:t xml:space="preserve">the guardian is from</w:t>
      </w:r>
      <w:r>
        <w:t xml:space="preserve"> </w:t>
      </w:r>
      <w:r>
        <w:rPr>
          <w:i/>
          <w:iCs/>
        </w:rPr>
        <w:t xml:space="preserve">whether</w:t>
      </w:r>
      <w:r>
        <w:t xml:space="preserve"> </w:t>
      </w:r>
      <w:r>
        <w:t xml:space="preserve">their approval is cryptographically valid, but does not yet verify credential-based authority.</w:t>
      </w:r>
    </w:p>
    <w:p>
      <w:pPr>
        <w:pStyle w:val="BodyText"/>
      </w:pPr>
      <w:r>
        <w:t xml:space="preserve">The output of RO2 is not an access-grant decision. It is a verified identity and authority result that can be consumed by RO3 and RO4. This separation prevents a participant from obtaining access merely by presenting a valid identity credential.</w:t>
      </w:r>
    </w:p>
    <w:bookmarkEnd w:id="103"/>
    <w:bookmarkStart w:id="104" w:name="Xa8518206654d9551af54c2e3b82ee4012d4395c"/>
    <w:p>
      <w:pPr>
        <w:pStyle w:val="Heading3"/>
      </w:pPr>
      <w:r>
        <w:t xml:space="preserve">6.2.2 Procedure for DID and VC Identity and Authority Verification</w:t>
      </w:r>
    </w:p>
    <w:p>
      <w:pPr>
        <w:pStyle w:val="FirstParagraph"/>
      </w:pPr>
      <w: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w:t>
      </w:r>
      <w:r>
        <w:t xml:space="preserve"> </w:t>
      </w:r>
      <w:r>
        <w:rPr>
          <w:i/>
          <w:iCs/>
        </w:rPr>
        <w:t xml:space="preserve">u</w:t>
      </w:r>
      <w:r>
        <w:t xml:space="preserve">, the identity information represented by the DID, the attributes contained in the associated VC, and the authority requirements specified by the consent object</w:t>
      </w:r>
      <w:r>
        <w:t xml:space="preserve"> </w:t>
      </w:r>
      <w:r>
        <w:rPr>
          <w:i/>
          <w:iCs/>
        </w:rPr>
        <w:t xml:space="preserve">C</w:t>
      </w:r>
      <w:r>
        <w:t xml:space="preserve">. The procedure consists of the following steps.</w:t>
      </w:r>
    </w:p>
    <w:p>
      <w:pPr>
        <w:pStyle w:val="Compact"/>
        <w:numPr>
          <w:ilvl w:val="0"/>
          <w:numId w:val="1017"/>
        </w:numPr>
      </w:pPr>
      <w:r>
        <w:rPr>
          <w:b/>
          <w:bCs/>
        </w:rPr>
        <w:t xml:space="preserve">Step 1 – Resolve the Participant’s DID.</w:t>
      </w:r>
    </w:p>
    <w:p>
      <w:pPr>
        <w:pStyle w:val="FirstParagraph"/>
      </w:pPr>
      <w:r>
        <w:t xml:space="preserve">The system first resolves the decentralised identifier (DID) associated with participant</w:t>
      </w:r>
      <w:r>
        <w:t xml:space="preserve"> </w:t>
      </w:r>
      <w:r>
        <w:rPr>
          <w:i/>
          <w:iCs/>
        </w:rPr>
        <w:t xml:space="preserve">u</w:t>
      </w:r>
      <w:r>
        <w:t xml:space="preserve">. DID resolution retrieves the DID-related information required to establish the participant’s decentralised identity and identify the corresponding DID document. If the DID cannot be successfully resolved, the verification process terminates and returns</w:t>
      </w:r>
      <w:r>
        <w:t xml:space="preserve"> </w:t>
      </w:r>
      <w:r>
        <w:rPr>
          <w:i/>
          <w:iCs/>
        </w:rPr>
        <w:t xml:space="preserve">INVALID</w:t>
      </w:r>
      <w:r>
        <w:t xml:space="preserve">.</w:t>
      </w:r>
    </w:p>
    <w:p>
      <w:pPr>
        <w:pStyle w:val="Compact"/>
        <w:numPr>
          <w:ilvl w:val="0"/>
          <w:numId w:val="1018"/>
        </w:numPr>
      </w:pPr>
      <w:r>
        <w:rPr>
          <w:b/>
          <w:bCs/>
        </w:rPr>
        <w:t xml:space="preserve">Step 2 – Verify the DID Document.</w:t>
      </w:r>
    </w:p>
    <w:p>
      <w:pPr>
        <w:pStyle w:val="FirstParagraph"/>
      </w:pPr>
      <w:r>
        <w:t xml:space="preserve">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w:t>
      </w:r>
      <w:r>
        <w:t xml:space="preserve"> </w:t>
      </w:r>
      <w:r>
        <w:rPr>
          <w:i/>
          <w:iCs/>
        </w:rPr>
        <w:t xml:space="preserve">INVALID</w:t>
      </w:r>
      <w:r>
        <w:t xml:space="preserve"> </w:t>
      </w:r>
      <w:r>
        <w:t xml:space="preserve">outcome.</w:t>
      </w:r>
    </w:p>
    <w:p>
      <w:pPr>
        <w:pStyle w:val="Compact"/>
        <w:numPr>
          <w:ilvl w:val="0"/>
          <w:numId w:val="1019"/>
        </w:numPr>
      </w:pPr>
      <w:r>
        <w:rPr>
          <w:b/>
          <w:bCs/>
        </w:rPr>
        <w:t xml:space="preserve">Step 3 – Retrieve the Participant’s Verifiable Credential.</w:t>
      </w:r>
    </w:p>
    <w:p>
      <w:pPr>
        <w:pStyle w:val="FirstParagraph"/>
      </w:pPr>
      <w:r>
        <w:t xml:space="preserve">The system retrieves the verifiable credential (VC) associated with participant</w:t>
      </w:r>
      <w:r>
        <w:t xml:space="preserve"> </w:t>
      </w:r>
      <w:r>
        <w:rPr>
          <w:i/>
          <w:iCs/>
        </w:rPr>
        <w:t xml:space="preserve">u</w:t>
      </w:r>
      <w:r>
        <w:t xml:space="preserve">. The VC provides machine-verifiable claims concerning the participant, such as professional role, organisational affiliation, or delegated authority. If an appropriate VC cannot be retrieved, the participant cannot establish the required authority and the verification process returns</w:t>
      </w:r>
      <w:r>
        <w:t xml:space="preserve"> </w:t>
      </w:r>
      <w:r>
        <w:rPr>
          <w:i/>
          <w:iCs/>
        </w:rPr>
        <w:t xml:space="preserve">INVALID</w:t>
      </w:r>
      <w:r>
        <w:t xml:space="preserve">.</w:t>
      </w:r>
    </w:p>
    <w:p>
      <w:pPr>
        <w:pStyle w:val="Compact"/>
        <w:numPr>
          <w:ilvl w:val="0"/>
          <w:numId w:val="1020"/>
        </w:numPr>
      </w:pPr>
      <w:r>
        <w:rPr>
          <w:b/>
          <w:bCs/>
        </w:rPr>
        <w:t xml:space="preserve">Step 4 – Verify the Verifiable Credential.</w:t>
      </w:r>
    </w:p>
    <w:p>
      <w:pPr>
        <w:pStyle w:val="FirstParagraph"/>
      </w:pPr>
      <w:r>
        <w:t xml:space="preserve">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w:t>
      </w:r>
    </w:p>
    <w:p>
      <w:pPr>
        <w:pStyle w:val="BodyText"/>
      </w:pPr>
      <w:r>
        <w:t xml:space="preserve">Formally, the credential can be considered valid only when</w:t>
      </w:r>
    </w:p>
    <w:p>
      <w:pPr>
        <w:pStyle w:val="BodyText"/>
      </w:pPr>
      <m:oMathPara>
        <m:oMathParaPr>
          <m:jc m:val="center"/>
        </m:oMathParaPr>
        <m:oMath>
          <m:r>
            <m:t>V</m:t>
          </m:r>
          <m:sSub>
            <m:e>
              <m:r>
                <m:t>C</m:t>
              </m:r>
            </m:e>
            <m:sub>
              <m:r>
                <m:t>v</m:t>
              </m:r>
              <m:r>
                <m:t>a</m:t>
              </m:r>
              <m:r>
                <m:t>l</m:t>
              </m:r>
              <m:r>
                <m:t>i</m:t>
              </m:r>
              <m:r>
                <m:t>d</m:t>
              </m:r>
            </m:sub>
          </m:sSub>
          <m:r>
            <m:rPr>
              <m:sty m:val="p"/>
            </m:rPr>
            <m:t>=</m:t>
          </m:r>
          <m:r>
            <m:t>S</m:t>
          </m:r>
          <m:r>
            <m:t>i</m:t>
          </m:r>
          <m:sSub>
            <m:e>
              <m:r>
                <m:t>g</m:t>
              </m:r>
            </m:e>
            <m:sub>
              <m:r>
                <m:t>V</m:t>
              </m:r>
              <m:r>
                <m:t>C</m:t>
              </m:r>
            </m:sub>
          </m:sSub>
          <m:r>
            <m:rPr>
              <m:sty m:val="p"/>
            </m:rPr>
            <m:t>∧</m:t>
          </m:r>
          <m:r>
            <m:t>I</m:t>
          </m:r>
          <m:r>
            <m:t>s</m:t>
          </m:r>
          <m:r>
            <m:t>s</m:t>
          </m:r>
          <m:r>
            <m:t>u</m:t>
          </m:r>
          <m:r>
            <m:t>e</m:t>
          </m:r>
          <m:sSub>
            <m:e>
              <m:r>
                <m:t>r</m:t>
              </m:r>
            </m:e>
            <m:sub>
              <m:r>
                <m:t>v</m:t>
              </m:r>
              <m:r>
                <m:t>a</m:t>
              </m:r>
              <m:r>
                <m:t>l</m:t>
              </m:r>
              <m:r>
                <m:t>i</m:t>
              </m:r>
              <m:r>
                <m:t>d</m:t>
              </m:r>
            </m:sub>
          </m:sSub>
          <m:r>
            <m:rPr>
              <m:sty m:val="p"/>
            </m:rPr>
            <m:t>∧</m:t>
          </m:r>
          <m:r>
            <m:t>S</m:t>
          </m:r>
          <m:r>
            <m:t>u</m:t>
          </m:r>
          <m:r>
            <m:t>b</m:t>
          </m:r>
          <m:r>
            <m:t>j</m:t>
          </m:r>
          <m:r>
            <m:t>e</m:t>
          </m:r>
          <m:r>
            <m:t>c</m:t>
          </m:r>
          <m:sSub>
            <m:e>
              <m:r>
                <m:t>t</m:t>
              </m:r>
            </m:e>
            <m:sub>
              <m:r>
                <m:t>m</m:t>
              </m:r>
              <m:r>
                <m:t>a</m:t>
              </m:r>
              <m:r>
                <m:t>t</m:t>
              </m:r>
              <m:r>
                <m:t>c</m:t>
              </m:r>
              <m:r>
                <m:t>h</m:t>
              </m:r>
            </m:sub>
          </m:sSub>
          <m:r>
            <m:rPr>
              <m:sty m:val="p"/>
            </m:rPr>
            <m:t>∧</m:t>
          </m:r>
          <m:r>
            <m:t>T</m:t>
          </m:r>
          <m:r>
            <m:t>i</m:t>
          </m:r>
          <m:r>
            <m:t>m</m:t>
          </m:r>
          <m:sSub>
            <m:e>
              <m:r>
                <m:t>e</m:t>
              </m:r>
            </m:e>
            <m:sub>
              <m:r>
                <m:t>v</m:t>
              </m:r>
              <m:r>
                <m:t>a</m:t>
              </m:r>
              <m:r>
                <m:t>l</m:t>
              </m:r>
              <m:r>
                <m:t>i</m:t>
              </m:r>
              <m:r>
                <m:t>d</m:t>
              </m:r>
            </m:sub>
          </m:sSub>
          <m:r>
            <m:rPr>
              <m:sty m:val="p"/>
            </m:rPr>
            <m:t>.</m:t>
          </m:r>
        </m:oMath>
      </m:oMathPara>
    </w:p>
    <w:p>
      <w:pPr>
        <w:pStyle w:val="FirstParagraph"/>
      </w:pPr>
      <w:r>
        <w:t xml:space="preserve">If any of these conditions fails, the verification process returns</w:t>
      </w:r>
      <w:r>
        <w:t xml:space="preserve"> </w:t>
      </w:r>
      <w:r>
        <w:rPr>
          <w:i/>
          <w:iCs/>
        </w:rPr>
        <w:t xml:space="preserve">INVALID</w:t>
      </w:r>
      <w:r>
        <w:t xml:space="preserve">. In the HALAH prototype, this step is specified but not yet implemented (Section 7.13).</w:t>
      </w:r>
    </w:p>
    <w:p>
      <w:pPr>
        <w:pStyle w:val="Compact"/>
        <w:numPr>
          <w:ilvl w:val="0"/>
          <w:numId w:val="1021"/>
        </w:numPr>
      </w:pPr>
      <w:r>
        <w:rPr>
          <w:b/>
          <w:bCs/>
        </w:rPr>
        <w:t xml:space="preserve">Step 5 – Extract Role and Authority Claims.</w:t>
      </w:r>
    </w:p>
    <w:p>
      <w:pPr>
        <w:pStyle w:val="FirstParagraph"/>
      </w:pPr>
      <w:r>
        <w:t xml:space="preserve">Once the VC has been successfully verified, the system extracts the relevant role and authority claims associated with participant</w:t>
      </w:r>
      <w:r>
        <w:t xml:space="preserve"> </w:t>
      </w:r>
      <w:r>
        <w:rPr>
          <w:i/>
          <w:iCs/>
        </w:rPr>
        <w:t xml:space="preserve">u</w:t>
      </w:r>
      <w:r>
        <w:t xml:space="preserve">.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Compact"/>
        <w:numPr>
          <w:ilvl w:val="0"/>
          <w:numId w:val="1022"/>
        </w:numPr>
      </w:pPr>
      <w:r>
        <w:rPr>
          <w:b/>
          <w:bCs/>
        </w:rPr>
        <w:t xml:space="preserve">Step 6 – Compare Authority Claims with Consent Requirements.</w:t>
      </w:r>
    </w:p>
    <w:p>
      <w:pPr>
        <w:pStyle w:val="FirstParagraph"/>
      </w:pPr>
      <w:r>
        <w:t xml:space="preserve">The extracted role and authority claims are compared against the authorisation requirements</w:t>
      </w:r>
      <w:r>
        <w:t xml:space="preserve"> </w:t>
      </w:r>
      <w:r>
        <w:rPr>
          <w:i/>
          <w:iCs/>
        </w:rPr>
        <w:t xml:space="preserve">A</w:t>
      </w:r>
      <w:r>
        <w:t xml:space="preserve"> </w:t>
      </w:r>
      <w:r>
        <w:t xml:space="preserve">specified in the consent object</w:t>
      </w:r>
      <w:r>
        <w:t xml:space="preserve"> </w:t>
      </w:r>
      <w:r>
        <w:rPr>
          <w:i/>
          <w:iCs/>
        </w:rPr>
        <w:t xml:space="preserve">C</w:t>
      </w:r>
      <w:r>
        <w:t xml:space="preserve">. The purpose of this step is to ensure that possession of a valid identity or credential is not automatically interpreted as permission to access healthcare information.</w:t>
      </w:r>
    </w:p>
    <w:p>
      <w:pPr>
        <w:pStyle w:val="BodyText"/>
      </w:pPr>
      <w:r>
        <w:t xml:space="preserve">The authority verification condition can therefore be represented as</w:t>
      </w:r>
    </w:p>
    <w:p>
      <w:pPr>
        <w:pStyle w:val="BodyText"/>
      </w:pPr>
      <m:oMathPara>
        <m:oMathParaPr>
          <m:jc m:val="center"/>
        </m:oMathParaPr>
        <m:oMath>
          <m:r>
            <m:t>A</m:t>
          </m:r>
          <m:r>
            <m:t>u</m:t>
          </m:r>
          <m:r>
            <m:t>t</m:t>
          </m:r>
          <m:r>
            <m:t>h</m:t>
          </m:r>
          <m:r>
            <m:t>o</m:t>
          </m:r>
          <m:r>
            <m:t>r</m:t>
          </m:r>
          <m:r>
            <m:t>i</m:t>
          </m:r>
          <m:r>
            <m:t>t</m:t>
          </m:r>
          <m:r>
            <m:t>y</m:t>
          </m:r>
          <m:r>
            <m:rPr>
              <m:sty m:val="p"/>
            </m:rPr>
            <m:t>(</m:t>
          </m:r>
          <m:r>
            <m:t>u</m:t>
          </m:r>
          <m:r>
            <m:rPr>
              <m:sty m:val="p"/>
            </m:rPr>
            <m:t>,</m:t>
          </m:r>
          <m:r>
            <m:t>C</m:t>
          </m:r>
          <m:r>
            <m:rPr>
              <m:sty m:val="p"/>
            </m:rPr>
            <m:t>)</m:t>
          </m:r>
          <m:r>
            <m:rPr>
              <m:sty m:val="p"/>
            </m:rPr>
            <m:t>=</m:t>
          </m:r>
          <m:r>
            <m:t>C</m:t>
          </m:r>
          <m:r>
            <m:t>l</m:t>
          </m:r>
          <m:r>
            <m:t>a</m:t>
          </m:r>
          <m:r>
            <m:t>i</m:t>
          </m:r>
          <m:r>
            <m:t>m</m:t>
          </m:r>
          <m:r>
            <m:t>s</m:t>
          </m:r>
          <m:r>
            <m:rPr>
              <m:sty m:val="p"/>
            </m:rPr>
            <m:t>(</m:t>
          </m:r>
          <m:r>
            <m:t>u</m:t>
          </m:r>
          <m:r>
            <m:rPr>
              <m:sty m:val="p"/>
            </m:rPr>
            <m:t>)</m:t>
          </m:r>
          <m:r>
            <m:rPr>
              <m:sty m:val="p"/>
            </m:rPr>
            <m:t>⊨</m:t>
          </m:r>
          <m:sSub>
            <m:e>
              <m:r>
                <m:t>A</m:t>
              </m:r>
            </m:e>
            <m:sub>
              <m:r>
                <m:t>C</m:t>
              </m:r>
            </m:sub>
          </m:sSub>
          <m:r>
            <m:rPr>
              <m:sty m:val="p"/>
            </m:rPr>
            <m:t>,</m:t>
          </m:r>
        </m:oMath>
      </m:oMathPara>
    </w:p>
    <w:p>
      <w:pPr>
        <w:pStyle w:val="FirstParagraph"/>
      </w:pPr>
      <w:r>
        <w:t xml:space="preserve">where</w:t>
      </w:r>
      <w:r>
        <w:t xml:space="preserve"> </w:t>
      </w:r>
      <w:r>
        <w:rPr>
          <w:i/>
          <w:iCs/>
        </w:rPr>
        <w:t xml:space="preserve">Claims</w:t>
      </w:r>
      <w:r>
        <w:t xml:space="preserve">(</w:t>
      </w:r>
      <w:r>
        <w:rPr>
          <w:i/>
          <w:iCs/>
        </w:rPr>
        <w:t xml:space="preserve">u</w:t>
      </w:r>
      <w:r>
        <w:t xml:space="preserve">) denotes the verified claims associated with participant</w:t>
      </w:r>
      <w:r>
        <w:t xml:space="preserve"> </w:t>
      </w:r>
      <w:r>
        <w:rPr>
          <w:i/>
          <w:iCs/>
        </w:rPr>
        <w:t xml:space="preserve">u</w:t>
      </w:r>
      <w:r>
        <w:t xml:space="preserve">, and</w:t>
      </w:r>
      <w:r>
        <w:t xml:space="preserve"> </w:t>
      </w:r>
      <w:r>
        <w:rPr>
          <w:i/>
          <w:iCs/>
        </w:rPr>
        <w:t xml:space="preserve">A</w:t>
      </w:r>
      <w:r>
        <w:rPr>
          <w:vertAlign w:val="subscript"/>
        </w:rPr>
        <w:t xml:space="preserve">C</w:t>
      </w:r>
      <w:r>
        <w:t xml:space="preserve"> </w:t>
      </w:r>
      <w:r>
        <w:t xml:space="preserve">denotes the authority requirements defined by consent object</w:t>
      </w:r>
      <w:r>
        <w:t xml:space="preserve"> </w:t>
      </w:r>
      <w:r>
        <w:rPr>
          <w:i/>
          <w:iCs/>
        </w:rPr>
        <w:t xml:space="preserve">C</w:t>
      </w:r>
      <w:r>
        <w:t xml:space="preserve">.</w:t>
      </w:r>
    </w:p>
    <w:p>
      <w:pPr>
        <w:pStyle w:val="BodyText"/>
      </w:pPr>
      <w:r>
        <w:t xml:space="preserve">If the participant’s claims do not satisfy the required authority conditions, the system returns</w:t>
      </w:r>
      <w:r>
        <w:t xml:space="preserve"> </w:t>
      </w:r>
      <w:r>
        <w:rPr>
          <w:i/>
          <w:iCs/>
        </w:rPr>
        <w:t xml:space="preserve">INVALID</w:t>
      </w:r>
      <w:r>
        <w:t xml:space="preserve">.</w:t>
      </w:r>
    </w:p>
    <w:p>
      <w:pPr>
        <w:pStyle w:val="Compact"/>
        <w:numPr>
          <w:ilvl w:val="0"/>
          <w:numId w:val="1023"/>
        </w:numPr>
      </w:pPr>
      <w:r>
        <w:rPr>
          <w:b/>
          <w:bCs/>
        </w:rPr>
        <w:t xml:space="preserve">Step 7 – Establish Identity–Authority Binding.</w:t>
      </w:r>
    </w:p>
    <w:p>
      <w:pPr>
        <w:pStyle w:val="FirstParagraph"/>
      </w:pPr>
      <w:r>
        <w:t xml:space="preserve">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Compact"/>
        <w:numPr>
          <w:ilvl w:val="0"/>
          <w:numId w:val="1024"/>
        </w:numPr>
      </w:pPr>
      <w:r>
        <w:rPr>
          <w:b/>
          <w:bCs/>
        </w:rPr>
        <w:t xml:space="preserve">Step 8 – Record Identity and Authority Evidence.</w:t>
      </w:r>
    </w:p>
    <w:p>
      <w:pPr>
        <w:pStyle w:val="FirstParagraph"/>
      </w:pPr>
      <w:r>
        <w:t xml:space="preserve">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Compact"/>
        <w:numPr>
          <w:ilvl w:val="0"/>
          <w:numId w:val="1025"/>
        </w:numPr>
      </w:pPr>
      <w:r>
        <w:rPr>
          <w:b/>
          <w:bCs/>
        </w:rPr>
        <w:t xml:space="preserve">Step 9 – Return the Verification Result.</w:t>
      </w:r>
    </w:p>
    <w:p>
      <w:pPr>
        <w:pStyle w:val="FirstParagraph"/>
      </w:pPr>
      <w:r>
        <w:t xml:space="preserve">If DID resolution, DID verification, VC retrieval, VC verification, and authority validation are all successfully completed, the system returns</w:t>
      </w:r>
    </w:p>
    <w:p>
      <w:pPr>
        <w:pStyle w:val="BodyText"/>
      </w:pPr>
      <m:oMathPara>
        <m:oMathParaPr>
          <m:jc m:val="center"/>
        </m:oMathParaPr>
        <m:oMath>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Otherwise, the procedure terminates at the first failed mandatory verification condition and returns</w:t>
      </w:r>
    </w:p>
    <w:p>
      <w:pPr>
        <w:pStyle w:val="BodyText"/>
      </w:pPr>
      <m:oMathPara>
        <m:oMathParaPr>
          <m:jc m:val="center"/>
        </m:oMathParaPr>
        <m:oMath>
          <m:sSub>
            <m:e>
              <m:r>
                <m:t>V</m:t>
              </m:r>
            </m:e>
            <m:sub>
              <m:r>
                <m:t>I</m:t>
              </m:r>
            </m:sub>
          </m:sSub>
          <m:r>
            <m:rPr>
              <m:sty m:val="p"/>
            </m:rPr>
            <m:t>(</m:t>
          </m:r>
          <m:r>
            <m:t>u</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verification process can therefore be represented as:</w:t>
      </w:r>
    </w:p>
    <w:p>
      <w:pPr>
        <w:pStyle w:val="BodyText"/>
      </w:pPr>
      <m:oMathPara>
        <m:oMathParaPr>
          <m:jc m:val="center"/>
        </m:oMathParaPr>
        <m:oMath>
          <m:m>
            <m:mPr>
              <m:baseJc m:val="center"/>
              <m:plcHide m:val="on"/>
              <m:mcs>
                <m:mc>
                  <m:mcPr>
                    <m:count m:val="1"/>
                    <m:mcJc m:val="left"/>
                  </m:mcPr>
                </m:mc>
              </m:mcs>
            </m:mPr>
            <m:mr>
              <m:e>
                <m:r>
                  <m:t>D</m:t>
                </m:r>
                <m:r>
                  <m:t>I</m:t>
                </m:r>
                <m:sSub>
                  <m:e>
                    <m:r>
                      <m:t>D</m:t>
                    </m:r>
                  </m:e>
                  <m:sub>
                    <m:r>
                      <m:t>r</m:t>
                    </m:r>
                    <m:r>
                      <m:t>e</m:t>
                    </m:r>
                    <m:r>
                      <m:t>s</m:t>
                    </m:r>
                    <m:r>
                      <m:t>o</m:t>
                    </m:r>
                    <m:r>
                      <m:t>l</m:t>
                    </m:r>
                    <m:r>
                      <m:t>v</m:t>
                    </m:r>
                    <m:r>
                      <m:t>e</m:t>
                    </m:r>
                  </m:sub>
                </m:sSub>
                <m:r>
                  <m:rPr>
                    <m:sty m:val="p"/>
                  </m:rPr>
                  <m:t>→</m:t>
                </m:r>
                <m:r>
                  <m:t>D</m:t>
                </m:r>
                <m:r>
                  <m:t>I</m:t>
                </m:r>
                <m:sSub>
                  <m:e>
                    <m:r>
                      <m:t>D</m:t>
                    </m:r>
                  </m:e>
                  <m:sub>
                    <m:r>
                      <m:t>v</m:t>
                    </m:r>
                    <m:r>
                      <m:t>e</m:t>
                    </m:r>
                    <m:r>
                      <m:t>r</m:t>
                    </m:r>
                    <m:r>
                      <m:t>i</m:t>
                    </m:r>
                    <m:r>
                      <m:t>f</m:t>
                    </m:r>
                    <m:r>
                      <m:t>y</m:t>
                    </m:r>
                  </m:sub>
                </m:sSub>
                <m:r>
                  <m:rPr>
                    <m:sty m:val="p"/>
                  </m:rPr>
                  <m:t>→</m:t>
                </m:r>
                <m:r>
                  <m:t>V</m:t>
                </m:r>
                <m:sSub>
                  <m:e>
                    <m:r>
                      <m:t>C</m:t>
                    </m:r>
                  </m:e>
                  <m:sub>
                    <m:r>
                      <m:t>r</m:t>
                    </m:r>
                    <m:r>
                      <m:t>e</m:t>
                    </m:r>
                    <m:r>
                      <m:t>t</m:t>
                    </m:r>
                    <m:r>
                      <m:t>r</m:t>
                    </m:r>
                    <m:r>
                      <m:t>i</m:t>
                    </m:r>
                    <m:r>
                      <m:t>e</m:t>
                    </m:r>
                    <m:r>
                      <m:t>v</m:t>
                    </m:r>
                    <m:r>
                      <m:t>e</m:t>
                    </m:r>
                  </m:sub>
                </m:sSub>
                <m:r>
                  <m:rPr>
                    <m:sty m:val="p"/>
                  </m:rPr>
                  <m:t>→</m:t>
                </m:r>
                <m:r>
                  <m:t>V</m:t>
                </m:r>
                <m:sSub>
                  <m:e>
                    <m:r>
                      <m:t>C</m:t>
                    </m:r>
                  </m:e>
                  <m:sub>
                    <m:r>
                      <m:t>v</m:t>
                    </m:r>
                    <m:r>
                      <m:t>e</m:t>
                    </m:r>
                    <m:r>
                      <m:t>r</m:t>
                    </m:r>
                    <m:r>
                      <m:t>i</m:t>
                    </m:r>
                    <m:r>
                      <m:t>f</m:t>
                    </m:r>
                    <m:r>
                      <m:t>y</m:t>
                    </m:r>
                  </m:sub>
                </m:sSub>
              </m:e>
            </m:mr>
            <m:mr>
              <m:e>
                <m:r>
                  <m:rPr>
                    <m:sty m:val="p"/>
                  </m:rPr>
                  <m:t>→</m:t>
                </m:r>
                <m:r>
                  <m:t>C</m:t>
                </m:r>
                <m:r>
                  <m:t>l</m:t>
                </m:r>
                <m:r>
                  <m:t>a</m:t>
                </m:r>
                <m:r>
                  <m:t>i</m:t>
                </m:r>
                <m:r>
                  <m:t>m</m:t>
                </m:r>
                <m:sSub>
                  <m:e>
                    <m:r>
                      <m:t>s</m:t>
                    </m:r>
                  </m:e>
                  <m:sub>
                    <m:r>
                      <m:t>e</m:t>
                    </m:r>
                    <m:r>
                      <m:t>x</m:t>
                    </m:r>
                    <m:r>
                      <m:t>t</m:t>
                    </m:r>
                    <m:r>
                      <m:t>r</m:t>
                    </m:r>
                    <m:r>
                      <m:t>a</m:t>
                    </m:r>
                    <m:r>
                      <m:t>c</m:t>
                    </m:r>
                    <m:r>
                      <m:t>t</m:t>
                    </m:r>
                  </m:sub>
                </m:sSub>
                <m:r>
                  <m:rPr>
                    <m:sty m:val="p"/>
                  </m:rPr>
                  <m:t>→</m:t>
                </m:r>
                <m:r>
                  <m:t>A</m:t>
                </m:r>
                <m:r>
                  <m:t>u</m:t>
                </m:r>
                <m:r>
                  <m:t>t</m:t>
                </m:r>
                <m:r>
                  <m:t>h</m:t>
                </m:r>
                <m:r>
                  <m:t>o</m:t>
                </m:r>
                <m:r>
                  <m:t>r</m:t>
                </m:r>
                <m:r>
                  <m:t>i</m:t>
                </m:r>
                <m:r>
                  <m:t>t</m:t>
                </m:r>
                <m:sSub>
                  <m:e>
                    <m:r>
                      <m:t>y</m:t>
                    </m:r>
                  </m:e>
                  <m:sub>
                    <m:r>
                      <m:t>m</m:t>
                    </m:r>
                    <m:r>
                      <m:t>a</m:t>
                    </m:r>
                    <m:r>
                      <m:t>t</m:t>
                    </m:r>
                    <m:r>
                      <m:t>c</m:t>
                    </m:r>
                    <m:r>
                      <m:t>h</m:t>
                    </m:r>
                  </m:sub>
                </m:sSub>
                <m:r>
                  <m:rPr>
                    <m:sty m:val="p"/>
                  </m:rPr>
                  <m:t>→</m:t>
                </m:r>
                <m:r>
                  <m:t>E</m:t>
                </m:r>
                <m:r>
                  <m:t>v</m:t>
                </m:r>
                <m:r>
                  <m:t>i</m:t>
                </m:r>
                <m:r>
                  <m:t>d</m:t>
                </m:r>
                <m:r>
                  <m:t>e</m:t>
                </m:r>
                <m:r>
                  <m:t>n</m:t>
                </m:r>
                <m:r>
                  <m:t>c</m:t>
                </m:r>
                <m:sSub>
                  <m:e>
                    <m:r>
                      <m:t>e</m:t>
                    </m:r>
                  </m:e>
                  <m:sub>
                    <m:r>
                      <m:t>r</m:t>
                    </m:r>
                    <m:r>
                      <m:t>e</m:t>
                    </m:r>
                    <m:r>
                      <m:t>c</m:t>
                    </m:r>
                    <m:r>
                      <m:t>o</m:t>
                    </m:r>
                    <m:r>
                      <m:t>r</m:t>
                    </m:r>
                    <m:r>
                      <m:t>d</m:t>
                    </m:r>
                  </m:sub>
                </m:sSub>
                <m:r>
                  <m:rPr>
                    <m:sty m:val="p"/>
                  </m:rPr>
                  <m:t>→</m:t>
                </m:r>
                <m:sSub>
                  <m:e>
                    <m:r>
                      <m:t>V</m:t>
                    </m:r>
                  </m:e>
                  <m:sub>
                    <m:r>
                      <m:t>I</m:t>
                    </m:r>
                  </m:sub>
                </m:sSub>
                <m:r>
                  <m:rPr>
                    <m:sty m:val="p"/>
                  </m:rPr>
                  <m:t>(</m:t>
                </m:r>
                <m:r>
                  <m:t>u</m:t>
                </m:r>
                <m:r>
                  <m:rPr>
                    <m:sty m:val="p"/>
                  </m:rPr>
                  <m:t>)</m:t>
                </m:r>
                <m:r>
                  <m:rPr>
                    <m:sty m:val="p"/>
                  </m:rPr>
                  <m:t>.</m:t>
                </m:r>
              </m:e>
            </m:mr>
          </m:m>
        </m:oMath>
      </m:oMathPara>
    </w:p>
    <w:p>
      <w:pPr>
        <w:pStyle w:val="FirstParagraph"/>
      </w:pPr>
      <w:r>
        <w:t xml:space="preserve">The procedure establishes an important separation between</w:t>
      </w:r>
      <w:r>
        <w:t xml:space="preserve"> </w:t>
      </w:r>
      <w:r>
        <w:rPr>
          <w:i/>
          <w:iCs/>
        </w:rPr>
        <w:t xml:space="preserve">identity verification</w:t>
      </w:r>
      <w:r>
        <w:t xml:space="preserve"> </w:t>
      </w:r>
      <w:r>
        <w:t xml:space="preserve">and</w:t>
      </w:r>
      <w:r>
        <w:t xml:space="preserve"> </w:t>
      </w:r>
      <w:r>
        <w:rPr>
          <w:i/>
          <w:iCs/>
        </w:rPr>
        <w:t xml:space="preserve">authority verification</w:t>
      </w:r>
      <w:r>
        <w:t xml:space="preserve">.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w:t>
      </w:r>
      <w:r>
        <w:t xml:space="preserve"> </w:t>
      </w:r>
      <w:r>
        <w:rPr>
          <w:i/>
          <w:iCs/>
        </w:rPr>
        <w:t xml:space="preserve">C</w:t>
      </w:r>
      <w:r>
        <w:t xml:space="preserve">. Consequently, the procedure can be interpreted as a two-layer verification mechanism</w:t>
      </w:r>
    </w:p>
    <w:p>
      <w:pPr>
        <w:pStyle w:val="BodyText"/>
      </w:pPr>
      <m:oMathPara>
        <m:oMathParaPr>
          <m:jc m:val="center"/>
        </m:oMathParaPr>
        <m:oMath>
          <m:r>
            <m:t>I</m:t>
          </m:r>
          <m:r>
            <m:t>d</m:t>
          </m:r>
          <m:r>
            <m:t>e</m:t>
          </m:r>
          <m:r>
            <m:t>n</m:t>
          </m:r>
          <m:r>
            <m:t>t</m:t>
          </m:r>
          <m:r>
            <m:t>i</m:t>
          </m:r>
          <m:r>
            <m:t>t</m:t>
          </m:r>
          <m:r>
            <m:t>y</m:t>
          </m:r>
          <m:r>
            <m:rPr>
              <m:sty m:val="p"/>
            </m:rPr>
            <m:t>(</m:t>
          </m:r>
          <m:r>
            <m:t>u</m:t>
          </m:r>
          <m:r>
            <m:rPr>
              <m:sty m:val="p"/>
            </m:rPr>
            <m:t>)</m:t>
          </m:r>
          <m:r>
            <m:rPr>
              <m:sty m:val="p"/>
            </m:rPr>
            <m:t>∧</m:t>
          </m:r>
          <m:r>
            <m:t>C</m:t>
          </m:r>
          <m:r>
            <m:t>r</m:t>
          </m:r>
          <m:r>
            <m:t>e</m:t>
          </m:r>
          <m:r>
            <m:t>d</m:t>
          </m:r>
          <m:r>
            <m:t>e</m:t>
          </m:r>
          <m:r>
            <m:t>n</m:t>
          </m:r>
          <m:r>
            <m:t>t</m:t>
          </m:r>
          <m:r>
            <m:t>i</m:t>
          </m:r>
          <m:r>
            <m:t>a</m:t>
          </m:r>
          <m:r>
            <m:t>l</m:t>
          </m:r>
          <m:r>
            <m:t>V</m:t>
          </m:r>
          <m:r>
            <m:t>a</m:t>
          </m:r>
          <m:r>
            <m:t>l</m:t>
          </m:r>
          <m:r>
            <m:t>i</m:t>
          </m:r>
          <m:r>
            <m:t>d</m:t>
          </m:r>
          <m:r>
            <m:t>i</m:t>
          </m:r>
          <m:r>
            <m:t>t</m:t>
          </m:r>
          <m:r>
            <m:t>y</m:t>
          </m:r>
          <m:r>
            <m:rPr>
              <m:sty m:val="p"/>
            </m:rPr>
            <m:t>(</m:t>
          </m:r>
          <m:r>
            <m:t>u</m:t>
          </m:r>
          <m:r>
            <m:rPr>
              <m:sty m:val="p"/>
            </m:rPr>
            <m:t>)</m:t>
          </m:r>
          <m:r>
            <m:rPr>
              <m:sty m:val="p"/>
            </m:rPr>
            <m:t>∧</m:t>
          </m:r>
          <m:r>
            <m:t>A</m:t>
          </m:r>
          <m:r>
            <m:t>u</m:t>
          </m:r>
          <m:r>
            <m:t>t</m:t>
          </m:r>
          <m:r>
            <m:t>h</m:t>
          </m:r>
          <m:r>
            <m:t>o</m:t>
          </m:r>
          <m:r>
            <m:t>r</m:t>
          </m:r>
          <m:r>
            <m:t>i</m:t>
          </m:r>
          <m:r>
            <m:t>t</m:t>
          </m:r>
          <m:r>
            <m:t>y</m:t>
          </m:r>
          <m:r>
            <m:rPr>
              <m:sty m:val="p"/>
            </m:rPr>
            <m:t>(</m:t>
          </m:r>
          <m:r>
            <m:t>u</m:t>
          </m:r>
          <m:r>
            <m:rPr>
              <m:sty m:val="p"/>
            </m:rPr>
            <m:t>,</m:t>
          </m:r>
          <m:r>
            <m:t>C</m:t>
          </m:r>
          <m:r>
            <m:rPr>
              <m:sty m:val="p"/>
            </m:rPr>
            <m:t>)</m:t>
          </m:r>
          <m:r>
            <m:rPr>
              <m:sty m:val="p"/>
            </m:rPr>
            <m:t>⇒</m:t>
          </m:r>
          <m:sSub>
            <m:e>
              <m:r>
                <m:t>V</m:t>
              </m:r>
            </m:e>
            <m:sub>
              <m:r>
                <m:t>I</m:t>
              </m:r>
            </m:sub>
          </m:sSub>
          <m:r>
            <m:rPr>
              <m:sty m:val="p"/>
            </m:rPr>
            <m:t>(</m:t>
          </m:r>
          <m:r>
            <m:t>u</m:t>
          </m:r>
          <m:r>
            <m:rPr>
              <m:sty m:val="p"/>
            </m:rPr>
            <m:t>)</m:t>
          </m:r>
          <m:r>
            <m:rPr>
              <m:sty m:val="p"/>
            </m:rPr>
            <m:t>=</m:t>
          </m:r>
          <m:r>
            <m:t>V</m:t>
          </m:r>
          <m:r>
            <m:t>A</m:t>
          </m:r>
          <m:r>
            <m:t>L</m:t>
          </m:r>
          <m:r>
            <m:t>I</m:t>
          </m:r>
          <m:r>
            <m:t>D</m:t>
          </m:r>
          <m:r>
            <m:rPr>
              <m:sty m:val="p"/>
            </m:rPr>
            <m:t>.</m:t>
          </m:r>
        </m:oMath>
      </m:oMathPara>
    </w:p>
    <w:p>
      <w:pPr>
        <w:pStyle w:val="FirstParagraph"/>
      </w:pPr>
      <w:r>
        <w:t xml:space="preserve">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bookmarkEnd w:id="104"/>
    <w:bookmarkStart w:id="105" w:name="Xc4f55700a7f258d13fe1dec9692def6c68b650d"/>
    <w:p>
      <w:pPr>
        <w:pStyle w:val="Heading3"/>
      </w:pPr>
      <w:r>
        <w:t xml:space="preserve">6.2.3 Algorithm 2: DID and VC Identity and Authority Verification</w:t>
      </w:r>
    </w:p>
    <w:p>
      <w:pPr>
        <w:pStyle w:val="FirstParagrap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w:t>
      </w:r>
    </w:p>
    <w:p>
      <w:pPr>
        <w:pStyle w:val="BodyText"/>
      </w:pPr>
      <w:r>
        <w:t xml:space="preserve">This mechanism contributes to the trust-oriented framework by converting identity and authority claims into verifiable evidence. However, it does not independently establish collective consent or policy compliance. Those conditions are evaluated by RO3 and RO4.</w:t>
      </w:r>
    </w:p>
    <w:p>
      <w:pPr>
        <w:pStyle w:val="Algorithm"/>
      </w:pPr>
      <w:r>
        <w:rPr>
          <w:b/>
          <w:bCs/>
        </w:rPr>
        <w:t xml:space="preserve">Algorithm 2</w:t>
      </w:r>
      <w:r>
        <w:t xml:space="preserve"> </w:t>
      </w:r>
      <w:r>
        <w:t xml:space="preserve">DID and VC Identity and Authority Verification</w:t>
      </w:r>
      <w:r>
        <w:br/>
      </w:r>
      <w:r>
        <w:rPr>
          <w:b/>
          <w:bCs/>
        </w:rPr>
        <w:t xml:space="preserve">Require:</w:t>
      </w:r>
      <w:r>
        <w:t xml:space="preserve"> </w:t>
      </w:r>
      <w:r>
        <w:t xml:space="preserve">Participant</w:t>
      </w:r>
      <w:r>
        <w:t xml:space="preserve"> </w:t>
      </w:r>
      <m:oMath>
        <m:r>
          <m:t>u</m:t>
        </m:r>
      </m:oMath>
      <w:r>
        <w:t xml:space="preserve">, consent object</w:t>
      </w:r>
      <w:r>
        <w:t xml:space="preserve"> </w:t>
      </w:r>
      <m:oMath>
        <m:r>
          <m:t>C</m:t>
        </m:r>
      </m:oMath>
      <w:r>
        <w:br/>
      </w:r>
      <w:r>
        <w:rPr>
          <w:b/>
          <w:bCs/>
        </w:rPr>
        <w:t xml:space="preserve">Ensure:</w:t>
      </w:r>
      <w:r>
        <w:t xml:space="preserve"> </w:t>
      </w:r>
      <w:r>
        <w:t xml:space="preserve">Verification result</w:t>
      </w:r>
      <w:r>
        <w:t xml:space="preserve"> </w:t>
      </w:r>
      <m:oMath>
        <m:sSub>
          <m:e>
            <m:r>
              <m:t>V</m:t>
            </m:r>
          </m:e>
          <m:sub>
            <m:r>
              <m:t>I</m:t>
            </m:r>
          </m:sub>
        </m:sSub>
        <m:r>
          <m:rPr>
            <m:sty m:val="p"/>
          </m:rPr>
          <m:t>(</m:t>
        </m:r>
        <m:r>
          <m:t>u</m:t>
        </m:r>
        <m:r>
          <m:rPr>
            <m:sty m:val="p"/>
          </m:rPr>
          <m:t>)</m:t>
        </m:r>
      </m:oMath>
      <w:r>
        <w:br/>
      </w:r>
      <w:r>
        <w:t xml:space="preserve">1: Resolve DID of</w:t>
      </w:r>
      <w:r>
        <w:t xml:space="preserve"> </w:t>
      </w:r>
      <m:oMath>
        <m:r>
          <m:t>u</m:t>
        </m:r>
      </m:oMath>
      <w:r>
        <w:br/>
      </w:r>
      <w:r>
        <w:t xml:space="preserve">2:</w:t>
      </w:r>
      <w:r>
        <w:t xml:space="preserve"> </w:t>
      </w:r>
      <w:r>
        <w:rPr>
          <w:b/>
          <w:bCs/>
        </w:rPr>
        <w:t xml:space="preserve">if</w:t>
      </w:r>
      <w:r>
        <w:t xml:space="preserve"> </w:t>
      </w:r>
      <w:r>
        <w:t xml:space="preserve">DID resolution fails</w:t>
      </w:r>
      <w:r>
        <w:t xml:space="preserve"> </w:t>
      </w:r>
      <w:r>
        <w:rPr>
          <w:b/>
          <w:bCs/>
        </w:rPr>
        <w:t xml:space="preserve">then</w:t>
      </w:r>
      <w:r>
        <w:br/>
      </w:r>
      <w:r>
        <w:t xml:space="preserve">    3:</w:t>
      </w:r>
      <w:r>
        <w:t xml:space="preserve"> </w:t>
      </w:r>
      <w:r>
        <w:rPr>
          <w:b/>
          <w:bCs/>
        </w:rPr>
        <w:t xml:space="preserve">return</w:t>
      </w:r>
      <w:r>
        <w:t xml:space="preserve"> </w:t>
      </w:r>
      <w:r>
        <w:t xml:space="preserve">INVALID</w:t>
      </w:r>
      <w:r>
        <w:br/>
      </w:r>
      <w:r>
        <w:t xml:space="preserve">4:</w:t>
      </w:r>
      <w:r>
        <w:t xml:space="preserve"> </w:t>
      </w:r>
      <w:r>
        <w:rPr>
          <w:b/>
          <w:bCs/>
        </w:rPr>
        <w:t xml:space="preserve">end if</w:t>
      </w:r>
      <w:r>
        <w:br/>
      </w:r>
      <w:r>
        <w:t xml:space="preserve">5: Verify DID document and associated identity information</w:t>
      </w:r>
      <w:r>
        <w:br/>
      </w:r>
      <w:r>
        <w:t xml:space="preserve">6:</w:t>
      </w:r>
      <w:r>
        <w:t xml:space="preserve"> </w:t>
      </w:r>
      <w:r>
        <w:rPr>
          <w:b/>
          <w:bCs/>
        </w:rPr>
        <w:t xml:space="preserve">if</w:t>
      </w:r>
      <w:r>
        <w:t xml:space="preserve"> </w:t>
      </w:r>
      <w:r>
        <w:t xml:space="preserve">DID verification fails</w:t>
      </w:r>
      <w:r>
        <w:t xml:space="preserve"> </w:t>
      </w:r>
      <w:r>
        <w:rPr>
          <w:b/>
          <w:bCs/>
        </w:rPr>
        <w:t xml:space="preserve">then</w:t>
      </w:r>
      <w:r>
        <w:br/>
      </w:r>
      <w:r>
        <w:t xml:space="preserve">    7:</w:t>
      </w:r>
      <w:r>
        <w:t xml:space="preserve"> </w:t>
      </w:r>
      <w:r>
        <w:rPr>
          <w:b/>
          <w:bCs/>
        </w:rPr>
        <w:t xml:space="preserve">return</w:t>
      </w:r>
      <w:r>
        <w:t xml:space="preserve"> </w:t>
      </w:r>
      <w:r>
        <w:t xml:space="preserve">INVALID</w:t>
      </w:r>
      <w:r>
        <w:br/>
      </w:r>
      <w:r>
        <w:t xml:space="preserve">8:</w:t>
      </w:r>
      <w:r>
        <w:t xml:space="preserve"> </w:t>
      </w:r>
      <w:r>
        <w:rPr>
          <w:b/>
          <w:bCs/>
        </w:rPr>
        <w:t xml:space="preserve">end if</w:t>
      </w:r>
      <w:r>
        <w:br/>
      </w:r>
      <w:r>
        <w:t xml:space="preserve">9: Retrieve VC associated with</w:t>
      </w:r>
      <w:r>
        <w:t xml:space="preserve"> </w:t>
      </w:r>
      <m:oMath>
        <m:r>
          <m:t>u</m:t>
        </m:r>
      </m:oMath>
      <w:r>
        <w:br/>
      </w:r>
      <w:r>
        <w:t xml:space="preserve">10:</w:t>
      </w:r>
      <w:r>
        <w:t xml:space="preserve"> </w:t>
      </w:r>
      <w:r>
        <w:rPr>
          <w:b/>
          <w:bCs/>
        </w:rPr>
        <w:t xml:space="preserve">if</w:t>
      </w:r>
      <w:r>
        <w:t xml:space="preserve"> </w:t>
      </w:r>
      <w:r>
        <w:t xml:space="preserve">VC retrieval fails</w:t>
      </w:r>
      <w:r>
        <w:t xml:space="preserve"> </w:t>
      </w:r>
      <w:r>
        <w:rPr>
          <w:b/>
          <w:bCs/>
        </w:rPr>
        <w:t xml:space="preserve">then</w:t>
      </w:r>
      <w:r>
        <w:br/>
      </w:r>
      <w:r>
        <w:t xml:space="preserve">    11:</w:t>
      </w:r>
      <w:r>
        <w:t xml:space="preserve"> </w:t>
      </w:r>
      <w:r>
        <w:rPr>
          <w:b/>
          <w:bCs/>
        </w:rPr>
        <w:t xml:space="preserve">return</w:t>
      </w:r>
      <w:r>
        <w:t xml:space="preserve"> </w:t>
      </w:r>
      <w:r>
        <w:t xml:space="preserve">INVALID</w:t>
      </w:r>
      <w:r>
        <w:br/>
      </w:r>
      <w:r>
        <w:t xml:space="preserve">12:</w:t>
      </w:r>
      <w:r>
        <w:t xml:space="preserve"> </w:t>
      </w:r>
      <w:r>
        <w:rPr>
          <w:b/>
          <w:bCs/>
        </w:rPr>
        <w:t xml:space="preserve">end if</w:t>
      </w:r>
      <w:r>
        <w:br/>
      </w:r>
      <w:r>
        <w:t xml:space="preserve">13: Verify VC signature, issuer, subject, and validity</w:t>
      </w:r>
      <w:r>
        <w:br/>
      </w:r>
      <w:r>
        <w:t xml:space="preserve">14:</w:t>
      </w:r>
      <w:r>
        <w:t xml:space="preserve"> </w:t>
      </w:r>
      <w:r>
        <w:rPr>
          <w:b/>
          <w:bCs/>
        </w:rPr>
        <w:t xml:space="preserve">if</w:t>
      </w:r>
      <w:r>
        <w:t xml:space="preserve"> </w:t>
      </w:r>
      <w:r>
        <w:t xml:space="preserve">VC verification fails</w:t>
      </w:r>
      <w:r>
        <w:t xml:space="preserve"> </w:t>
      </w:r>
      <w:r>
        <w:rPr>
          <w:b/>
          <w:bCs/>
        </w:rPr>
        <w:t xml:space="preserve">then</w:t>
      </w:r>
      <w:r>
        <w:br/>
      </w:r>
      <w:r>
        <w:t xml:space="preserve">    15:</w:t>
      </w:r>
      <w:r>
        <w:t xml:space="preserve"> </w:t>
      </w:r>
      <w:r>
        <w:rPr>
          <w:b/>
          <w:bCs/>
        </w:rPr>
        <w:t xml:space="preserve">return</w:t>
      </w:r>
      <w:r>
        <w:t xml:space="preserve"> </w:t>
      </w:r>
      <w:r>
        <w:t xml:space="preserve">INVALID</w:t>
      </w:r>
      <w:r>
        <w:br/>
      </w:r>
      <w:r>
        <w:t xml:space="preserve">16:</w:t>
      </w:r>
      <w:r>
        <w:t xml:space="preserve"> </w:t>
      </w:r>
      <w:r>
        <w:rPr>
          <w:b/>
          <w:bCs/>
        </w:rPr>
        <w:t xml:space="preserve">end if</w:t>
      </w:r>
      <w:r>
        <w:br/>
      </w:r>
      <w:r>
        <w:t xml:space="preserve">17: Extract role and authority claims from VC</w:t>
      </w:r>
      <w:r>
        <w:br/>
      </w:r>
      <w:r>
        <w:t xml:space="preserve">18:</w:t>
      </w:r>
      <w:r>
        <w:t xml:space="preserve"> </w:t>
      </w:r>
      <w:r>
        <w:rPr>
          <w:b/>
          <w:bCs/>
        </w:rPr>
        <w:t xml:space="preserve">if</w:t>
      </w:r>
      <w:r>
        <w:t xml:space="preserve"> </w:t>
      </w:r>
      <w:r>
        <w:t xml:space="preserve">claims do not satisfy the authority requirements of</w:t>
      </w:r>
      <w:r>
        <w:t xml:space="preserve"> </w:t>
      </w:r>
      <m:oMath>
        <m:r>
          <m:t>C</m:t>
        </m:r>
      </m:oMath>
      <w:r>
        <w:t xml:space="preserve"> </w:t>
      </w:r>
      <w:r>
        <w:rPr>
          <w:b/>
          <w:bCs/>
        </w:rPr>
        <w:t xml:space="preserve">then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identity and authority verification evidence</w:t>
      </w:r>
      <w:r>
        <w:br/>
      </w:r>
      <w:r>
        <w:t xml:space="preserve">22:</w:t>
      </w:r>
      <w:r>
        <w:t xml:space="preserve"> </w:t>
      </w:r>
      <w:r>
        <w:rPr>
          <w:b/>
          <w:bCs/>
        </w:rPr>
        <w:t xml:space="preserve">return</w:t>
      </w:r>
      <w:r>
        <w:t xml:space="preserve"> </w:t>
      </w:r>
      <w:r>
        <w:t xml:space="preserve">VALID</w:t>
      </w:r>
    </w:p>
    <w:bookmarkEnd w:id="105"/>
    <w:bookmarkEnd w:id="106"/>
    <w:bookmarkStart w:id="113" w:name="X2fe5cbf561c8a3bc135795b66ae3ba1eef8bc71"/>
    <w:p>
      <w:pPr>
        <w:pStyle w:val="Heading2"/>
      </w:pPr>
      <w:r>
        <w:t xml:space="preserve">6.3 Trustworthy Multi-Party Authorisation for RO3</w:t>
      </w:r>
    </w:p>
    <w:p>
      <w:pPr>
        <w:pStyle w:val="FirstParagraph"/>
      </w:pPr>
      <w:r>
        <w:t xml:space="preserve">RO3 addresses SRQ3 by developing a threshold-based multi-party authorisation mechanism. The objective is to ensure that sensitive healthcare data cannot be accessed through unilateral approval when the consent requires participation from multiple independently verified parties.</w:t>
      </w:r>
    </w:p>
    <w:p>
      <w:pPr>
        <w:pStyle w:val="BodyText"/>
      </w:pPr>
      <w:r>
        <w:t xml:space="preserve">Let</w:t>
      </w:r>
      <w:r>
        <w:t xml:space="preserve"> </w:t>
      </w:r>
      <w:r>
        <w:rPr>
          <w:i/>
          <w:iCs/>
        </w:rPr>
        <w:t xml:space="preserve">A</w:t>
      </w:r>
      <w:r>
        <w:rPr>
          <w:vertAlign w:val="subscript"/>
        </w:rPr>
        <w:t xml:space="preserve">v</w:t>
      </w:r>
      <w:r>
        <w:t xml:space="preserve"> </w:t>
      </w:r>
      <w:r>
        <w:t xml:space="preserve">denote the set of valid approvals and let</w:t>
      </w:r>
      <w:r>
        <w:t xml:space="preserve"> </w:t>
      </w:r>
      <w:r>
        <w:rPr>
          <w:i/>
          <w:iCs/>
        </w:rPr>
        <w:t xml:space="preserve">N</w:t>
      </w:r>
      <w:r>
        <w:t xml:space="preserve"> </w:t>
      </w:r>
      <w:r>
        <w:t xml:space="preserve">denote the required authorisation threshold. The threshold condition is given by Eq. (9).</w:t>
      </w:r>
    </w:p>
    <w:p>
      <w:pPr>
        <w:pStyle w:val="BodyText"/>
      </w:pPr>
      <w:r>
        <w:t xml:space="preserve">The threshold mechanism establishes collective authorisation without requiring every possible participant to approve. For example, a consent may require two valid guardian approvals. In this case, one valid approval is insufficient, whereas two valid approvals satisfy the threshold.</w:t>
      </w:r>
    </w:p>
    <w:bookmarkStart w:id="110" w:name="ro3-multi-party-authorisation-workflow"/>
    <w:p>
      <w:pPr>
        <w:pStyle w:val="Heading3"/>
      </w:pPr>
      <w:r>
        <w:t xml:space="preserve">6.3.1 RO3 Multi-Party Authorisation Workflow</w:t>
      </w:r>
    </w:p>
    <w:p>
      <w:pPr>
        <w:pStyle w:val="FirstParagraph"/>
      </w:pPr>
      <w:r>
        <w:t xml:space="preserve">The workflow, shown in Figure 6.3,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w:t>
      </w:r>
    </w:p>
    <w:p>
      <w:pPr>
        <w:pStyle w:val="CaptionedFigure"/>
      </w:pPr>
      <w:r>
        <w:drawing>
          <wp:inline>
            <wp:extent cx="3584448" cy="7671816"/>
            <wp:effectExtent b="0" l="0" r="0" t="0"/>
            <wp:docPr descr="Figure 6.3: RO3 workflow for threshold-based multi-party authorisation" title="" id="108" name="Picture"/>
            <a:graphic>
              <a:graphicData uri="http://schemas.openxmlformats.org/drawingml/2006/picture">
                <pic:pic>
                  <pic:nvPicPr>
                    <pic:cNvPr descr="media_col/fig09.png" id="109" name="Picture"/>
                    <pic:cNvPicPr>
                      <a:picLocks noChangeArrowheads="1" noChangeAspect="1"/>
                    </pic:cNvPicPr>
                  </pic:nvPicPr>
                  <pic:blipFill>
                    <a:blip r:embed="rId107"/>
                    <a:stretch>
                      <a:fillRect/>
                    </a:stretch>
                  </pic:blipFill>
                  <pic:spPr bwMode="auto">
                    <a:xfrm>
                      <a:off x="0" y="0"/>
                      <a:ext cx="3584448" cy="7671816"/>
                    </a:xfrm>
                    <a:prstGeom prst="rect">
                      <a:avLst/>
                    </a:prstGeom>
                    <a:noFill/>
                    <a:ln w="9525">
                      <a:noFill/>
                      <a:headEnd/>
                      <a:tailEnd/>
                    </a:ln>
                  </pic:spPr>
                </pic:pic>
              </a:graphicData>
            </a:graphic>
          </wp:inline>
        </w:drawing>
      </w:r>
    </w:p>
    <w:p>
      <w:pPr>
        <w:pStyle w:val="ImageCaption"/>
      </w:pPr>
      <w:r>
        <w:t xml:space="preserve">Figure 6.3: RO3 workflow for threshold-based multi-party authorisation</w:t>
      </w:r>
    </w:p>
    <w:p>
      <w:pPr>
        <w:pStyle w:val="BodyText"/>
      </w:pPr>
      <w:r>
        <w:t xml:space="preserve">In the HALAH prototype, the Guardian workflow (Figure 7.2, Section 7.3) verifies each guardian’s EIP-712 approval signature, refuses a second approval from the same guardian, adds the guardian DID to the consent’s signature set and displays the approval count against the threshold (e.g., 2/2). When the threshold is reached, a Soulbound Token (SBT) identifier is assigned, a MINT_SBT event is written to the audit log, and the consent is anchored on the Ethereum Sepolia testnet by minting a non-transferable consent token. Four such mints, made with the v2 consent contract, are recorded in Table 7.4; the v3 contract adds on-chain validity checks and ERC-5484 consensual burn [40].</w:t>
      </w:r>
    </w:p>
    <w:p>
      <w:pPr>
        <w:pStyle w:val="BodyText"/>
      </w:pPr>
      <w:r>
        <w:t xml:space="preserve">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bookmarkEnd w:id="110"/>
    <w:bookmarkStart w:id="111" w:name="X9dea25ed2e3c65720ba6349f36c23195c56aab5"/>
    <w:p>
      <w:pPr>
        <w:pStyle w:val="Heading3"/>
      </w:pPr>
      <w:r>
        <w:t xml:space="preserve">6.3.2 Procedure for Threshold-Based Multi-Party Authorisation</w:t>
      </w:r>
    </w:p>
    <w:p>
      <w:pPr>
        <w:pStyle w:val="FirstParagraph"/>
      </w:pPr>
      <w: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w:t>
      </w:r>
    </w:p>
    <w:p>
      <w:pPr>
        <w:pStyle w:val="Compact"/>
        <w:numPr>
          <w:ilvl w:val="0"/>
          <w:numId w:val="1026"/>
        </w:numPr>
      </w:pPr>
      <w:r>
        <w:rPr>
          <w:b/>
          <w:bCs/>
        </w:rPr>
        <w:t xml:space="preserve">Step 1 – Retrieve the Required Participant Set.</w:t>
      </w:r>
    </w:p>
    <w:p>
      <w:pPr>
        <w:pStyle w:val="FirstParagraph"/>
      </w:pPr>
      <w:r>
        <w:t xml:space="preserve">The system first retrieves the required participant set</w:t>
      </w:r>
      <w:r>
        <w:t xml:space="preserve"> </w:t>
      </w:r>
      <w:r>
        <w:rPr>
          <w:i/>
          <w:iCs/>
        </w:rPr>
        <w:t xml:space="preserve">G</w:t>
      </w:r>
      <w:r>
        <w:t xml:space="preserve"> </w:t>
      </w:r>
      <w:r>
        <w:t xml:space="preserve">associated with the consent object</w:t>
      </w:r>
      <w:r>
        <w:t xml:space="preserve"> </w:t>
      </w:r>
      <w:r>
        <w:rPr>
          <w:i/>
          <w:iCs/>
        </w:rPr>
        <w:t xml:space="preserve">C</w:t>
      </w:r>
      <w:r>
        <w:t xml:space="preserve">. The set</w:t>
      </w:r>
      <w:r>
        <w:t xml:space="preserve"> </w:t>
      </w:r>
      <w:r>
        <w:rPr>
          <w:i/>
          <w:iCs/>
        </w:rPr>
        <w:t xml:space="preserve">G</w:t>
      </w:r>
      <w:r>
        <w:t xml:space="preserve"> </w:t>
      </w:r>
      <w:r>
        <w:t xml:space="preserve">defines which participants are eligible to contribute an approval to the authorisation process. Depending on the consent configuration,</w:t>
      </w:r>
      <w:r>
        <w:t xml:space="preserve"> </w:t>
      </w:r>
      <w:r>
        <w:rPr>
          <w:i/>
          <w:iCs/>
        </w:rPr>
        <w:t xml:space="preserve">G</w:t>
      </w:r>
      <w:r>
        <w:t xml:space="preserve"> </w:t>
      </w:r>
      <w:r>
        <w:t xml:space="preserve">may contain healthcare professionals, guardians, institutional representatives, or other authorised parties.</w:t>
      </w:r>
    </w:p>
    <w:p>
      <w:pPr>
        <w:pStyle w:val="Compact"/>
        <w:numPr>
          <w:ilvl w:val="0"/>
          <w:numId w:val="1027"/>
        </w:numPr>
      </w:pPr>
      <w:r>
        <w:rPr>
          <w:b/>
          <w:bCs/>
        </w:rPr>
        <w:t xml:space="preserve">Step 2 – Define the Authorisation Threshold.</w:t>
      </w:r>
    </w:p>
    <w:p>
      <w:pPr>
        <w:pStyle w:val="FirstParagraph"/>
      </w:pPr>
      <w:r>
        <w:t xml:space="preserve">The system obtains the threshold value</w:t>
      </w:r>
      <w:r>
        <w:t xml:space="preserve"> </w:t>
      </w:r>
      <w:r>
        <w:rPr>
          <w:i/>
          <w:iCs/>
        </w:rPr>
        <w:t xml:space="preserve">N</w:t>
      </w:r>
      <w:r>
        <w:t xml:space="preserve">, which specifies the minimum number of valid and distinct approvals required to activate the authorisation. The threshold must satisfy</w:t>
      </w:r>
    </w:p>
    <w:p>
      <w:pPr>
        <w:pStyle w:val="BodyText"/>
      </w:pPr>
      <m:oMathPara>
        <m:oMathParaPr>
          <m:jc m:val="center"/>
        </m:oMathParaPr>
        <m:oMath>
          <m:r>
            <m:t>1</m:t>
          </m:r>
          <m:r>
            <m:rPr>
              <m:sty m:val="p"/>
            </m:rPr>
            <m:t>≤</m:t>
          </m:r>
          <m:r>
            <m:t>N</m:t>
          </m:r>
          <m:r>
            <m:rPr>
              <m:sty m:val="p"/>
            </m:rPr>
            <m:t>≤</m:t>
          </m:r>
          <m:d>
            <m:dPr>
              <m:begChr m:val="|"/>
              <m:sepChr m:val=""/>
              <m:endChr m:val="|"/>
              <m:grow/>
            </m:dPr>
            <m:e>
              <m:r>
                <m:t>G</m:t>
              </m:r>
            </m:e>
          </m:d>
          <m:r>
            <m:rPr>
              <m:sty m:val="p"/>
            </m:rPr>
            <m:t>.</m:t>
          </m:r>
        </m:oMath>
      </m:oMathPara>
    </w:p>
    <w:p>
      <w:pPr>
        <w:pStyle w:val="FirstParagraph"/>
      </w:pPr>
      <w:r>
        <w:t xml:space="preserve">The threshold therefore determines how many eligible participants must independently approve the consent before the authorisation becomes active. In the HALAH prototype,</w:t>
      </w:r>
      <w:r>
        <w:t xml:space="preserve"> </w:t>
      </w:r>
      <m:oMath>
        <m:r>
          <m:t>N</m:t>
        </m:r>
        <m:r>
          <m:rPr>
            <m:sty m:val="p"/>
          </m:rPr>
          <m:t>=</m:t>
        </m:r>
        <m:d>
          <m:dPr>
            <m:begChr m:val="|"/>
            <m:sepChr m:val=""/>
            <m:endChr m:val="|"/>
            <m:grow/>
          </m:dPr>
          <m:e>
            <m:r>
              <m:t>G</m:t>
            </m:r>
          </m:e>
        </m:d>
      </m:oMath>
      <w:r>
        <w:t xml:space="preserve"> </w:t>
      </w:r>
      <w:r>
        <w:t xml:space="preserve">(all designated guardians must approve); configurable k-of-n thresholds are Stage 2 work.</w:t>
      </w:r>
    </w:p>
    <w:p>
      <w:pPr>
        <w:pStyle w:val="Compact"/>
        <w:numPr>
          <w:ilvl w:val="0"/>
          <w:numId w:val="1028"/>
        </w:numPr>
      </w:pPr>
      <w:r>
        <w:rPr>
          <w:b/>
          <w:bCs/>
        </w:rPr>
        <w:t xml:space="preserve">Step 3 – Receive a Participant Approval.</w:t>
      </w:r>
    </w:p>
    <w:p>
      <w:pPr>
        <w:pStyle w:val="FirstParagraph"/>
      </w:pPr>
      <w:r>
        <w:t xml:space="preserve">A participant submits an approval</w:t>
      </w:r>
      <w:r>
        <w:t xml:space="preserve"> </w:t>
      </w:r>
      <w:r>
        <w:rPr>
          <w:i/>
          <w:iCs/>
        </w:rPr>
        <w:t xml:space="preserve">a</w:t>
      </w:r>
      <w:r>
        <w:t xml:space="preserve"> </w:t>
      </w:r>
      <w:r>
        <w:t xml:space="preserve">associated with consent object</w:t>
      </w:r>
      <w:r>
        <w:t xml:space="preserve"> </w:t>
      </w:r>
      <w:r>
        <w:rPr>
          <w:i/>
          <w:iCs/>
        </w:rPr>
        <w:t xml:space="preserve">C</w:t>
      </w:r>
      <w:r>
        <w:t xml:space="preserve">. The approval is treated as a candidate authorisation contribution and is not considered valid until the identity and authority of the submitting participant have been verified.</w:t>
      </w:r>
    </w:p>
    <w:p>
      <w:pPr>
        <w:pStyle w:val="Compact"/>
        <w:numPr>
          <w:ilvl w:val="0"/>
          <w:numId w:val="1029"/>
        </w:numPr>
      </w:pPr>
      <w:r>
        <w:rPr>
          <w:b/>
          <w:bCs/>
        </w:rPr>
        <w:t xml:space="preserve">Step 4 – Verify the Identity and Authority of the Approving Participant.</w:t>
      </w:r>
    </w:p>
    <w:p>
      <w:pPr>
        <w:pStyle w:val="FirstParagraph"/>
      </w:pPr>
      <w:r>
        <w:t xml:space="preserve">The system verifies the identity and authority of the participant submitting</w:t>
      </w:r>
      <w:r>
        <w:t xml:space="preserve"> </w:t>
      </w:r>
      <w:r>
        <w:rPr>
          <w:i/>
          <w:iCs/>
        </w:rPr>
        <w:t xml:space="preserve">a</w:t>
      </w:r>
      <w:r>
        <w:t xml:space="preserve">. The verification process may invoke the DID and VC verification procedure described in Algorithm 2. The system therefore determines whether the participant possesses a valid identity and whether the associated authority claims satisfy the requirements of consent object</w:t>
      </w:r>
      <w:r>
        <w:t xml:space="preserve"> </w:t>
      </w:r>
      <w:r>
        <w:rPr>
          <w:i/>
          <w:iCs/>
        </w:rPr>
        <w:t xml:space="preserve">C</w:t>
      </w:r>
      <w:r>
        <w:t xml:space="preserve">.</w:t>
      </w:r>
    </w:p>
    <w:p>
      <w:pPr>
        <w:pStyle w:val="BodyText"/>
      </w:pPr>
      <w:r>
        <w:t xml:space="preserve">If the verification fails, the approval is classified as invalid. The system records the invalid approval event and returns</w:t>
      </w:r>
      <w:r>
        <w:t xml:space="preserve"> </w:t>
      </w:r>
      <w:r>
        <w:rPr>
          <w:i/>
          <w:iCs/>
        </w:rPr>
        <w:t xml:space="preserve">DENY</w:t>
      </w:r>
      <w:r>
        <w:t xml:space="preserve"> </w:t>
      </w:r>
      <w:r>
        <w:t xml:space="preserve">for that approval attempt.</w:t>
      </w:r>
    </w:p>
    <w:p>
      <w:pPr>
        <w:pStyle w:val="Compact"/>
        <w:numPr>
          <w:ilvl w:val="0"/>
          <w:numId w:val="1030"/>
        </w:numPr>
      </w:pPr>
      <w:r>
        <w:rPr>
          <w:b/>
          <w:bCs/>
        </w:rPr>
        <w:t xml:space="preserve">Step 5 – Verify Participant Eligibility.</w:t>
      </w:r>
    </w:p>
    <w:p>
      <w:pPr>
        <w:pStyle w:val="FirstParagraph"/>
      </w:pPr>
      <w:r>
        <w:t xml:space="preserve">If the participant’s identity and authority are successfully verified, the system determines whether the participant belongs to the required participant set</w:t>
      </w:r>
      <w:r>
        <w:t xml:space="preserve"> </w:t>
      </w:r>
      <w:r>
        <w:rPr>
          <w:i/>
          <w:iCs/>
        </w:rPr>
        <w:t xml:space="preserve">G</w:t>
      </w:r>
      <w:r>
        <w:t xml:space="preserve">. Formally,</w:t>
      </w:r>
    </w:p>
    <w:p>
      <w:pPr>
        <w:pStyle w:val="BodyText"/>
      </w:pPr>
      <m:oMathPara>
        <m:oMathParaPr>
          <m:jc m:val="center"/>
        </m:oMathParaPr>
        <m:oMath>
          <m:r>
            <m:t>u</m:t>
          </m:r>
          <m:r>
            <m:rPr>
              <m:sty m:val="p"/>
            </m:rPr>
            <m:t>∈</m:t>
          </m:r>
          <m:r>
            <m:t>G</m:t>
          </m:r>
          <m:r>
            <m:rPr>
              <m:sty m:val="p"/>
            </m:rPr>
            <m:t>.</m:t>
          </m:r>
        </m:oMath>
      </m:oMathPara>
    </w:p>
    <w:p>
      <w:pPr>
        <w:pStyle w:val="FirstParagraph"/>
      </w:pPr>
      <w:r>
        <w:t xml:space="preserve">If the participant is not a member of</w:t>
      </w:r>
      <w:r>
        <w:t xml:space="preserve"> </w:t>
      </w:r>
      <w:r>
        <w:rPr>
          <w:i/>
          <w:iCs/>
        </w:rPr>
        <w:t xml:space="preserve">G</w:t>
      </w:r>
      <w:r>
        <w:t xml:space="preserve">, the approval cannot contribute to the threshold. The system records the event as an unauthorised approval attempt and returns</w:t>
      </w:r>
      <w:r>
        <w:t xml:space="preserve"> </w:t>
      </w:r>
      <w:r>
        <w:rPr>
          <w:i/>
          <w:iCs/>
        </w:rPr>
        <w:t xml:space="preserve">DENY</w:t>
      </w:r>
      <w:r>
        <w:t xml:space="preserve">.</w:t>
      </w:r>
    </w:p>
    <w:p>
      <w:pPr>
        <w:pStyle w:val="Compact"/>
        <w:numPr>
          <w:ilvl w:val="0"/>
          <w:numId w:val="1031"/>
        </w:numPr>
      </w:pPr>
      <w:r>
        <w:rPr>
          <w:b/>
          <w:bCs/>
        </w:rPr>
        <w:t xml:space="preserve">Step 6 – Check for Duplicate Approval.</w:t>
      </w:r>
    </w:p>
    <w:p>
      <w:pPr>
        <w:pStyle w:val="FirstParagraph"/>
      </w:pPr>
      <w:r>
        <w:t xml:space="preserve">The system checks whether the participant has already approved consent object</w:t>
      </w:r>
      <w:r>
        <w:t xml:space="preserve"> </w:t>
      </w:r>
      <w:r>
        <w:rPr>
          <w:i/>
          <w:iCs/>
        </w:rPr>
        <w:t xml:space="preserve">C</w:t>
      </w:r>
      <w:r>
        <w:t xml:space="preserve">. This prevents a single participant from submitting multiple approvals and artificially satisfying the threshold.</w:t>
      </w:r>
    </w:p>
    <w:p>
      <w:pPr>
        <w:pStyle w:val="BodyText"/>
      </w:pPr>
      <w:r>
        <w:t xml:space="preserve">Formally, for the valid approval set</w:t>
      </w:r>
      <w:r>
        <w:t xml:space="preserve"> </w:t>
      </w:r>
      <w:r>
        <w:rPr>
          <w:i/>
          <w:iCs/>
        </w:rPr>
        <w:t xml:space="preserve">A</w:t>
      </w:r>
      <w:r>
        <w:rPr>
          <w:vertAlign w:val="subscript"/>
        </w:rPr>
        <w:t xml:space="preserve">v</w:t>
      </w:r>
      <w:r>
        <w:t xml:space="preserve"> </w:t>
      </w:r>
      <w:r>
        <w:t xml:space="preserve">that</w:t>
      </w:r>
    </w:p>
    <w:p>
      <w:pPr>
        <w:pStyle w:val="BodyText"/>
      </w:pPr>
      <m:oMathPara>
        <m:oMathParaPr>
          <m:jc m:val="center"/>
        </m:oMathParaPr>
        <m:oMath>
          <m:r>
            <m:t>u</m:t>
          </m:r>
          <m:r>
            <m:rPr>
              <m:sty m:val="p"/>
            </m:rPr>
            <m:t>∉</m:t>
          </m:r>
          <m:sSub>
            <m:e>
              <m:r>
                <m:t>A</m:t>
              </m:r>
            </m:e>
            <m:sub>
              <m:r>
                <m:t>v</m:t>
              </m:r>
            </m:sub>
          </m:sSub>
          <m:r>
            <m:rPr>
              <m:sty m:val="p"/>
            </m:rPr>
            <m:t>.</m:t>
          </m:r>
        </m:oMath>
      </m:oMathPara>
    </w:p>
    <w:p>
      <w:pPr>
        <w:pStyle w:val="FirstParagraph"/>
      </w:pPr>
      <w:r>
        <w:t xml:space="preserve">If the participant has already submitted a valid approval, the system records a duplicate approval event and rejects the additional approval.</w:t>
      </w:r>
    </w:p>
    <w:p>
      <w:pPr>
        <w:pStyle w:val="Compact"/>
        <w:numPr>
          <w:ilvl w:val="0"/>
          <w:numId w:val="1032"/>
        </w:numPr>
      </w:pPr>
      <w:r>
        <w:rPr>
          <w:b/>
          <w:bCs/>
        </w:rPr>
        <w:t xml:space="preserve">Step 7 – Record the Valid Approval.</w:t>
      </w:r>
    </w:p>
    <w:p>
      <w:pPr>
        <w:pStyle w:val="FirstParagraph"/>
      </w:pPr>
      <w:r>
        <w:t xml:space="preserve">If the participant is both authorised and eligible, and no previous approval from that participant exists, the system records the approval</w:t>
      </w:r>
      <w:r>
        <w:t xml:space="preserve"> </w:t>
      </w:r>
      <w:r>
        <w:rPr>
          <w:i/>
          <w:iCs/>
        </w:rPr>
        <w:t xml:space="preserve">a</w:t>
      </w:r>
      <w:r>
        <w:t xml:space="preserve"> </w:t>
      </w:r>
      <w:r>
        <w:t xml:space="preserve">as valid. The corresponding participant is added to the valid approval set</w:t>
      </w:r>
      <w:r>
        <w:t xml:space="preserve"> </w:t>
      </w:r>
      <w:r>
        <w:rPr>
          <w:i/>
          <w:iCs/>
        </w:rPr>
        <w:t xml:space="preserve">A</w:t>
      </w:r>
      <w:r>
        <w:rPr>
          <w:vertAlign w:val="subscript"/>
        </w:rPr>
        <w:t xml:space="preserve">v</w:t>
      </w:r>
      <w:r>
        <w:t xml:space="preserve">. The approval set is therefore updated according to</w:t>
      </w:r>
    </w:p>
    <w:p>
      <w:pPr>
        <w:pStyle w:val="BodyText"/>
      </w:pPr>
      <m:oMathPara>
        <m:oMathParaPr>
          <m:jc m:val="center"/>
        </m:oMathParaPr>
        <m:oMath>
          <m:sSub>
            <m:e>
              <m:r>
                <m:t>A</m:t>
              </m:r>
            </m:e>
            <m:sub>
              <m:r>
                <m:t>v</m:t>
              </m:r>
            </m:sub>
          </m:sSub>
          <m:r>
            <m:rPr>
              <m:sty m:val="p"/>
            </m:rPr>
            <m:t>←</m:t>
          </m:r>
          <m:sSub>
            <m:e>
              <m:r>
                <m:t>A</m:t>
              </m:r>
            </m:e>
            <m:sub>
              <m:r>
                <m:t>v</m:t>
              </m:r>
            </m:sub>
          </m:sSub>
          <m:r>
            <m:rPr>
              <m:sty m:val="p"/>
            </m:rPr>
            <m:t>∪</m:t>
          </m:r>
          <m:r>
            <m:rPr>
              <m:sty m:val="p"/>
            </m:rPr>
            <m:t>{</m:t>
          </m:r>
          <m:r>
            <m:t>a</m:t>
          </m:r>
          <m:r>
            <m:rPr>
              <m:sty m:val="p"/>
            </m:rPr>
            <m:t>}</m:t>
          </m:r>
          <m:r>
            <m:rPr>
              <m:sty m:val="p"/>
            </m:rPr>
            <m:t>.</m:t>
          </m:r>
        </m:oMath>
      </m:oMathPara>
    </w:p>
    <w:p>
      <w:pPr>
        <w:pStyle w:val="FirstParagraph"/>
      </w:pPr>
      <w:r>
        <w:t xml:space="preserve">Each valid approval becomes an independent piece of authorisation evidence associated with consent object</w:t>
      </w:r>
      <w:r>
        <w:t xml:space="preserve"> </w:t>
      </w:r>
      <w:r>
        <w:rPr>
          <w:i/>
          <w:iCs/>
        </w:rPr>
        <w:t xml:space="preserve">C</w:t>
      </w:r>
      <w:r>
        <w:t xml:space="preserve">.</w:t>
      </w:r>
    </w:p>
    <w:p>
      <w:pPr>
        <w:pStyle w:val="Compact"/>
        <w:numPr>
          <w:ilvl w:val="0"/>
          <w:numId w:val="1033"/>
        </w:numPr>
      </w:pPr>
      <w:r>
        <w:rPr>
          <w:b/>
          <w:bCs/>
        </w:rPr>
        <w:t xml:space="preserve">Step 8 – Evaluate the Approval Threshold.</w:t>
      </w:r>
    </w:p>
    <w:p>
      <w:pPr>
        <w:pStyle w:val="FirstParagraph"/>
      </w:pPr>
      <w:r>
        <w:t xml:space="preserve">The system evaluates the number of valid approvals currently associated with the consent:</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This comparison determines whether the minimum number of required participants has been reached. Importantly, only approvals that have passed identity, authority, membership, and duplicate checks are included in</w:t>
      </w:r>
      <w:r>
        <w:t xml:space="preserve"> </w:t>
      </w:r>
      <w:r>
        <w:rPr>
          <w:i/>
          <w:iCs/>
        </w:rPr>
        <w:t xml:space="preserve">A</w:t>
      </w:r>
      <w:r>
        <w:rPr>
          <w:vertAlign w:val="subscript"/>
        </w:rPr>
        <w:t xml:space="preserve">v</w:t>
      </w:r>
      <w:r>
        <w:t xml:space="preserve">.</w:t>
      </w:r>
    </w:p>
    <w:p>
      <w:pPr>
        <w:pStyle w:val="Compact"/>
        <w:numPr>
          <w:ilvl w:val="0"/>
          <w:numId w:val="1034"/>
        </w:numPr>
      </w:pPr>
      <w:r>
        <w:rPr>
          <w:b/>
          <w:bCs/>
        </w:rPr>
        <w:t xml:space="preserve">Step 9 – Activate the Authorisation if the Threshold Is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required threshold has been satisfied. The system activates the authorisation associated with consent object</w:t>
      </w:r>
      <w:r>
        <w:t xml:space="preserve"> </w:t>
      </w:r>
      <w:r>
        <w:rPr>
          <w:i/>
          <w:iCs/>
        </w:rPr>
        <w:t xml:space="preserve">C</w:t>
      </w:r>
      <w:r>
        <w:t xml:space="preserve">. The activation indicates that the consent has obtained sufficient valid multi-party approval to proceed to the subsequent access-control or data-access stage.</w:t>
      </w:r>
    </w:p>
    <w:p>
      <w:pPr>
        <w:pStyle w:val="Compact"/>
        <w:numPr>
          <w:ilvl w:val="0"/>
          <w:numId w:val="1035"/>
        </w:numPr>
      </w:pPr>
      <w:r>
        <w:rPr>
          <w:b/>
          <w:bCs/>
        </w:rPr>
        <w:t xml:space="preserve">Step 10 – Generate Activation Evidence.</w:t>
      </w:r>
    </w:p>
    <w:p>
      <w:pPr>
        <w:pStyle w:val="FirstParagraph"/>
      </w:pPr>
      <w:r>
        <w:t xml:space="preserve">Following successful threshold satisfaction, the system generates activation or token evidence associated with the authorisation decision. The evidence may include the consent identifier, threshold value</w:t>
      </w:r>
      <w:r>
        <w:t xml:space="preserve"> </w:t>
      </w:r>
      <w:r>
        <w:rPr>
          <w:i/>
          <w:iCs/>
        </w:rPr>
        <w:t xml:space="preserve">N</w:t>
      </w:r>
      <w:r>
        <w:t xml:space="preserve">, identities of the approving participants, approval timestamps, and the resulting authorisation state.</w:t>
      </w:r>
    </w:p>
    <w:p>
      <w:pPr>
        <w:pStyle w:val="BodyText"/>
      </w:pPr>
      <w:r>
        <w:t xml:space="preserve">This evidence provides a verifiable representation of how the authorisation was activated and which participants contributed to the decision.</w:t>
      </w:r>
    </w:p>
    <w:p>
      <w:pPr>
        <w:pStyle w:val="Compact"/>
        <w:numPr>
          <w:ilvl w:val="0"/>
          <w:numId w:val="1036"/>
        </w:numPr>
      </w:pPr>
      <w:r>
        <w:rPr>
          <w:b/>
          <w:bCs/>
        </w:rPr>
        <w:t xml:space="preserve">Step 11 – Record the Threshold-Satisfied Event.</w:t>
      </w:r>
    </w:p>
    <w:p>
      <w:pPr>
        <w:pStyle w:val="FirstParagraph"/>
      </w:pPr>
      <w:r>
        <w:t xml:space="preserve">The system records a threshold-satisfied event in the audit infrastructure. This event provides an immutable or otherwise tamper-evident record of the transition from a pending consent state to an active authorisation state.</w:t>
      </w:r>
    </w:p>
    <w:p>
      <w:pPr>
        <w:pStyle w:val="Compact"/>
        <w:numPr>
          <w:ilvl w:val="0"/>
          <w:numId w:val="1037"/>
        </w:numPr>
      </w:pPr>
      <w:r>
        <w:rPr>
          <w:b/>
          <w:bCs/>
        </w:rPr>
        <w:t xml:space="preserve">Step 12 – Maintain Pending State if the Threshold Is Not Satisfied.</w:t>
      </w:r>
    </w:p>
    <w:p>
      <w:pPr>
        <w:pStyle w:val="FirstParagraph"/>
      </w:pPr>
      <w:r>
        <w:t xml:space="preserve">If</w:t>
      </w:r>
    </w:p>
    <w:p>
      <w:pPr>
        <w:pStyle w:val="BodyText"/>
      </w:pPr>
      <m:oMathPara>
        <m:oMathParaPr>
          <m:jc m:val="center"/>
        </m:oMathParaPr>
        <m:oMath>
          <m:d>
            <m:dPr>
              <m:begChr m:val="|"/>
              <m:sepChr m:val=""/>
              <m:endChr m:val="|"/>
              <m:grow/>
            </m:dPr>
            <m:e>
              <m:sSub>
                <m:e>
                  <m:r>
                    <m:t>A</m:t>
                  </m:r>
                </m:e>
                <m:sub>
                  <m:r>
                    <m:t>v</m:t>
                  </m:r>
                </m:sub>
              </m:sSub>
            </m:e>
          </m:d>
          <m:r>
            <m:rPr>
              <m:sty m:val="p"/>
            </m:rPr>
            <m:t>&lt;</m:t>
          </m:r>
          <m:r>
            <m:t>N</m:t>
          </m:r>
          <m:r>
            <m:rPr>
              <m:sty m:val="p"/>
            </m:rPr>
            <m:t>,</m:t>
          </m:r>
        </m:oMath>
      </m:oMathPara>
    </w:p>
    <w:p>
      <w:pPr>
        <w:pStyle w:val="FirstParagraph"/>
      </w:pPr>
      <w:r>
        <w:t xml:space="preserve">the consent does not yet satisfy the required multi-party authorisation condition. The system therefore maintains the consent in a</w:t>
      </w:r>
      <w:r>
        <w:t xml:space="preserve"> </w:t>
      </w:r>
      <w:r>
        <w:rPr>
          <w:i/>
          <w:iCs/>
        </w:rPr>
        <w:t xml:space="preserve">PENDING</w:t>
      </w:r>
      <w:r>
        <w:t xml:space="preserve"> </w:t>
      </w:r>
      <w:r>
        <w:t xml:space="preserve">state rather than activating access.</w:t>
      </w:r>
    </w:p>
    <w:p>
      <w:pPr>
        <w:pStyle w:val="BodyText"/>
      </w:pPr>
      <w:r>
        <w:t xml:space="preserve">The system records a threshold-pending event so that the current authorisation state and the remaining approval requirement can be reconstructed during subsequent verification or audit.</w:t>
      </w:r>
    </w:p>
    <w:p>
      <w:pPr>
        <w:pStyle w:val="Compact"/>
        <w:numPr>
          <w:ilvl w:val="0"/>
          <w:numId w:val="1038"/>
        </w:numPr>
      </w:pPr>
      <w:r>
        <w:rPr>
          <w:b/>
          <w:bCs/>
        </w:rPr>
        <w:t xml:space="preserve">Step 13 – Return the Authorisation Result.</w:t>
      </w:r>
    </w:p>
    <w:p>
      <w:pPr>
        <w:pStyle w:val="FirstParagraph"/>
      </w:pPr>
      <w:r>
        <w:t xml:space="preserve">The final result is determined according to the threshold condition:</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A</m:t>
                    </m:r>
                    <m:r>
                      <m:t>L</m:t>
                    </m:r>
                    <m:r>
                      <m:t>L</m:t>
                    </m:r>
                    <m:r>
                      <m:t>O</m:t>
                    </m:r>
                    <m:r>
                      <m:t>W</m:t>
                    </m:r>
                    <m:r>
                      <m:rPr>
                        <m:sty m:val="p"/>
                      </m:rPr>
                      <m:t>,</m:t>
                    </m:r>
                  </m:e>
                  <m:e>
                    <m:d>
                      <m:dPr>
                        <m:begChr m:val="|"/>
                        <m:sepChr m:val=""/>
                        <m:endChr m:val="|"/>
                        <m:grow/>
                      </m:dPr>
                      <m:e>
                        <m:sSub>
                          <m:e>
                            <m:r>
                              <m:t>A</m:t>
                            </m:r>
                          </m:e>
                          <m:sub>
                            <m:r>
                              <m:t>v</m:t>
                            </m:r>
                          </m:sub>
                        </m:sSub>
                      </m:e>
                    </m:d>
                    <m:r>
                      <m:rPr>
                        <m:sty m:val="p"/>
                      </m:rPr>
                      <m:t>≥</m:t>
                    </m:r>
                    <m:r>
                      <m:t>N</m:t>
                    </m:r>
                    <m:r>
                      <m:rPr>
                        <m:sty m:val="p"/>
                      </m:rPr>
                      <m:t>,</m:t>
                    </m:r>
                  </m:e>
                </m:mr>
                <m:mr>
                  <m:e>
                    <m:r>
                      <m:t>P</m:t>
                    </m:r>
                    <m:r>
                      <m:t>E</m:t>
                    </m:r>
                    <m:r>
                      <m:t>N</m:t>
                    </m:r>
                    <m:r>
                      <m:t>D</m:t>
                    </m:r>
                    <m:r>
                      <m:t>I</m:t>
                    </m:r>
                    <m:r>
                      <m:t>N</m:t>
                    </m:r>
                    <m:r>
                      <m:t>G</m:t>
                    </m:r>
                    <m:r>
                      <m:rPr>
                        <m:sty m:val="p"/>
                      </m:rPr>
                      <m:t>,</m:t>
                    </m:r>
                  </m:e>
                  <m:e>
                    <m:d>
                      <m:dPr>
                        <m:begChr m:val="|"/>
                        <m:sepChr m:val=""/>
                        <m:endChr m:val="|"/>
                        <m:grow/>
                      </m:dPr>
                      <m:e>
                        <m:sSub>
                          <m:e>
                            <m:r>
                              <m:t>A</m:t>
                            </m:r>
                          </m:e>
                          <m:sub>
                            <m:r>
                              <m:t>v</m:t>
                            </m:r>
                          </m:sub>
                        </m:sSub>
                      </m:e>
                    </m:d>
                    <m:r>
                      <m:rPr>
                        <m:sty m:val="p"/>
                      </m:rPr>
                      <m:t>&lt;</m:t>
                    </m:r>
                    <m:r>
                      <m:t>N</m:t>
                    </m:r>
                    <m:r>
                      <m:rPr>
                        <m:sty m:val="p"/>
                      </m:rPr>
                      <m:t>.</m:t>
                    </m:r>
                  </m:e>
                </m:mr>
              </m:m>
            </m:e>
          </m:d>
        </m:oMath>
      </m:oMathPara>
    </w:p>
    <w:p>
      <w:pPr>
        <w:pStyle w:val="FirstParagraph"/>
      </w:pPr>
      <w:r>
        <w:t xml:space="preserve">Invalid, unauthorised, or duplicate approval attempts are rejected and do not contribute to the valid approval count.</w:t>
      </w:r>
    </w:p>
    <w:p>
      <w:pPr>
        <w:pStyle w:val="BodyText"/>
      </w:pPr>
      <w:r>
        <w:t xml:space="preserve">The overall procedure can therefore be represented as:</w:t>
      </w:r>
    </w:p>
    <w:p>
      <w:pPr>
        <w:pStyle w:val="BodyText"/>
      </w:pPr>
      <m:oMathPara>
        <m:oMathParaPr>
          <m:jc m:val="center"/>
        </m:oMathParaPr>
        <m:oMath>
          <m:m>
            <m:mPr>
              <m:baseJc m:val="center"/>
              <m:plcHide m:val="on"/>
              <m:mcs>
                <m:mc>
                  <m:mcPr>
                    <m:count m:val="1"/>
                    <m:mcJc m:val="left"/>
                  </m:mcPr>
                </m:mc>
              </m:mcs>
            </m:mPr>
            <m:mr>
              <m:e>
                <m:r>
                  <m:t>G</m:t>
                </m:r>
                <m:r>
                  <m:rPr>
                    <m:sty m:val="p"/>
                  </m:rPr>
                  <m:t>→</m:t>
                </m:r>
                <m:r>
                  <m:t>N</m:t>
                </m:r>
                <m:r>
                  <m:rPr>
                    <m:sty m:val="p"/>
                  </m:rPr>
                  <m:t>→</m:t>
                </m:r>
                <m:r>
                  <m:t>a</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E</m:t>
                </m:r>
                <m:r>
                  <m:t>l</m:t>
                </m:r>
                <m:r>
                  <m:t>i</m:t>
                </m:r>
                <m:r>
                  <m:t>g</m:t>
                </m:r>
                <m:r>
                  <m:t>i</m:t>
                </m:r>
                <m:r>
                  <m:t>b</m:t>
                </m:r>
                <m:r>
                  <m:t>i</m:t>
                </m:r>
                <m:r>
                  <m:t>l</m:t>
                </m:r>
                <m:r>
                  <m:t>i</m:t>
                </m:r>
                <m:r>
                  <m:t>t</m:t>
                </m:r>
                <m:r>
                  <m:t>y</m:t>
                </m:r>
              </m:e>
            </m:mr>
            <m:mr>
              <m:e>
                <m:r>
                  <m:rPr>
                    <m:sty m:val="p"/>
                  </m:rPr>
                  <m:t>→</m:t>
                </m:r>
                <m:r>
                  <m:t>D</m:t>
                </m:r>
                <m:r>
                  <m:t>u</m:t>
                </m:r>
                <m:r>
                  <m:t>p</m:t>
                </m:r>
                <m:r>
                  <m:t>l</m:t>
                </m:r>
                <m:r>
                  <m:t>i</m:t>
                </m:r>
                <m:r>
                  <m:t>c</m:t>
                </m:r>
                <m:r>
                  <m:t>a</m:t>
                </m:r>
                <m:r>
                  <m:t>t</m:t>
                </m:r>
                <m:r>
                  <m:t>e</m:t>
                </m:r>
                <m:r>
                  <m:t> </m:t>
                </m:r>
                <m:r>
                  <m:t>C</m:t>
                </m:r>
                <m:r>
                  <m:t>h</m:t>
                </m:r>
                <m:r>
                  <m:t>e</m:t>
                </m:r>
                <m:r>
                  <m:t>c</m:t>
                </m:r>
                <m:r>
                  <m:t>k</m:t>
                </m:r>
                <m:r>
                  <m:rPr>
                    <m:sty m:val="p"/>
                  </m:rPr>
                  <m:t>→</m:t>
                </m:r>
                <m:sSub>
                  <m:e>
                    <m:r>
                      <m:t>A</m:t>
                    </m:r>
                  </m:e>
                  <m:sub>
                    <m:r>
                      <m:t>v</m:t>
                    </m:r>
                  </m:sub>
                </m:sSub>
                <m:r>
                  <m:rPr>
                    <m:sty m:val="p"/>
                  </m:rPr>
                  <m:t>→</m:t>
                </m:r>
                <m:d>
                  <m:dPr>
                    <m:begChr m:val="|"/>
                    <m:sepChr m:val=""/>
                    <m:endChr m:val="|"/>
                    <m:grow/>
                  </m:dPr>
                  <m:e>
                    <m:sSub>
                      <m:e>
                        <m:r>
                          <m:t>A</m:t>
                        </m:r>
                      </m:e>
                      <m:sub>
                        <m:r>
                          <m:t>v</m:t>
                        </m:r>
                      </m:sub>
                    </m:sSub>
                  </m:e>
                </m:d>
                <m:r>
                  <m:rPr>
                    <m:sty m:val="p"/>
                  </m:rPr>
                  <m:t>≥</m:t>
                </m:r>
                <m:r>
                  <m:t>N</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P</m:t>
                          </m:r>
                          <m:r>
                            <m:t>E</m:t>
                          </m:r>
                          <m:r>
                            <m:t>N</m:t>
                          </m:r>
                          <m:r>
                            <m:t>D</m:t>
                          </m:r>
                          <m:r>
                            <m:t>I</m:t>
                          </m:r>
                          <m:r>
                            <m:t>N</m:t>
                          </m:r>
                          <m:r>
                            <m:t>G</m:t>
                          </m:r>
                        </m:e>
                      </m:mr>
                    </m:m>
                  </m:e>
                </m:d>
              </m:e>
            </m:mr>
          </m:m>
          <m:r>
            <m:t>  </m:t>
          </m:r>
          <m:r>
            <m:t>  </m:t>
          </m:r>
          <m:r>
            <m:rPr>
              <m:sty m:val="p"/>
            </m:rPr>
            <m:t>(</m:t>
          </m:r>
          <m:r>
            <m:t>29</m:t>
          </m:r>
          <m:r>
            <m:rPr>
              <m:sty m:val="p"/>
            </m:rPr>
            <m:t>)</m:t>
          </m:r>
        </m:oMath>
      </m:oMathPara>
    </w:p>
    <w:p>
      <w:pPr>
        <w:pStyle w:val="FirstParagraph"/>
      </w:pPr>
      <w:r>
        <w:t xml:space="preserve">The threshold condition can be expressed more explicitly as</w:t>
      </w:r>
    </w:p>
    <w:p>
      <w:pPr>
        <w:pStyle w:val="BodyText"/>
      </w:pPr>
      <m:oMathPara>
        <m:oMathParaPr>
          <m:jc m:val="center"/>
        </m:oMathParaPr>
        <m:oMath>
          <m:m>
            <m:mPr>
              <m:baseJc m:val="center"/>
              <m:plcHide m:val="on"/>
              <m:mcs>
                <m:mc>
                  <m:mcPr>
                    <m:count m:val="1"/>
                    <m:mcJc m:val="left"/>
                  </m:mcPr>
                </m:mc>
              </m:mcs>
            </m:mPr>
            <m:mr>
              <m:e>
                <m:r>
                  <m:rPr>
                    <m:sty m:val="p"/>
                  </m:rPr>
                  <m:t>[</m:t>
                </m:r>
                <m:r>
                  <m:rPr>
                    <m:sty m:val="p"/>
                  </m:rPr>
                  <m:t>∀</m:t>
                </m:r>
                <m:sSub>
                  <m:e>
                    <m:r>
                      <m:t>u</m:t>
                    </m:r>
                  </m:e>
                  <m:sub>
                    <m:r>
                      <m:t>i</m:t>
                    </m:r>
                  </m:sub>
                </m:sSub>
                <m:r>
                  <m:rPr>
                    <m:sty m:val="p"/>
                  </m:rPr>
                  <m:t>∈</m:t>
                </m:r>
                <m:sSub>
                  <m:e>
                    <m:r>
                      <m:t>A</m:t>
                    </m:r>
                  </m:e>
                  <m:sub>
                    <m:r>
                      <m:t>v</m:t>
                    </m:r>
                  </m:sub>
                </m:sSub>
                <m:r>
                  <m:rPr>
                    <m:sty m:val="p"/>
                  </m:rPr>
                  <m:t>,</m:t>
                </m:r>
                <m:r>
                  <m:t>I</m:t>
                </m:r>
                <m:r>
                  <m:t>d</m:t>
                </m:r>
                <m:r>
                  <m:t>e</m:t>
                </m:r>
                <m:r>
                  <m:t>n</m:t>
                </m:r>
                <m:r>
                  <m:t>t</m:t>
                </m:r>
                <m:r>
                  <m:t>i</m:t>
                </m:r>
                <m:r>
                  <m:t>t</m:t>
                </m:r>
                <m:r>
                  <m:t>y</m:t>
                </m:r>
                <m:r>
                  <m:rPr>
                    <m:sty m:val="p"/>
                  </m:rPr>
                  <m:t>(</m:t>
                </m:r>
                <m:sSub>
                  <m:e>
                    <m:r>
                      <m:t>u</m:t>
                    </m:r>
                  </m:e>
                  <m:sub>
                    <m:r>
                      <m:t>i</m:t>
                    </m:r>
                  </m:sub>
                </m:sSub>
                <m:r>
                  <m:rPr>
                    <m:sty m:val="p"/>
                  </m:rPr>
                  <m:t>)</m:t>
                </m:r>
                <m:r>
                  <m:rPr>
                    <m:sty m:val="p"/>
                  </m:rPr>
                  <m:t>∧</m:t>
                </m:r>
                <m:r>
                  <m:t>A</m:t>
                </m:r>
                <m:r>
                  <m:t>u</m:t>
                </m:r>
                <m:r>
                  <m:t>t</m:t>
                </m:r>
                <m:r>
                  <m:t>h</m:t>
                </m:r>
                <m:r>
                  <m:t>o</m:t>
                </m:r>
                <m:r>
                  <m:t>r</m:t>
                </m:r>
                <m:r>
                  <m:t>i</m:t>
                </m:r>
                <m:r>
                  <m:t>t</m:t>
                </m:r>
                <m:r>
                  <m:t>y</m:t>
                </m:r>
                <m:r>
                  <m:rPr>
                    <m:sty m:val="p"/>
                  </m:rPr>
                  <m:t>(</m:t>
                </m:r>
                <m:sSub>
                  <m:e>
                    <m:r>
                      <m:t>u</m:t>
                    </m:r>
                  </m:e>
                  <m:sub>
                    <m:r>
                      <m:t>i</m:t>
                    </m:r>
                  </m:sub>
                </m:sSub>
                <m:r>
                  <m:rPr>
                    <m:sty m:val="p"/>
                  </m:rPr>
                  <m:t>,</m:t>
                </m:r>
                <m:r>
                  <m:t>C</m:t>
                </m:r>
                <m:r>
                  <m:rPr>
                    <m:sty m:val="p"/>
                  </m:rPr>
                  <m:t>)</m:t>
                </m:r>
                <m:r>
                  <m:rPr>
                    <m:sty m:val="p"/>
                  </m:rPr>
                  <m:t>∧</m:t>
                </m:r>
                <m:r>
                  <m:rPr>
                    <m:sty m:val="p"/>
                  </m:rPr>
                  <m:t>(</m:t>
                </m:r>
                <m:sSub>
                  <m:e>
                    <m:r>
                      <m:t>u</m:t>
                    </m:r>
                  </m:e>
                  <m:sub>
                    <m:r>
                      <m:t>i</m:t>
                    </m:r>
                  </m:sub>
                </m:sSub>
                <m:r>
                  <m:rPr>
                    <m:sty m:val="p"/>
                  </m:rPr>
                  <m:t>∈</m:t>
                </m:r>
                <m:r>
                  <m:t>G</m:t>
                </m:r>
                <m:r>
                  <m:rPr>
                    <m:sty m:val="p"/>
                  </m:rPr>
                  <m:t>)</m:t>
                </m:r>
                <m:r>
                  <m:rPr>
                    <m:sty m:val="p"/>
                  </m:rPr>
                  <m:t>]</m:t>
                </m:r>
              </m:e>
            </m:mr>
            <m:mr>
              <m:e>
                <m:r>
                  <m:rPr>
                    <m:sty m:val="p"/>
                  </m:rPr>
                  <m:t>∧</m:t>
                </m:r>
                <m:d>
                  <m:dPr>
                    <m:begChr m:val="|"/>
                    <m:sepChr m:val=""/>
                    <m:endChr m:val="|"/>
                    <m:grow/>
                  </m:dPr>
                  <m:e>
                    <m:sSub>
                      <m:e>
                        <m:r>
                          <m:t>A</m:t>
                        </m:r>
                      </m:e>
                      <m:sub>
                        <m:r>
                          <m:t>v</m:t>
                        </m:r>
                      </m:sub>
                    </m:sSub>
                  </m:e>
                </m:d>
                <m:r>
                  <m:rPr>
                    <m:sty m:val="p"/>
                  </m:rPr>
                  <m:t>≥</m:t>
                </m:r>
                <m:r>
                  <m:t>N</m:t>
                </m:r>
                <m:r>
                  <m:rPr>
                    <m:sty m:val="p"/>
                  </m:rPr>
                  <m:t>⇒</m:t>
                </m:r>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e>
            </m:mr>
          </m:m>
        </m:oMath>
      </m:oMathPara>
    </w:p>
    <w:p>
      <w:pPr>
        <w:pStyle w:val="FirstParagraph"/>
      </w:pPr>
      <w:r>
        <w:t xml:space="preserve">This formulation is important because the threshold is not calculated from the number of submitted approvals alone. Instead, only</w:t>
      </w:r>
      <w:r>
        <w:t xml:space="preserve"> </w:t>
      </w:r>
      <w:r>
        <w:rPr>
          <w:i/>
          <w:iCs/>
        </w:rPr>
        <w:t xml:space="preserve">valid, authorised, eligible, and non-duplicate approvals</w:t>
      </w:r>
      <w:r>
        <w:t xml:space="preserve"> </w:t>
      </w:r>
      <w:r>
        <w:t xml:space="preserve">contribute to the threshold. Consequently, the procedure prevents a participant from satisfying the authorisation requirement merely by submitting multiple approvals or by presenting a valid identity without possessing the required authority.</w:t>
      </w:r>
    </w:p>
    <w:p>
      <w:pPr>
        <w:pStyle w:val="BodyText"/>
      </w:pPr>
      <w:r>
        <w:t xml:space="preserve">The procedure also introduces a clear distinction between</w:t>
      </w:r>
      <w:r>
        <w:t xml:space="preserve"> </w:t>
      </w:r>
      <w:r>
        <w:rPr>
          <w:i/>
          <w:iCs/>
        </w:rPr>
        <w:t xml:space="preserve">approval</w:t>
      </w:r>
      <w:r>
        <w:t xml:space="preserve"> </w:t>
      </w:r>
      <w:r>
        <w:t xml:space="preserve">and</w:t>
      </w:r>
      <w:r>
        <w:t xml:space="preserve"> </w:t>
      </w:r>
      <w:r>
        <w:rPr>
          <w:i/>
          <w:iCs/>
        </w:rPr>
        <w:t xml:space="preserve">authorisation</w:t>
      </w:r>
      <w:r>
        <w:t xml:space="preserve">.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w:t>
      </w:r>
    </w:p>
    <w:p>
      <w:pPr>
        <w:pStyle w:val="BodyText"/>
      </w:pPr>
      <w:r>
        <w:t xml:space="preserve">From a trust perspective, the procedure can therefore be interpreted as</w:t>
      </w:r>
    </w:p>
    <w:p>
      <w:pPr>
        <w:pStyle w:val="BodyText"/>
      </w:pPr>
      <m:oMathPara>
        <m:oMathParaPr>
          <m:jc m:val="center"/>
        </m:oMathParaPr>
        <m:oMath>
          <m:m>
            <m:mPr>
              <m:baseJc m:val="center"/>
              <m:plcHide m:val="on"/>
              <m:mcs>
                <m:mc>
                  <m:mcPr>
                    <m:count m:val="1"/>
                    <m:mcJc m:val="left"/>
                  </m:mcPr>
                </m:mc>
              </m:mcs>
            </m:mPr>
            <m:mr>
              <m:e>
                <m:r>
                  <m:rPr>
                    <m:nor/>
                  </m:rPr>
                  <m:t>Individual Trust Evidence</m:t>
                </m:r>
                <m:r>
                  <m:rPr>
                    <m:sty m:val="p"/>
                  </m:rPr>
                  <m:t>→</m:t>
                </m:r>
                <m:r>
                  <m:rPr>
                    <m:nor/>
                  </m:rPr>
                  <m:t>Collective Approval Evidence</m:t>
                </m:r>
              </m:e>
            </m:mr>
            <m:mr>
              <m:e>
                <m:r>
                  <m:rPr>
                    <m:sty m:val="p"/>
                  </m:rPr>
                  <m:t>→</m:t>
                </m:r>
                <m:r>
                  <m:rPr>
                    <m:nor/>
                  </m:rPr>
                  <m:t>Threshold Satisfaction</m:t>
                </m:r>
                <m:r>
                  <m:rPr>
                    <m:sty m:val="p"/>
                  </m:rPr>
                  <m:t>→</m:t>
                </m:r>
                <m:r>
                  <m:rPr>
                    <m:nor/>
                  </m:rPr>
                  <m:t>Authorisation Activation</m:t>
                </m:r>
              </m:e>
            </m:mr>
          </m:m>
          <m:r>
            <m:t>  </m:t>
          </m:r>
          <m:r>
            <m:t>  </m:t>
          </m:r>
          <m:r>
            <m:rPr>
              <m:sty m:val="p"/>
            </m:rPr>
            <m:t>(</m:t>
          </m:r>
          <m:r>
            <m:t>30</m:t>
          </m:r>
          <m:r>
            <m:rPr>
              <m:sty m:val="p"/>
            </m:rPr>
            <m:t>)</m:t>
          </m:r>
        </m:oMath>
      </m:oMathPara>
    </w:p>
    <w:bookmarkEnd w:id="111"/>
    <w:bookmarkStart w:id="112" w:name="Xb33811a272d7ecbf6236afe90e31520d262e370"/>
    <w:p>
      <w:pPr>
        <w:pStyle w:val="Heading3"/>
      </w:pPr>
      <w:r>
        <w:t xml:space="preserve">6.3.3 Algorithm 3: Threshold-Based Multi-Party Authorisation</w:t>
      </w:r>
    </w:p>
    <w:p>
      <w:pPr>
        <w:pStyle w:val="FirstParagraph"/>
      </w:pPr>
      <w:r>
        <w:t xml:space="preserve">Algorithm 3 explicitly distinguishes between invalid, duplicate, and valid approvals. This distinction is important because simply counting submitted signatures could incorrectly treat unauthorised or repeated approvals as independent evidence.</w:t>
      </w:r>
    </w:p>
    <w:p>
      <w:pPr>
        <w:pStyle w:val="BodyText"/>
      </w:pPr>
      <w:r>
        <w:t xml:space="preserve">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w:t>
      </w:r>
    </w:p>
    <w:p>
      <w:pPr>
        <w:pStyle w:val="BodyText"/>
      </w:pPr>
      <w:r>
        <w:t xml:space="preserve">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Style w:val="Algorithm"/>
      </w:pPr>
      <w:r>
        <w:rPr>
          <w:b/>
          <w:bCs/>
        </w:rPr>
        <w:t xml:space="preserve">Algorithm 3</w:t>
      </w:r>
      <w:r>
        <w:t xml:space="preserve"> </w:t>
      </w:r>
      <w:r>
        <w:t xml:space="preserve">Threshold-Based Multi-Party Authorisation</w:t>
      </w:r>
      <w:r>
        <w:br/>
      </w:r>
      <w:r>
        <w:rPr>
          <w:b/>
          <w:bCs/>
        </w:rPr>
        <w:t xml:space="preserve">Require:</w:t>
      </w:r>
      <w:r>
        <w:t xml:space="preserve"> </w:t>
      </w:r>
      <w:r>
        <w:t xml:space="preserve">Consent object</w:t>
      </w:r>
      <w:r>
        <w:t xml:space="preserve"> </w:t>
      </w:r>
      <m:oMath>
        <m:r>
          <m:t>C</m:t>
        </m:r>
      </m:oMath>
      <w:r>
        <w:t xml:space="preserve">, participant approval</w:t>
      </w:r>
      <w:r>
        <w:t xml:space="preserve"> </w:t>
      </w:r>
      <m:oMath>
        <m:r>
          <m:t>a</m:t>
        </m:r>
      </m:oMath>
      <w:r>
        <w:t xml:space="preserve">, threshold</w:t>
      </w:r>
      <w:r>
        <w:t xml:space="preserve"> </w:t>
      </w:r>
      <m:oMath>
        <m:r>
          <m:t>N</m:t>
        </m:r>
      </m:oMath>
      <w:r>
        <w:br/>
      </w:r>
      <w:r>
        <w:rPr>
          <w:b/>
          <w:bCs/>
        </w:rPr>
        <w:t xml:space="preserve">Ensure:</w:t>
      </w:r>
      <w:r>
        <w:t xml:space="preserve"> </w:t>
      </w:r>
      <w:r>
        <w:t xml:space="preserve">Authorisation result</w:t>
      </w:r>
      <w:r>
        <w:br/>
      </w:r>
      <w:r>
        <w:t xml:space="preserve">1: Retrieve required participant set</w:t>
      </w:r>
      <w:r>
        <w:t xml:space="preserve"> </w:t>
      </w:r>
      <m:oMath>
        <m:r>
          <m:t>G</m:t>
        </m:r>
      </m:oMath>
      <w:r>
        <w:br/>
      </w:r>
      <w:r>
        <w:t xml:space="preserve">2: Verify identity and authority of participant submitting</w:t>
      </w:r>
      <w:r>
        <w:t xml:space="preserve"> </w:t>
      </w:r>
      <m:oMath>
        <m:r>
          <m:t>a</m:t>
        </m:r>
      </m:oMath>
      <w:r>
        <w:br/>
      </w:r>
      <w:r>
        <w:t xml:space="preserve">3:</w:t>
      </w:r>
      <w:r>
        <w:t xml:space="preserve"> </w:t>
      </w:r>
      <w:r>
        <w:rPr>
          <w:b/>
          <w:bCs/>
        </w:rPr>
        <w:t xml:space="preserve">if</w:t>
      </w:r>
      <w:r>
        <w:t xml:space="preserve"> </w:t>
      </w:r>
      <w:r>
        <w:t xml:space="preserve">verification fails</w:t>
      </w:r>
      <w:r>
        <w:t xml:space="preserve"> </w:t>
      </w:r>
      <w:r>
        <w:rPr>
          <w:b/>
          <w:bCs/>
        </w:rPr>
        <w:t xml:space="preserve">then</w:t>
      </w:r>
      <w:r>
        <w:br/>
      </w:r>
      <w:r>
        <w:t xml:space="preserve">    4: Record invalid approval</w:t>
      </w:r>
      <w:r>
        <w:br/>
      </w:r>
      <w:r>
        <w:t xml:space="preserve">    5:</w:t>
      </w:r>
      <w:r>
        <w:t xml:space="preserve"> </w:t>
      </w:r>
      <w:r>
        <w:rPr>
          <w:b/>
          <w:bCs/>
        </w:rPr>
        <w:t xml:space="preserve">return</w:t>
      </w:r>
      <w:r>
        <w:t xml:space="preserve"> </w:t>
      </w:r>
      <w:r>
        <w:t xml:space="preserve">DENY</w:t>
      </w:r>
      <w:r>
        <w:br/>
      </w:r>
      <w:r>
        <w:t xml:space="preserve">6:</w:t>
      </w:r>
      <w:r>
        <w:t xml:space="preserve"> </w:t>
      </w:r>
      <w:r>
        <w:rPr>
          <w:b/>
          <w:bCs/>
        </w:rPr>
        <w:t xml:space="preserve">end if</w:t>
      </w:r>
      <w:r>
        <w:br/>
      </w:r>
      <w:r>
        <w:t xml:space="preserve">7:</w:t>
      </w:r>
      <w:r>
        <w:t xml:space="preserve"> </w:t>
      </w:r>
      <w:r>
        <w:rPr>
          <w:b/>
          <w:bCs/>
        </w:rPr>
        <w:t xml:space="preserve">if</w:t>
      </w:r>
      <w:r>
        <w:t xml:space="preserve"> </w:t>
      </w:r>
      <w:r>
        <w:t xml:space="preserve">participant is not in</w:t>
      </w:r>
      <w:r>
        <w:t xml:space="preserve"> </w:t>
      </w:r>
      <m:oMath>
        <m:r>
          <m:t>G</m:t>
        </m:r>
      </m:oMath>
      <w:r>
        <w:t xml:space="preserve"> </w:t>
      </w:r>
      <w:r>
        <w:rPr>
          <w:b/>
          <w:bCs/>
        </w:rPr>
        <w:t xml:space="preserve">then</w:t>
      </w:r>
      <w:r>
        <w:br/>
      </w:r>
      <w:r>
        <w:t xml:space="preserve">    8: Record unauthorised approval attempt</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w:t>
      </w:r>
      <w:r>
        <w:t xml:space="preserve"> </w:t>
      </w:r>
      <w:r>
        <w:rPr>
          <w:b/>
          <w:bCs/>
        </w:rPr>
        <w:t xml:space="preserve">if</w:t>
      </w:r>
      <w:r>
        <w:t xml:space="preserve"> </w:t>
      </w:r>
      <w:r>
        <w:t xml:space="preserve">participant has already approved</w:t>
      </w:r>
      <w:r>
        <w:t xml:space="preserve"> </w:t>
      </w:r>
      <m:oMath>
        <m:r>
          <m:t>C</m:t>
        </m:r>
      </m:oMath>
      <w:r>
        <w:t xml:space="preserve"> </w:t>
      </w:r>
      <w:r>
        <w:rPr>
          <w:b/>
          <w:bCs/>
        </w:rPr>
        <w:t xml:space="preserve">then</w:t>
      </w:r>
      <w:r>
        <w:br/>
      </w:r>
      <w:r>
        <w:t xml:space="preserve">    12: Record duplicate approval</w:t>
      </w:r>
      <w:r>
        <w:br/>
      </w:r>
      <w:r>
        <w:t xml:space="preserve">    13:</w:t>
      </w:r>
      <w:r>
        <w:t xml:space="preserve"> </w:t>
      </w:r>
      <w:r>
        <w:rPr>
          <w:b/>
          <w:bCs/>
        </w:rPr>
        <w:t xml:space="preserve">return</w:t>
      </w:r>
      <w:r>
        <w:t xml:space="preserve"> </w:t>
      </w:r>
      <w:r>
        <w:t xml:space="preserve">DENY</w:t>
      </w:r>
      <w:r>
        <w:br/>
      </w:r>
      <w:r>
        <w:t xml:space="preserve">14:</w:t>
      </w:r>
      <w:r>
        <w:t xml:space="preserve"> </w:t>
      </w:r>
      <w:r>
        <w:rPr>
          <w:b/>
          <w:bCs/>
        </w:rPr>
        <w:t xml:space="preserve">end if</w:t>
      </w:r>
      <w:r>
        <w:br/>
      </w:r>
      <w:r>
        <w:t xml:space="preserve">15: Record valid approval</w:t>
      </w:r>
      <w:r>
        <w:t xml:space="preserve"> </w:t>
      </w:r>
      <m:oMath>
        <m:r>
          <m:t>a</m:t>
        </m:r>
      </m:oMath>
      <w:r>
        <w:br/>
      </w:r>
      <w:r>
        <w:t xml:space="preserve">16: Update valid approval set</w:t>
      </w:r>
      <w:r>
        <w:t xml:space="preserve"> </w:t>
      </w:r>
      <m:oMath>
        <m:sSub>
          <m:e>
            <m:r>
              <m:t>A</m:t>
            </m:r>
          </m:e>
          <m:sub>
            <m:r>
              <m:t>v</m:t>
            </m:r>
          </m:sub>
        </m:sSub>
      </m:oMath>
      <w:r>
        <w:br/>
      </w:r>
      <w:r>
        <w:t xml:space="preserve">17:</w:t>
      </w:r>
      <w:r>
        <w:t xml:space="preserve"> </w:t>
      </w:r>
      <w:r>
        <w:rPr>
          <w:b/>
          <w:bCs/>
        </w:rPr>
        <w:t xml:space="preserve">if</w:t>
      </w:r>
      <w:r>
        <w:t xml:space="preserve"> </w:t>
      </w:r>
      <m:oMath>
        <m:d>
          <m:dPr>
            <m:begChr m:val="|"/>
            <m:sepChr m:val=""/>
            <m:endChr m:val="|"/>
            <m:grow/>
          </m:dPr>
          <m:e>
            <m:sSub>
              <m:e>
                <m:r>
                  <m:t>A</m:t>
                </m:r>
              </m:e>
              <m:sub>
                <m:r>
                  <m:t>v</m:t>
                </m:r>
              </m:sub>
            </m:sSub>
          </m:e>
        </m:d>
        <m:r>
          <m:rPr>
            <m:sty m:val="p"/>
          </m:rPr>
          <m:t>≥</m:t>
        </m:r>
        <m:r>
          <m:t>N</m:t>
        </m:r>
      </m:oMath>
      <w:r>
        <w:t xml:space="preserve"> </w:t>
      </w:r>
      <w:r>
        <w:rPr>
          <w:b/>
          <w:bCs/>
        </w:rPr>
        <w:t xml:space="preserve">then</w:t>
      </w:r>
      <w:r>
        <w:br/>
      </w:r>
      <w:r>
        <w:t xml:space="preserve">    18: Activate authorisation</w:t>
      </w:r>
      <w:r>
        <w:br/>
      </w:r>
      <w:r>
        <w:t xml:space="preserve">    19: Generate activation or token evidence</w:t>
      </w:r>
      <w:r>
        <w:br/>
      </w:r>
      <w:r>
        <w:t xml:space="preserve">    20: Record threshold-satisfied event</w:t>
      </w:r>
      <w:r>
        <w:br/>
      </w:r>
      <w:r>
        <w:t xml:space="preserve">    21:</w:t>
      </w:r>
      <w:r>
        <w:t xml:space="preserve"> </w:t>
      </w:r>
      <w:r>
        <w:rPr>
          <w:b/>
          <w:bCs/>
        </w:rPr>
        <w:t xml:space="preserve">return</w:t>
      </w:r>
      <w:r>
        <w:t xml:space="preserve"> </w:t>
      </w:r>
      <w:r>
        <w:t xml:space="preserve">ALLOW</w:t>
      </w:r>
      <w:r>
        <w:br/>
      </w:r>
      <w:r>
        <w:t xml:space="preserve">22:</w:t>
      </w:r>
      <w:r>
        <w:t xml:space="preserve"> </w:t>
      </w:r>
      <w:r>
        <w:rPr>
          <w:b/>
          <w:bCs/>
        </w:rPr>
        <w:t xml:space="preserve">else</w:t>
      </w:r>
      <w:r>
        <w:br/>
      </w:r>
      <w:r>
        <w:t xml:space="preserve">    23: Keep consent in pending state</w:t>
      </w:r>
      <w:r>
        <w:br/>
      </w:r>
      <w:r>
        <w:t xml:space="preserve">    24: Record threshold-pending event</w:t>
      </w:r>
      <w:r>
        <w:br/>
      </w:r>
      <w:r>
        <w:t xml:space="preserve">    25:</w:t>
      </w:r>
      <w:r>
        <w:t xml:space="preserve"> </w:t>
      </w:r>
      <w:r>
        <w:rPr>
          <w:b/>
          <w:bCs/>
        </w:rPr>
        <w:t xml:space="preserve">return</w:t>
      </w:r>
      <w:r>
        <w:t xml:space="preserve"> </w:t>
      </w:r>
      <w:r>
        <w:t xml:space="preserve">PENDING</w:t>
      </w:r>
      <w:r>
        <w:br/>
      </w:r>
      <w:r>
        <w:t xml:space="preserve">26:</w:t>
      </w:r>
      <w:r>
        <w:t xml:space="preserve"> </w:t>
      </w:r>
      <w:r>
        <w:rPr>
          <w:b/>
          <w:bCs/>
        </w:rPr>
        <w:t xml:space="preserve">end if</w:t>
      </w:r>
    </w:p>
    <w:bookmarkEnd w:id="112"/>
    <w:bookmarkEnd w:id="113"/>
    <w:bookmarkStart w:id="120" w:name="X77d8a567f90fbf98e40547b4be1462ed72e9750"/>
    <w:p>
      <w:pPr>
        <w:pStyle w:val="Heading2"/>
      </w:pPr>
      <w:r>
        <w:t xml:space="preserve">6.4 Policy- and Context-Aware Access Control for RO4</w:t>
      </w:r>
    </w:p>
    <w:p>
      <w:pPr>
        <w:pStyle w:val="FirstParagraph"/>
      </w:pPr>
      <w:r>
        <w:t xml:space="preserve">RO4 addresses SRQ4 by developing a policy-aware authorisation mechanism that evaluates the purpose and data scope of a requested operation against the constraints defined by the consent.</w:t>
      </w:r>
    </w:p>
    <w:p>
      <w:pPr>
        <w:pStyle w:val="BodyText"/>
      </w:pPr>
      <w:r>
        <w:t xml:space="preserve">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w:t>
      </w:r>
    </w:p>
    <w:p>
      <w:pPr>
        <w:pStyle w:val="BodyText"/>
      </w:pPr>
      <w:r>
        <w:t xml:space="preserve">Let</w:t>
      </w:r>
      <w:r>
        <w:t xml:space="preserve"> </w:t>
      </w:r>
      <w:r>
        <w:rPr>
          <w:i/>
          <w:iCs/>
        </w:rPr>
        <w:t xml:space="preserve">S</w:t>
      </w:r>
      <w:r>
        <w:rPr>
          <w:vertAlign w:val="subscript"/>
        </w:rPr>
        <w:t xml:space="preserve">C</w:t>
      </w:r>
      <w:r>
        <w:t xml:space="preserve"> </w:t>
      </w:r>
      <w:r>
        <w:t xml:space="preserve">denote the data scope authorised by the consent and</w:t>
      </w:r>
      <w:r>
        <w:t xml:space="preserve"> </w:t>
      </w:r>
      <w:r>
        <w:rPr>
          <w:i/>
          <w:iCs/>
        </w:rPr>
        <w:t xml:space="preserve">S</w:t>
      </w:r>
      <w:r>
        <w:rPr>
          <w:vertAlign w:val="subscript"/>
        </w:rPr>
        <w:t xml:space="preserve">R</w:t>
      </w:r>
      <w:r>
        <w:t xml:space="preserve"> </w:t>
      </w:r>
      <w:r>
        <w:t xml:space="preserve">denote the data scope requested by the participant. The scope condition is</w:t>
      </w:r>
    </w:p>
    <w:p>
      <w:pPr>
        <w:pStyle w:val="BodyText"/>
      </w:pPr>
      <m:oMathPara>
        <m:oMathParaPr>
          <m:jc m:val="center"/>
        </m:oMathParaPr>
        <m:oMath>
          <m:sSub>
            <m:e>
              <m:r>
                <m:t>V</m:t>
              </m:r>
            </m:e>
            <m:sub>
              <m:r>
                <m:t>S</m:t>
              </m:r>
            </m:sub>
          </m:sSub>
          <m:r>
            <m:rPr>
              <m:sty m:val="p"/>
            </m:rPr>
            <m:t>(</m:t>
          </m:r>
          <m:r>
            <m:t>C</m:t>
          </m:r>
          <m:r>
            <m:rPr>
              <m:sty m:val="p"/>
            </m:rPr>
            <m:t>,</m:t>
          </m:r>
          <m:r>
            <m:t>R</m:t>
          </m:r>
          <m:r>
            <m:rPr>
              <m:sty m:val="p"/>
            </m:rPr>
            <m:t>)</m:t>
          </m:r>
          <m:r>
            <m:rPr>
              <m:sty m:val="p"/>
            </m:rPr>
            <m:t>=</m:t>
          </m:r>
          <m:r>
            <m:t>1</m:t>
          </m:r>
          <m:r>
            <m:rPr>
              <m:sty m:val="p"/>
            </m:rPr>
            <m:t>⇔</m:t>
          </m:r>
          <m:sSub>
            <m:e>
              <m:r>
                <m:t>S</m:t>
              </m:r>
            </m:e>
            <m:sub>
              <m:r>
                <m:t>R</m:t>
              </m:r>
            </m:sub>
          </m:sSub>
          <m:r>
            <m:rPr>
              <m:sty m:val="p"/>
            </m:rPr>
            <m:t>⊆</m:t>
          </m:r>
          <m:sSub>
            <m:e>
              <m:r>
                <m:t>S</m:t>
              </m:r>
            </m:e>
            <m:sub>
              <m:r>
                <m:t>C</m:t>
              </m:r>
            </m:sub>
          </m:sSub>
          <m:r>
            <m:rPr>
              <m:sty m:val="p"/>
            </m:rPr>
            <m:t>.</m:t>
          </m:r>
          <m:r>
            <m:t>  </m:t>
          </m:r>
          <m:r>
            <m:t>  </m:t>
          </m:r>
          <m:r>
            <m:rPr>
              <m:sty m:val="p"/>
            </m:rPr>
            <m:t>(</m:t>
          </m:r>
          <m:r>
            <m:t>31</m:t>
          </m:r>
          <m:r>
            <m:rPr>
              <m:sty m:val="p"/>
            </m:rPr>
            <m:t>)</m:t>
          </m:r>
        </m:oMath>
      </m:oMathPara>
    </w:p>
    <w:p>
      <w:pPr>
        <w:pStyle w:val="FirstParagraph"/>
      </w:pPr>
      <w:r>
        <w:t xml:space="preserve">The policy condition can therefore be expressed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sSub>
            <m:e>
              <m:r>
                <m:t>V</m:t>
              </m:r>
            </m:e>
            <m:sub>
              <m:r>
                <m:t>U</m:t>
              </m:r>
            </m:sub>
          </m:sSub>
          <m:r>
            <m:rPr>
              <m:sty m:val="p"/>
            </m:rPr>
            <m:t>(</m:t>
          </m:r>
          <m:r>
            <m:t>C</m:t>
          </m:r>
          <m:r>
            <m:rPr>
              <m:sty m:val="p"/>
            </m:rPr>
            <m:t>,</m:t>
          </m:r>
          <m:r>
            <m:t>R</m:t>
          </m:r>
          <m:r>
            <m:rPr>
              <m:sty m:val="p"/>
            </m:rPr>
            <m:t>)</m:t>
          </m:r>
          <m:r>
            <m:rPr>
              <m:sty m:val="p"/>
            </m:rPr>
            <m:t>∧</m:t>
          </m:r>
          <m:sSub>
            <m:e>
              <m:r>
                <m:t>V</m:t>
              </m:r>
            </m:e>
            <m:sub>
              <m:r>
                <m:t>S</m:t>
              </m:r>
            </m:sub>
          </m:sSub>
          <m:r>
            <m:rPr>
              <m:sty m:val="p"/>
            </m:rPr>
            <m:t>(</m:t>
          </m:r>
          <m:r>
            <m:t>C</m:t>
          </m:r>
          <m:r>
            <m:rPr>
              <m:sty m:val="p"/>
            </m:rPr>
            <m:t>,</m:t>
          </m:r>
          <m:r>
            <m:t>R</m:t>
          </m:r>
          <m:r>
            <m:rPr>
              <m:sty m:val="p"/>
            </m:rPr>
            <m:t>)</m:t>
          </m:r>
          <m:r>
            <m:rPr>
              <m:sty m:val="p"/>
            </m:rPr>
            <m:t>,</m:t>
          </m:r>
          <m:r>
            <m:t>  </m:t>
          </m:r>
          <m:r>
            <m:t>  </m:t>
          </m:r>
          <m:r>
            <m:rPr>
              <m:sty m:val="p"/>
            </m:rPr>
            <m:t>(</m:t>
          </m:r>
          <m:r>
            <m:t>32</m:t>
          </m:r>
          <m:r>
            <m:rPr>
              <m:sty m:val="p"/>
            </m:rPr>
            <m:t>)</m:t>
          </m:r>
        </m:oMath>
      </m:oMathPara>
    </w:p>
    <w:p>
      <w:pPr>
        <w:pStyle w:val="FirstParagraph"/>
      </w:pPr>
      <w:r>
        <w:t xml:space="preserve">where</w:t>
      </w:r>
      <w:r>
        <w:t xml:space="preserve"> </w:t>
      </w:r>
      <w:r>
        <w:rPr>
          <w:i/>
          <w:iCs/>
        </w:rPr>
        <w:t xml:space="preserve">V</w:t>
      </w:r>
      <w:r>
        <w:rPr>
          <w:vertAlign w:val="subscript"/>
        </w:rPr>
        <w:t xml:space="preserve">U</w:t>
      </w:r>
      <w:r>
        <w:t xml:space="preserve">(</w:t>
      </w:r>
      <w:r>
        <w:rPr>
          <w:i/>
          <w:iCs/>
        </w:rPr>
        <w:t xml:space="preserve">C, R</w:t>
      </w:r>
      <w:r>
        <w:t xml:space="preserve">) represents purpose compatibility and</w:t>
      </w:r>
      <w:r>
        <w:t xml:space="preserve"> </w:t>
      </w:r>
      <w:r>
        <w:rPr>
          <w:i/>
          <w:iCs/>
        </w:rPr>
        <w:t xml:space="preserve">V</w:t>
      </w:r>
      <w:r>
        <w:rPr>
          <w:vertAlign w:val="subscript"/>
        </w:rPr>
        <w:t xml:space="preserve">S</w:t>
      </w:r>
      <w:r>
        <w:t xml:space="preserve">(</w:t>
      </w:r>
      <w:r>
        <w:rPr>
          <w:i/>
          <w:iCs/>
        </w:rPr>
        <w:t xml:space="preserve">C, R</w:t>
      </w:r>
      <w:r>
        <w:t xml:space="preserve">) represents data-scope compatibility.</w:t>
      </w:r>
    </w:p>
    <w:p>
      <w:pPr>
        <w:pStyle w:val="BodyText"/>
      </w:pPr>
      <w:r>
        <w:t xml:space="preserve">The complete current-stage authorisation decision is given by Eq. (6).</w:t>
      </w:r>
    </w:p>
    <w:bookmarkStart w:id="117" w:name="ro4-policy-aware-access-workflow"/>
    <w:p>
      <w:pPr>
        <w:pStyle w:val="Heading3"/>
      </w:pPr>
      <w:r>
        <w:t xml:space="preserve">6.4.1 RO4 Policy-Aware Access Workflow</w:t>
      </w:r>
    </w:p>
    <w:p>
      <w:pPr>
        <w:pStyle w:val="FirstParagraph"/>
      </w:pPr>
      <w:r>
        <w:t xml:space="preserve">The workflow, shown in Figure 6.4, begins when a doctor submits a request for patient data. The system retrieves the relevant consent object and verifies the requesting participant. It then checks whether the required multi-party authorisation has been established.</w:t>
      </w:r>
    </w:p>
    <w:p>
      <w:pPr>
        <w:pStyle w:val="CaptionedFigure"/>
      </w:pPr>
      <w:r>
        <w:drawing>
          <wp:inline>
            <wp:extent cx="5486400" cy="6503056"/>
            <wp:effectExtent b="0" l="0" r="0" t="0"/>
            <wp:docPr descr="Figure 6.4: RO4 workflow for policy- and context-aware access control" title="" id="115" name="Picture"/>
            <a:graphic>
              <a:graphicData uri="http://schemas.openxmlformats.org/drawingml/2006/picture">
                <pic:pic>
                  <pic:nvPicPr>
                    <pic:cNvPr descr="media_col/fig10.png" id="116" name="Picture"/>
                    <pic:cNvPicPr>
                      <a:picLocks noChangeArrowheads="1" noChangeAspect="1"/>
                    </pic:cNvPicPr>
                  </pic:nvPicPr>
                  <pic:blipFill>
                    <a:blip r:embed="rId114"/>
                    <a:stretch>
                      <a:fillRect/>
                    </a:stretch>
                  </pic:blipFill>
                  <pic:spPr bwMode="auto">
                    <a:xfrm>
                      <a:off x="0" y="0"/>
                      <a:ext cx="5486400" cy="6503056"/>
                    </a:xfrm>
                    <a:prstGeom prst="rect">
                      <a:avLst/>
                    </a:prstGeom>
                    <a:noFill/>
                    <a:ln w="9525">
                      <a:noFill/>
                      <a:headEnd/>
                      <a:tailEnd/>
                    </a:ln>
                  </pic:spPr>
                </pic:pic>
              </a:graphicData>
            </a:graphic>
          </wp:inline>
        </w:drawing>
      </w:r>
    </w:p>
    <w:p>
      <w:pPr>
        <w:pStyle w:val="ImageCaption"/>
      </w:pPr>
      <w:r>
        <w:t xml:space="preserve">Figure 6.4: RO4 workflow for policy- and context-aware access control</w:t>
      </w:r>
    </w:p>
    <w:p>
      <w:pPr>
        <w:pStyle w:val="BodyText"/>
      </w:pPr>
      <w:r>
        <w:t xml:space="preserve">After the identity and authorisation conditions are satisfied, the system evaluates the requested purpose and data scope. A request is permitted only when the purpose is compatible with the consent and the requested data scope is contained within the authorised scope.</w:t>
      </w:r>
    </w:p>
    <w:p>
      <w:pPr>
        <w:pStyle w:val="BodyText"/>
      </w:pPr>
      <w:r>
        <w:t xml:space="preserve">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This behaviour is shown in Figures 7.3–7.4 (Section 7.4).</w:t>
      </w:r>
    </w:p>
    <w:p>
      <w:pPr>
        <w:pStyle w:val="BodyText"/>
      </w:pPr>
      <w:r>
        <w:t xml:space="preserve">For example, the request in Eq. (4) must be denied. This rule prevents a legitimate participant from obtaining data outside the patient’s authorised scope.</w:t>
      </w:r>
    </w:p>
    <w:p>
      <w:pPr>
        <w:pStyle w:val="BodyText"/>
      </w:pPr>
      <w:r>
        <w:rPr>
          <w:b/>
          <w:bCs/>
        </w:rPr>
        <w:t xml:space="preserve">Prototype status of</w:t>
      </w:r>
      <w:r>
        <w:rPr>
          <w:b/>
          <w:bCs/>
        </w:rPr>
        <w:t xml:space="preserve"> </w:t>
      </w:r>
      <m:oMath>
        <m:sSub>
          <m:e>
            <m:r>
              <m:t>V</m:t>
            </m:r>
          </m:e>
          <m:sub>
            <m:r>
              <m:t>P</m:t>
            </m:r>
          </m:sub>
        </m:sSub>
      </m:oMath>
      <w:r>
        <w:rPr>
          <w:b/>
          <w:bCs/>
        </w:rPr>
        <w:t xml:space="preserve">.</w:t>
      </w:r>
      <w:r>
        <w:t xml:space="preserve"> </w:t>
      </w:r>
      <w:r>
        <w:t xml:space="preserve">In the HALAH prototype, scope compatibility</w:t>
      </w:r>
      <w:r>
        <w:t xml:space="preserve"> </w:t>
      </w:r>
      <m:oMath>
        <m:sSub>
          <m:e>
            <m:r>
              <m:t>V</m:t>
            </m:r>
          </m:e>
          <m:sub>
            <m:r>
              <m:t>S</m:t>
            </m:r>
          </m:sub>
        </m:sSub>
        <m:r>
          <m:rPr>
            <m:sty m:val="p"/>
          </m:rPr>
          <m:t>(</m:t>
        </m:r>
        <m:r>
          <m:t>C</m:t>
        </m:r>
        <m:r>
          <m:rPr>
            <m:sty m:val="p"/>
          </m:rPr>
          <m:t>,</m:t>
        </m:r>
        <m:r>
          <m:t>R</m:t>
        </m:r>
        <m:r>
          <m:rPr>
            <m:sty m:val="p"/>
          </m:rPr>
          <m:t>)</m:t>
        </m:r>
      </m:oMath>
      <w:r>
        <w:t xml:space="preserve"> </w:t>
      </w:r>
      <w:r>
        <w:t xml:space="preserve">is enforced: the Doctor interface offers only modules from the consented scope, and the service layer independently verifies</w:t>
      </w:r>
      <w:r>
        <w:t xml:space="preserve"> </w:t>
      </w:r>
      <m:oMath>
        <m:sSub>
          <m:e>
            <m:r>
              <m:t>S</m:t>
            </m:r>
          </m:e>
          <m:sub>
            <m:r>
              <m:t>R</m:t>
            </m:r>
          </m:sub>
        </m:sSub>
        <m:r>
          <m:rPr>
            <m:sty m:val="p"/>
          </m:rPr>
          <m:t>⊆</m:t>
        </m:r>
        <m:sSub>
          <m:e>
            <m:r>
              <m:t>S</m:t>
            </m:r>
          </m:e>
          <m:sub>
            <m:r>
              <m:t>C</m:t>
            </m:r>
          </m:sub>
        </m:sSub>
      </m:oMath>
      <w:r>
        <w:t xml:space="preserve"> </w:t>
      </w:r>
      <w:r>
        <w:t xml:space="preserve">before any data are returned; a failed check produces an ACCESS DENIED result that is recorded in the audit log. Purpose compatibility</w:t>
      </w:r>
      <w:r>
        <w:t xml:space="preserve"> </w:t>
      </w:r>
      <m:oMath>
        <m:sSub>
          <m:e>
            <m:r>
              <m:t>V</m:t>
            </m:r>
          </m:e>
          <m:sub>
            <m:r>
              <m:t>U</m:t>
            </m:r>
          </m:sub>
        </m:sSub>
        <m:r>
          <m:rPr>
            <m:sty m:val="p"/>
          </m:rPr>
          <m:t>(</m:t>
        </m:r>
        <m:r>
          <m:t>C</m:t>
        </m:r>
        <m:r>
          <m:rPr>
            <m:sty m:val="p"/>
          </m:rPr>
          <m:t>,</m:t>
        </m:r>
        <m:r>
          <m:t>R</m:t>
        </m:r>
        <m:r>
          <m:rPr>
            <m:sty m:val="p"/>
          </m:rPr>
          <m:t>)</m:t>
        </m:r>
      </m:oMath>
      <w:r>
        <w:t xml:space="preserve"> </w:t>
      </w:r>
      <w:r>
        <w:t xml:space="preserve">is only partly implemented: the consent purpose is checked against the permitted set {Treatment, Research, Emergency}, but the requester does not yet declare a purpose, so the comparison</w:t>
      </w:r>
      <w:r>
        <w:t xml:space="preserve"> </w:t>
      </w:r>
      <m:oMath>
        <m:sSub>
          <m:e>
            <m:r>
              <m:t>P</m:t>
            </m:r>
          </m:e>
          <m:sub>
            <m:r>
              <m:t>R</m:t>
            </m:r>
          </m:sub>
        </m:sSub>
        <m:r>
          <m:rPr>
            <m:sty m:val="p"/>
          </m:rPr>
          <m:t>⊨</m:t>
        </m:r>
        <m:sSub>
          <m:e>
            <m:r>
              <m:t>P</m:t>
            </m:r>
          </m:e>
          <m:sub>
            <m:r>
              <m:t>C</m:t>
            </m:r>
          </m:sub>
        </m:sSub>
      </m:oMath>
      <w:r>
        <w:t xml:space="preserve"> </w:t>
      </w:r>
      <w:r>
        <w:t xml:space="preserve">is scheduled for Stage 2. In addition, the full decision matrix (</w:t>
      </w:r>
      <m:oMath>
        <m:sSub>
          <m:e>
            <m:r>
              <m:t>V</m:t>
            </m:r>
          </m:e>
          <m:sub>
            <m:r>
              <m:t>I</m:t>
            </m:r>
          </m:sub>
        </m:sSub>
      </m:oMath>
      <w:r>
        <w:t xml:space="preserve">,</w:t>
      </w:r>
      <w:r>
        <w:t xml:space="preserve"> </w:t>
      </w:r>
      <m:oMath>
        <m:sSub>
          <m:e>
            <m:r>
              <m:t>V</m:t>
            </m:r>
          </m:e>
          <m:sub>
            <m:r>
              <m:t>A</m:t>
            </m:r>
          </m:sub>
        </m:sSub>
      </m:oMath>
      <w:r>
        <w:t xml:space="preserve">,</w:t>
      </w:r>
      <w:r>
        <w:t xml:space="preserve"> </w:t>
      </w:r>
      <m:oMath>
        <m:sSub>
          <m:e>
            <m:r>
              <m:t>V</m:t>
            </m:r>
          </m:e>
          <m:sub>
            <m:r>
              <m:t>P</m:t>
            </m:r>
          </m:sub>
        </m:sSub>
      </m:oMath>
      <w:r>
        <w:t xml:space="preserve">,</w:t>
      </w:r>
      <w:r>
        <w:t xml:space="preserve"> </w:t>
      </w:r>
      <m:oMath>
        <m:sSub>
          <m:e>
            <m:r>
              <m:t>V</m:t>
            </m:r>
          </m:e>
          <m:sub>
            <m:r>
              <m:t>T</m:t>
            </m:r>
          </m:sub>
        </m:sSub>
      </m:oMath>
      <w:r>
        <w:t xml:space="preserve">,</w:t>
      </w:r>
      <w:r>
        <w:t xml:space="preserve"> </w:t>
      </w:r>
      <m:oMath>
        <m:sSub>
          <m:e>
            <m:r>
              <m:t>V</m:t>
            </m:r>
          </m:e>
          <m:sub>
            <m:r>
              <m:t>L</m:t>
            </m:r>
          </m:sub>
        </m:sSub>
      </m:oMath>
      <w:r>
        <w:t xml:space="preserve">) is computed and displayed to the requester, whereas the data-release gate currently requires an ACTIVE consent state, a valid access proof and a valid scope. Routing the release decision through the full matrix is a small planned change that will make the implemented gate identical to Eq. (6).</w:t>
      </w:r>
    </w:p>
    <w:bookmarkEnd w:id="117"/>
    <w:bookmarkStart w:id="118" w:name="X9b9350abce928b4bfd4821dc61b387a8eede2be"/>
    <w:p>
      <w:pPr>
        <w:pStyle w:val="Heading3"/>
      </w:pPr>
      <w:r>
        <w:t xml:space="preserve">6.4.2 Procedure for Policy-Aware Access Decision</w:t>
      </w:r>
    </w:p>
    <w:p>
      <w:pPr>
        <w:pStyle w:val="FirstParagraph"/>
      </w:pPr>
      <w:r>
        <w:t xml:space="preserve">The Policy-Aware Access Decision procedure determines whether a specific healthcare data-access request should be authorised by jointly evaluating the requesting participant’s identity and authority, the current consent state, the required multi-party authorisation condition, the intended purpose, and the requested data scope. Rather than treating successful authentication as sufficient for access, the procedure evaluates the complete set of conditions defined by the consent and applicable access-control policies. The procedure consists of the following steps.</w:t>
      </w:r>
    </w:p>
    <w:p>
      <w:pPr>
        <w:pStyle w:val="Compact"/>
        <w:numPr>
          <w:ilvl w:val="0"/>
          <w:numId w:val="1039"/>
        </w:numPr>
      </w:pPr>
      <w:r>
        <w:rPr>
          <w:b/>
          <w:bCs/>
        </w:rPr>
        <w:t xml:space="preserve">Step 1 – Receive and Parse the Access Request.</w:t>
      </w:r>
    </w:p>
    <w:p>
      <w:pPr>
        <w:pStyle w:val="FirstParagraph"/>
      </w:pPr>
      <w:r>
        <w:t xml:space="preserve">The system receives an access request</w:t>
      </w:r>
      <w:r>
        <w:t xml:space="preserve"> </w:t>
      </w:r>
      <w:r>
        <w:rPr>
          <w:i/>
          <w:iCs/>
        </w:rPr>
        <w:t xml:space="preserve">R</w:t>
      </w:r>
      <w:r>
        <w:t xml:space="preserve"> </w:t>
      </w:r>
      <w:r>
        <w:t xml:space="preserve">from requesting participant</w:t>
      </w:r>
      <w:r>
        <w:t xml:space="preserve"> </w:t>
      </w:r>
      <w:r>
        <w:rPr>
          <w:i/>
          <w:iCs/>
        </w:rPr>
        <w:t xml:space="preserve">u</w:t>
      </w:r>
      <w:r>
        <w:t xml:space="preserve">. The request specifies the healthcare resources requested by the participant and the intended purpose of access. The requested data scope is denoted by</w:t>
      </w:r>
      <w:r>
        <w:t xml:space="preserve"> </w:t>
      </w:r>
      <w:r>
        <w:rPr>
          <w:i/>
          <w:iCs/>
        </w:rPr>
        <w:t xml:space="preserve">S</w:t>
      </w:r>
      <w:r>
        <w:rPr>
          <w:vertAlign w:val="subscript"/>
        </w:rPr>
        <w:t xml:space="preserve">R</w:t>
      </w:r>
      <w:r>
        <w:t xml:space="preserve">, while the purpose associated with the request is denoted by</w:t>
      </w:r>
      <w:r>
        <w:t xml:space="preserve"> </w:t>
      </w:r>
      <w:r>
        <w:rPr>
          <w:i/>
          <w:iCs/>
        </w:rPr>
        <w:t xml:space="preserve">P</w:t>
      </w:r>
      <w:r>
        <w:rPr>
          <w:vertAlign w:val="subscript"/>
        </w:rPr>
        <w:t xml:space="preserve">R</w:t>
      </w:r>
      <w:r>
        <w:t xml:space="preserve">. The access request can therefore be represented as</w:t>
      </w:r>
    </w:p>
    <w:p>
      <w:pPr>
        <w:pStyle w:val="BodyText"/>
      </w:pPr>
      <m:oMathPara>
        <m:oMathParaPr>
          <m:jc m:val="center"/>
        </m:oMathParaPr>
        <m:oMath>
          <m:r>
            <m:t>R</m:t>
          </m:r>
          <m:r>
            <m:rPr>
              <m:sty m:val="p"/>
            </m:rPr>
            <m:t>=</m:t>
          </m:r>
          <m:r>
            <m:rPr>
              <m:sty m:val="p"/>
            </m:rPr>
            <m:t>(</m:t>
          </m:r>
          <m:r>
            <m:t>u</m:t>
          </m:r>
          <m:r>
            <m:rPr>
              <m:sty m:val="p"/>
            </m:rPr>
            <m:t>,</m:t>
          </m:r>
          <m:sSub>
            <m:e>
              <m:r>
                <m:t>P</m:t>
              </m:r>
            </m:e>
            <m:sub>
              <m:r>
                <m:t>R</m:t>
              </m:r>
            </m:sub>
          </m:sSub>
          <m:r>
            <m:rPr>
              <m:sty m:val="p"/>
            </m:rPr>
            <m:t>,</m:t>
          </m:r>
          <m:sSub>
            <m:e>
              <m:r>
                <m:t>S</m:t>
              </m:r>
            </m:e>
            <m:sub>
              <m:r>
                <m:t>R</m:t>
              </m:r>
            </m:sub>
          </m:sSub>
          <m:r>
            <m:rPr>
              <m:sty m:val="p"/>
            </m:rPr>
            <m:t>)</m:t>
          </m:r>
          <m:r>
            <m:rPr>
              <m:sty m:val="p"/>
            </m:rPr>
            <m:t>.</m:t>
          </m:r>
        </m:oMath>
      </m:oMathPara>
    </w:p>
    <w:p>
      <w:pPr>
        <w:pStyle w:val="FirstParagraph"/>
      </w:pPr>
      <w:r>
        <w:t xml:space="preserve">The system associates</w:t>
      </w:r>
      <w:r>
        <w:t xml:space="preserve"> </w:t>
      </w:r>
      <w:r>
        <w:rPr>
          <w:i/>
          <w:iCs/>
        </w:rPr>
        <w:t xml:space="preserve">R</w:t>
      </w:r>
      <w:r>
        <w:t xml:space="preserve"> </w:t>
      </w:r>
      <w:r>
        <w:t xml:space="preserve">with the relevant consent object</w:t>
      </w:r>
      <w:r>
        <w:t xml:space="preserve"> </w:t>
      </w:r>
      <w:r>
        <w:rPr>
          <w:i/>
          <w:iCs/>
        </w:rPr>
        <w:t xml:space="preserve">C</w:t>
      </w:r>
      <w:r>
        <w:t xml:space="preserve"> </w:t>
      </w:r>
      <w:r>
        <w:t xml:space="preserve">before continuing with the authorisation process.</w:t>
      </w:r>
    </w:p>
    <w:p>
      <w:pPr>
        <w:pStyle w:val="Compact"/>
        <w:numPr>
          <w:ilvl w:val="0"/>
          <w:numId w:val="1040"/>
        </w:numPr>
      </w:pPr>
      <w:r>
        <w:rPr>
          <w:b/>
          <w:bCs/>
        </w:rPr>
        <w:t xml:space="preserve">Step 2 – Verify the Requesting Participant’s DID and VC.</w:t>
      </w:r>
    </w:p>
    <w:p>
      <w:pPr>
        <w:pStyle w:val="FirstParagraph"/>
      </w:pPr>
      <w:r>
        <w:t xml:space="preserve">The system verifies the DID and VC associated with participant</w:t>
      </w:r>
      <w:r>
        <w:t xml:space="preserve"> </w:t>
      </w:r>
      <w:r>
        <w:rPr>
          <w:i/>
          <w:iCs/>
        </w:rPr>
        <w:t xml:space="preserve">u</w:t>
      </w:r>
      <w:r>
        <w:t xml:space="preserve">. This step invokes the identity and authority verification procedure defined in Algorithm 2.</w:t>
      </w:r>
    </w:p>
    <w:p>
      <w:pPr>
        <w:pStyle w:val="BodyText"/>
      </w:pPr>
      <w:r>
        <w:t xml:space="preserve">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w:t>
      </w:r>
    </w:p>
    <w:p>
      <w:pPr>
        <w:pStyle w:val="BodyText"/>
      </w:pPr>
      <w:r>
        <w:t xml:space="preserve">Formally,</w:t>
      </w:r>
      <w:r>
        <w:t xml:space="preserve"> </w:t>
      </w:r>
      <w:r>
        <w:rPr>
          <w:i/>
          <w:iCs/>
        </w:rPr>
        <w:t xml:space="preserve">V</w:t>
      </w:r>
      <w:r>
        <w:rPr>
          <w:vertAlign w:val="subscript"/>
        </w:rPr>
        <w:t xml:space="preserve">I</w:t>
      </w:r>
      <w:r>
        <w:t xml:space="preserve">(</w:t>
      </w:r>
      <w:r>
        <w:rPr>
          <w:i/>
          <w:iCs/>
        </w:rPr>
        <w:t xml:space="preserve">u</w:t>
      </w:r>
      <w:r>
        <w:t xml:space="preserve">) =</w:t>
      </w:r>
      <w:r>
        <w:t xml:space="preserve"> </w:t>
      </w:r>
      <w:r>
        <w:rPr>
          <w:i/>
          <w:iCs/>
        </w:rPr>
        <w:t xml:space="preserve">VALID</w:t>
      </w:r>
      <w:r>
        <w:t xml:space="preserve"> </w:t>
      </w:r>
      <w:r>
        <w:t xml:space="preserve">must hold before the request can proceed to the subsequent authorisation stages.</w:t>
      </w:r>
    </w:p>
    <w:p>
      <w:pPr>
        <w:pStyle w:val="Compact"/>
        <w:numPr>
          <w:ilvl w:val="0"/>
          <w:numId w:val="1041"/>
        </w:numPr>
      </w:pPr>
      <w:r>
        <w:rPr>
          <w:b/>
          <w:bCs/>
        </w:rPr>
        <w:t xml:space="preserve">Step 3 – Evaluate the Current Consent State.</w:t>
      </w:r>
    </w:p>
    <w:p>
      <w:pPr>
        <w:pStyle w:val="FirstParagraph"/>
      </w:pPr>
      <w:r>
        <w:t xml:space="preserve">After successful identity verification, the system evaluates the current state of consent object</w:t>
      </w:r>
      <w:r>
        <w:t xml:space="preserve"> </w:t>
      </w:r>
      <w:r>
        <w:rPr>
          <w:i/>
          <w:iCs/>
        </w:rPr>
        <w:t xml:space="preserve">C</w:t>
      </w:r>
      <w:r>
        <w:t xml:space="preserve">. The system determines whether the consent is active and whether it remains within its defined validity period.</w:t>
      </w:r>
    </w:p>
    <w:p>
      <w:pPr>
        <w:pStyle w:val="BodyText"/>
      </w:pPr>
      <w:r>
        <w:t xml:space="preserve">In particular, the system verifies that the consent has not expired, been revoked, or otherwise transitioned into an inactive state. If</w:t>
      </w:r>
    </w:p>
    <w:p>
      <w:pPr>
        <w:pStyle w:val="BodyText"/>
      </w:pPr>
      <m:oMathPara>
        <m:oMathParaPr>
          <m:jc m:val="center"/>
        </m:oMathParaPr>
        <m:oMath>
          <m:r>
            <m:t>S</m:t>
          </m:r>
          <m:r>
            <m:t>t</m:t>
          </m:r>
          <m:r>
            <m:t>a</m:t>
          </m:r>
          <m:r>
            <m:t>t</m:t>
          </m:r>
          <m:r>
            <m:t>e</m:t>
          </m:r>
          <m:r>
            <m:rPr>
              <m:sty m:val="p"/>
            </m:rPr>
            <m:t>(</m:t>
          </m:r>
          <m:r>
            <m:t>C</m:t>
          </m:r>
          <m:r>
            <m:rPr>
              <m:sty m:val="p"/>
            </m:rPr>
            <m:t>)</m:t>
          </m:r>
          <m:r>
            <m:rPr>
              <m:sty m:val="p"/>
            </m:rPr>
            <m:t>≠</m:t>
          </m:r>
          <m:r>
            <m:t>A</m:t>
          </m:r>
          <m:r>
            <m:t>C</m:t>
          </m:r>
          <m:r>
            <m:t>T</m:t>
          </m:r>
          <m:r>
            <m:t>I</m:t>
          </m:r>
          <m:r>
            <m:t>V</m:t>
          </m:r>
          <m:r>
            <m:t>E</m:t>
          </m:r>
          <m:r>
            <m:rPr>
              <m:sty m:val="p"/>
            </m:rPr>
            <m:t>,</m:t>
          </m:r>
        </m:oMath>
      </m:oMathPara>
    </w:p>
    <w:p>
      <w:pPr>
        <w:pStyle w:val="FirstParagraph"/>
      </w:pPr>
      <w:r>
        <w:t xml:space="preserve">the access request is denied and the decision is recorded.</w:t>
      </w:r>
    </w:p>
    <w:p>
      <w:pPr>
        <w:pStyle w:val="Compact"/>
        <w:numPr>
          <w:ilvl w:val="0"/>
          <w:numId w:val="1042"/>
        </w:numPr>
      </w:pPr>
      <w:r>
        <w:rPr>
          <w:b/>
          <w:bCs/>
        </w:rPr>
        <w:t xml:space="preserve">Step 4 – Verify Multi-Party Authorisation.</w:t>
      </w:r>
    </w:p>
    <w:p>
      <w:pPr>
        <w:pStyle w:val="FirstParagraph"/>
      </w:pPr>
      <w:r>
        <w:t xml:space="preserve">The system verifies whether the multi-party authorisation requirement associated with consent object</w:t>
      </w:r>
      <w:r>
        <w:t xml:space="preserve"> </w:t>
      </w:r>
      <w:r>
        <w:rPr>
          <w:i/>
          <w:iCs/>
        </w:rPr>
        <w:t xml:space="preserve">C</w:t>
      </w:r>
      <w:r>
        <w:t xml:space="preserve"> </w:t>
      </w:r>
      <w:r>
        <w:t xml:space="preserve">has been satisfied. The valid approval set</w:t>
      </w:r>
      <w:r>
        <w:t xml:space="preserve"> </w:t>
      </w:r>
      <w:r>
        <w:rPr>
          <w:i/>
          <w:iCs/>
        </w:rPr>
        <w:t xml:space="preserve">A</w:t>
      </w:r>
      <w:r>
        <w:rPr>
          <w:vertAlign w:val="subscript"/>
        </w:rPr>
        <w:t xml:space="preserve">v</w:t>
      </w:r>
      <w:r>
        <w:t xml:space="preserve"> </w:t>
      </w:r>
      <w:r>
        <w:t xml:space="preserve">is evaluated against the required threshold</w:t>
      </w:r>
      <w:r>
        <w:t xml:space="preserve"> </w:t>
      </w:r>
      <w:r>
        <w:rPr>
          <w:i/>
          <w:iCs/>
        </w:rPr>
        <w:t xml:space="preserve">N</w:t>
      </w:r>
      <w:r>
        <w:t xml:space="preserve">.</w:t>
      </w:r>
    </w:p>
    <w:p>
      <w:pPr>
        <w:pStyle w:val="BodyText"/>
      </w:pPr>
      <w:r>
        <w:t xml:space="preserve">The authorisation condition is expressed as</w:t>
      </w:r>
    </w:p>
    <w:p>
      <w:pPr>
        <w:pStyle w:val="BodyText"/>
      </w:pPr>
      <m:oMathPara>
        <m:oMathParaPr>
          <m:jc m:val="center"/>
        </m:oMathParaPr>
        <m:oMath>
          <m:d>
            <m:dPr>
              <m:begChr m:val="|"/>
              <m:sepChr m:val=""/>
              <m:endChr m:val="|"/>
              <m:grow/>
            </m:dPr>
            <m:e>
              <m:sSub>
                <m:e>
                  <m:r>
                    <m:t>A</m:t>
                  </m:r>
                </m:e>
                <m:sub>
                  <m:r>
                    <m:t>v</m:t>
                  </m:r>
                </m:sub>
              </m:sSub>
            </m:e>
          </m:d>
          <m:r>
            <m:rPr>
              <m:sty m:val="p"/>
            </m:rPr>
            <m:t>≥</m:t>
          </m:r>
          <m:r>
            <m:t>N</m:t>
          </m:r>
          <m:r>
            <m:rPr>
              <m:sty m:val="p"/>
            </m:rPr>
            <m:t>.</m:t>
          </m:r>
        </m:oMath>
      </m:oMathPara>
    </w:p>
    <w:p>
      <w:pPr>
        <w:pStyle w:val="FirstParagraph"/>
      </w:pPr>
      <w:r>
        <w:t xml:space="preserve">If the threshold has not been satisfied, the consent cannot be used to authorise the requested access. The system therefore records a denied decision and returns</w:t>
      </w:r>
      <w:r>
        <w:t xml:space="preserve"> </w:t>
      </w:r>
      <w:r>
        <w:rPr>
          <w:i/>
          <w:iCs/>
        </w:rPr>
        <w:t xml:space="preserve">DENY</w:t>
      </w:r>
      <w:r>
        <w:t xml:space="preserve">.</w:t>
      </w:r>
    </w:p>
    <w:p>
      <w:pPr>
        <w:pStyle w:val="Compact"/>
        <w:numPr>
          <w:ilvl w:val="0"/>
          <w:numId w:val="1043"/>
        </w:numPr>
      </w:pPr>
      <w:r>
        <w:rPr>
          <w:b/>
          <w:bCs/>
        </w:rPr>
        <w:t xml:space="preserve">Step 5 – Evaluate the Requested Purpose.</w:t>
      </w:r>
    </w:p>
    <w:p>
      <w:pPr>
        <w:pStyle w:val="FirstParagraph"/>
      </w:pPr>
      <w:r>
        <w:t xml:space="preserve">The system compares the purpose specified in the access request</w:t>
      </w:r>
      <w:r>
        <w:t xml:space="preserve"> </w:t>
      </w:r>
      <w:r>
        <w:rPr>
          <w:i/>
          <w:iCs/>
        </w:rPr>
        <w:t xml:space="preserve">P</w:t>
      </w:r>
      <w:r>
        <w:rPr>
          <w:vertAlign w:val="subscript"/>
        </w:rPr>
        <w:t xml:space="preserve">R</w:t>
      </w:r>
      <w:r>
        <w:t xml:space="preserve"> </w:t>
      </w:r>
      <w:r>
        <w:t xml:space="preserve">with the purpose permitted by the consent object</w:t>
      </w:r>
      <w:r>
        <w:t xml:space="preserve"> </w:t>
      </w:r>
      <w:r>
        <w:rPr>
          <w:i/>
          <w:iCs/>
        </w:rPr>
        <w:t xml:space="preserve">P</w:t>
      </w:r>
      <w:r>
        <w:rPr>
          <w:vertAlign w:val="subscript"/>
        </w:rPr>
        <w:t xml:space="preserve">C</w:t>
      </w:r>
      <w:r>
        <w:t xml:space="preserve">. The purpose compatibility condition can be represented as</w:t>
      </w:r>
    </w:p>
    <w:p>
      <w:pPr>
        <w:pStyle w:val="BodyText"/>
      </w:pPr>
      <m:oMathPara>
        <m:oMathParaPr>
          <m:jc m:val="center"/>
        </m:oMathParaPr>
        <m:oMath>
          <m:sSub>
            <m:e>
              <m:r>
                <m:t>P</m:t>
              </m:r>
            </m:e>
            <m:sub>
              <m:r>
                <m:t>R</m:t>
              </m:r>
            </m:sub>
          </m:sSub>
          <m:r>
            <m:rPr>
              <m:sty m:val="p"/>
            </m:rPr>
            <m:t>⊨</m:t>
          </m:r>
          <m:sSub>
            <m:e>
              <m:r>
                <m:t>P</m:t>
              </m:r>
            </m:e>
            <m:sub>
              <m:r>
                <m:t>C</m:t>
              </m:r>
            </m:sub>
          </m:sSub>
          <m:r>
            <m:rPr>
              <m:sty m:val="p"/>
            </m:rPr>
            <m:t>.</m:t>
          </m:r>
        </m:oMath>
      </m:oMathPara>
    </w:p>
    <w:p>
      <w:pPr>
        <w:pStyle w:val="FirstParagraph"/>
      </w:pPr>
      <w:r>
        <w:t xml:space="preserve">where ⊨ denotes that the requested purpose</w:t>
      </w:r>
      <w:r>
        <w:t xml:space="preserve"> </w:t>
      </w:r>
      <m:oMath>
        <m:sSub>
          <m:e>
            <m:r>
              <m:t>P</m:t>
            </m:r>
          </m:e>
          <m:sub>
            <m:r>
              <m:t>R</m:t>
            </m:r>
          </m:sub>
        </m:sSub>
      </m:oMath>
      <w:r>
        <w:t xml:space="preserve"> </w:t>
      </w:r>
      <w:r>
        <w:t xml:space="preserve">is permitted by the consented purpose</w:t>
      </w:r>
      <w:r>
        <w:t xml:space="preserve"> </w:t>
      </w:r>
      <m:oMath>
        <m:sSub>
          <m:e>
            <m:r>
              <m:t>P</m:t>
            </m:r>
          </m:e>
          <m:sub>
            <m:r>
              <m:t>C</m:t>
            </m:r>
          </m:sub>
        </m:sSub>
      </m:oMath>
      <w:r>
        <w:t xml:space="preserve">.</w:t>
      </w:r>
    </w:p>
    <w:p>
      <w:pPr>
        <w:pStyle w:val="BodyText"/>
      </w:pPr>
      <w:r>
        <w:t xml:space="preserve">If the requested purpose is incompatible with the patient’s consent, the request is denied. This step prevents a participant from using otherwise valid credentials and consent to access healthcare information for a purpose that was not authorised by the patient.</w:t>
      </w:r>
    </w:p>
    <w:p>
      <w:pPr>
        <w:pStyle w:val="Compact"/>
        <w:numPr>
          <w:ilvl w:val="0"/>
          <w:numId w:val="1044"/>
        </w:numPr>
      </w:pPr>
      <w:r>
        <w:rPr>
          <w:b/>
          <w:bCs/>
        </w:rPr>
        <w:t xml:space="preserve">Step 6 – Evaluate the Requested Data Scope.</w:t>
      </w:r>
    </w:p>
    <w:p>
      <w:pPr>
        <w:pStyle w:val="FirstParagraph"/>
      </w:pPr>
      <w:r>
        <w:t xml:space="preserve">The system evaluates whether the requested data scope</w:t>
      </w:r>
      <w:r>
        <w:t xml:space="preserve"> </w:t>
      </w:r>
      <w:r>
        <w:rPr>
          <w:i/>
          <w:iCs/>
        </w:rPr>
        <w:t xml:space="preserve">S</w:t>
      </w:r>
      <w:r>
        <w:rPr>
          <w:vertAlign w:val="subscript"/>
        </w:rPr>
        <w:t xml:space="preserve">R</w:t>
      </w:r>
      <w:r>
        <w:t xml:space="preserve"> </w:t>
      </w:r>
      <w:r>
        <w:t xml:space="preserve">is contained within the data scope authorised by the consent, denoted by</w:t>
      </w:r>
      <w:r>
        <w:t xml:space="preserve"> </w:t>
      </w:r>
      <w:r>
        <w:rPr>
          <w:i/>
          <w:iCs/>
        </w:rPr>
        <w:t xml:space="preserve">S</w:t>
      </w:r>
      <w:r>
        <w:rPr>
          <w:vertAlign w:val="subscript"/>
        </w:rPr>
        <w:t xml:space="preserve">C</w:t>
      </w:r>
      <w:r>
        <w:t xml:space="preserve">.</w:t>
      </w:r>
    </w:p>
    <w:p>
      <w:pPr>
        <w:pStyle w:val="BodyText"/>
      </w:pPr>
      <w:r>
        <w:t xml:space="preserve">The required containment relationship is</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If</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the requested access exceeds the patient’s authorised data scope. The system records a denied decision and returns</w:t>
      </w:r>
      <w:r>
        <w:t xml:space="preserve"> </w:t>
      </w:r>
      <w:r>
        <w:rPr>
          <w:i/>
          <w:iCs/>
        </w:rPr>
        <w:t xml:space="preserve">DENY</w:t>
      </w:r>
      <w:r>
        <w:t xml:space="preserve">.</w:t>
      </w:r>
    </w:p>
    <w:p>
      <w:pPr>
        <w:pStyle w:val="BodyText"/>
      </w:pPr>
      <w:r>
        <w:t xml:space="preserve">This step is particularly important for fine-grained healthcare data access because authorisation to access one category of healthcare information does not imply authorisation to access all categories of the patient’s record.</w:t>
      </w:r>
    </w:p>
    <w:p>
      <w:pPr>
        <w:pStyle w:val="Compact"/>
        <w:numPr>
          <w:ilvl w:val="0"/>
          <w:numId w:val="1045"/>
        </w:numPr>
      </w:pPr>
      <w:r>
        <w:rPr>
          <w:b/>
          <w:bCs/>
        </w:rPr>
        <w:t xml:space="preserve">Step 7 – Evaluate the Complete Authorisation Policy.</w:t>
      </w:r>
    </w:p>
    <w:p>
      <w:pPr>
        <w:pStyle w:val="FirstParagraph"/>
      </w:pPr>
      <w:r>
        <w:t xml:space="preserve">After the individual conditions have been successfully evaluated, the system performs the final policy evaluation. The decision is based on the conjunction of identity validity, active consent, sufficient multi-party approval, purpose compatibility, and scope containment. The overall authorisation condition can be represented as</w:t>
      </w:r>
    </w:p>
    <w:p>
      <w:pPr>
        <w:pStyle w:val="BodyText"/>
      </w:pPr>
      <m:oMathPara>
        <m:oMathParaPr>
          <m:jc m:val="center"/>
        </m:oMathParaPr>
        <m:oMath>
          <m:m>
            <m:mPr>
              <m:baseJc m:val="center"/>
              <m:plcHide m:val="on"/>
              <m:mcs>
                <m:mc>
                  <m:mcPr>
                    <m:count m:val="1"/>
                    <m:mcJc m:val="left"/>
                  </m:mcPr>
                </m:mc>
              </m:mcs>
            </m:mPr>
            <m:mr>
              <m:e>
                <m:r>
                  <m:t>A</m:t>
                </m:r>
                <m:r>
                  <m:t>u</m:t>
                </m:r>
                <m:r>
                  <m:t>t</m:t>
                </m:r>
                <m:r>
                  <m:t>h</m:t>
                </m:r>
                <m:r>
                  <m:t>o</m:t>
                </m:r>
                <m:r>
                  <m:t>r</m:t>
                </m:r>
                <m:r>
                  <m:t>i</m:t>
                </m:r>
                <m:r>
                  <m:t>s</m:t>
                </m:r>
                <m:r>
                  <m:t>e</m:t>
                </m:r>
                <m:r>
                  <m:t>d</m:t>
                </m:r>
                <m:r>
                  <m:rPr>
                    <m:sty m:val="p"/>
                  </m:rPr>
                  <m:t>(</m:t>
                </m:r>
                <m:r>
                  <m:t>R</m:t>
                </m:r>
                <m:r>
                  <m:rPr>
                    <m:sty m:val="p"/>
                  </m:rPr>
                  <m:t>,</m:t>
                </m:r>
                <m:r>
                  <m:t>C</m:t>
                </m:r>
                <m:r>
                  <m:rPr>
                    <m:sty m:val="p"/>
                  </m:rPr>
                  <m:t>,</m:t>
                </m:r>
                <m:r>
                  <m:t>u</m:t>
                </m:r>
                <m:r>
                  <m:rPr>
                    <m:sty m:val="p"/>
                  </m:rPr>
                  <m:t>)</m:t>
                </m:r>
                <m:r>
                  <m:rPr>
                    <m:sty m:val="p"/>
                  </m:rPr>
                  <m:t>=</m:t>
                </m:r>
                <m:r>
                  <m:t> </m:t>
                </m:r>
                <m:sSub>
                  <m:e>
                    <m:r>
                      <m:t>V</m:t>
                    </m:r>
                  </m:e>
                  <m:sub>
                    <m:r>
                      <m:t>I</m:t>
                    </m:r>
                  </m:sub>
                </m:sSub>
                <m:r>
                  <m:rPr>
                    <m:sty m:val="p"/>
                  </m:rPr>
                  <m:t>(</m:t>
                </m:r>
                <m:r>
                  <m:t>u</m:t>
                </m:r>
                <m:r>
                  <m:rPr>
                    <m:sty m:val="p"/>
                  </m:rPr>
                  <m:t>)</m:t>
                </m:r>
                <m:r>
                  <m:rPr>
                    <m:sty m:val="p"/>
                  </m:rPr>
                  <m:t>∧</m:t>
                </m:r>
                <m:r>
                  <m:t>A</m:t>
                </m:r>
                <m:r>
                  <m:t>c</m:t>
                </m:r>
                <m:r>
                  <m:t>t</m:t>
                </m:r>
                <m:r>
                  <m:t>i</m:t>
                </m:r>
                <m:r>
                  <m:t>v</m:t>
                </m:r>
                <m:r>
                  <m:t>e</m:t>
                </m:r>
                <m:r>
                  <m:rPr>
                    <m:sty m:val="p"/>
                  </m:rPr>
                  <m:t>(</m:t>
                </m:r>
                <m:r>
                  <m:t>C</m:t>
                </m:r>
                <m:r>
                  <m:rPr>
                    <m:sty m:val="p"/>
                  </m:rPr>
                  <m:t>)</m:t>
                </m:r>
                <m:r>
                  <m:rPr>
                    <m:sty m:val="p"/>
                  </m:rPr>
                  <m:t>∧</m:t>
                </m:r>
                <m:r>
                  <m:rPr>
                    <m:sty m:val="p"/>
                  </m:rPr>
                  <m:t>(</m:t>
                </m:r>
                <m:d>
                  <m:dPr>
                    <m:begChr m:val="|"/>
                    <m:sepChr m:val=""/>
                    <m:endChr m:val="|"/>
                    <m:grow/>
                  </m:dPr>
                  <m:e>
                    <m:sSub>
                      <m:e>
                        <m:r>
                          <m:t>A</m:t>
                        </m:r>
                      </m:e>
                      <m:sub>
                        <m:r>
                          <m:t>v</m:t>
                        </m:r>
                      </m:sub>
                    </m:sSub>
                  </m:e>
                </m:d>
                <m:r>
                  <m:rPr>
                    <m:sty m:val="p"/>
                  </m:rPr>
                  <m:t>≥</m:t>
                </m:r>
                <m:r>
                  <m:t>N</m:t>
                </m:r>
                <m:r>
                  <m:rPr>
                    <m:sty m:val="p"/>
                  </m:rPr>
                  <m:t>)</m:t>
                </m:r>
              </m:e>
            </m:mr>
            <m:mr>
              <m:e>
                <m:r>
                  <m:rPr>
                    <m:sty m:val="p"/>
                  </m:rPr>
                  <m:t>∧</m:t>
                </m:r>
                <m:r>
                  <m:t>P</m:t>
                </m:r>
                <m:r>
                  <m:t>u</m:t>
                </m:r>
                <m:r>
                  <m:t>r</m:t>
                </m:r>
                <m:r>
                  <m:t>p</m:t>
                </m:r>
                <m:r>
                  <m:t>o</m:t>
                </m:r>
                <m:r>
                  <m:t>s</m:t>
                </m:r>
                <m:r>
                  <m:t>e</m:t>
                </m:r>
                <m:r>
                  <m:t>M</m:t>
                </m:r>
                <m:r>
                  <m:t>a</m:t>
                </m:r>
                <m:r>
                  <m:t>t</m:t>
                </m:r>
                <m:r>
                  <m:t>c</m:t>
                </m:r>
                <m:r>
                  <m:t>h</m:t>
                </m:r>
                <m:r>
                  <m:rPr>
                    <m:sty m:val="p"/>
                  </m:rPr>
                  <m:t>(</m:t>
                </m:r>
                <m:sSub>
                  <m:e>
                    <m:r>
                      <m:t>P</m:t>
                    </m:r>
                  </m:e>
                  <m:sub>
                    <m:r>
                      <m:t>R</m:t>
                    </m:r>
                  </m:sub>
                </m:sSub>
                <m:r>
                  <m:rPr>
                    <m:sty m:val="p"/>
                  </m:rPr>
                  <m:t>,</m:t>
                </m:r>
                <m:sSub>
                  <m:e>
                    <m:r>
                      <m:t>P</m:t>
                    </m:r>
                  </m:e>
                  <m:sub>
                    <m:r>
                      <m:t>C</m:t>
                    </m:r>
                  </m:sub>
                </m:sSub>
                <m:r>
                  <m:rPr>
                    <m:sty m:val="p"/>
                  </m:rPr>
                  <m:t>)</m:t>
                </m:r>
                <m:r>
                  <m:rPr>
                    <m:sty m:val="p"/>
                  </m:rPr>
                  <m:t>∧</m:t>
                </m:r>
                <m:r>
                  <m:t>S</m:t>
                </m:r>
                <m:r>
                  <m:t>c</m:t>
                </m:r>
                <m:r>
                  <m:t>o</m:t>
                </m:r>
                <m:r>
                  <m:t>p</m:t>
                </m:r>
                <m:r>
                  <m:t>e</m:t>
                </m:r>
                <m:r>
                  <m:t>M</m:t>
                </m:r>
                <m:r>
                  <m:t>a</m:t>
                </m:r>
                <m:r>
                  <m:t>t</m:t>
                </m:r>
                <m:r>
                  <m:t>c</m:t>
                </m:r>
                <m:r>
                  <m:t>h</m:t>
                </m:r>
                <m:r>
                  <m:rPr>
                    <m:sty m:val="p"/>
                  </m:rPr>
                  <m:t>(</m:t>
                </m:r>
                <m:sSub>
                  <m:e>
                    <m:r>
                      <m:t>S</m:t>
                    </m:r>
                  </m:e>
                  <m:sub>
                    <m:r>
                      <m:t>R</m:t>
                    </m:r>
                  </m:sub>
                </m:sSub>
                <m:r>
                  <m:rPr>
                    <m:sty m:val="p"/>
                  </m:rPr>
                  <m:t>,</m:t>
                </m:r>
                <m:sSub>
                  <m:e>
                    <m:r>
                      <m:t>S</m:t>
                    </m:r>
                  </m:e>
                  <m:sub>
                    <m:r>
                      <m:t>C</m:t>
                    </m:r>
                  </m:sub>
                </m:sSub>
                <m:r>
                  <m:rPr>
                    <m:sty m:val="p"/>
                  </m:rPr>
                  <m:t>)</m:t>
                </m:r>
                <m:r>
                  <m:rPr>
                    <m:sty m:val="p"/>
                  </m:rPr>
                  <m:t>.</m:t>
                </m:r>
              </m:e>
            </m:mr>
          </m:m>
        </m:oMath>
      </m:oMathPara>
    </w:p>
    <w:p>
      <w:pPr>
        <w:pStyle w:val="FirstParagraph"/>
      </w:pPr>
      <w:r>
        <w:t xml:space="preserve">Access can proceed only when all required conditions evaluate to true.</w:t>
      </w:r>
    </w:p>
    <w:p>
      <w:pPr>
        <w:pStyle w:val="Compact"/>
        <w:numPr>
          <w:ilvl w:val="0"/>
          <w:numId w:val="1046"/>
        </w:numPr>
      </w:pPr>
      <w:r>
        <w:rPr>
          <w:b/>
          <w:bCs/>
        </w:rPr>
        <w:t xml:space="preserve">Step 8 – Generate or Verify Access Evidence.</w:t>
      </w:r>
    </w:p>
    <w:p>
      <w:pPr>
        <w:pStyle w:val="FirstParagraph"/>
      </w:pPr>
      <w:r>
        <w:t xml:space="preserve">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w:t>
      </w:r>
    </w:p>
    <w:p>
      <w:pPr>
        <w:pStyle w:val="BodyText"/>
      </w:pPr>
      <w:r>
        <w:t xml:space="preserve">This evidence provides an auditable relationship between the access request and the conditions that justified the resulting authorisation.</w:t>
      </w:r>
    </w:p>
    <w:p>
      <w:pPr>
        <w:pStyle w:val="Compact"/>
        <w:numPr>
          <w:ilvl w:val="0"/>
          <w:numId w:val="1047"/>
        </w:numPr>
      </w:pPr>
      <w:r>
        <w:rPr>
          <w:b/>
          <w:bCs/>
        </w:rPr>
        <w:t xml:space="preserve">Step 9 – Retrieve the Authorised Healthcare Data.</w:t>
      </w:r>
    </w:p>
    <w:p>
      <w:pPr>
        <w:pStyle w:val="FirstParagraph"/>
      </w:pPr>
      <w:r>
        <w:t xml:space="preserve">Once the request has been successfully authorised, the system retrieves only the healthcare data within the requested scope</w:t>
      </w:r>
      <w:r>
        <w:t xml:space="preserve"> </w:t>
      </w:r>
      <w:r>
        <w:rPr>
          <w:i/>
          <w:iCs/>
        </w:rPr>
        <w:t xml:space="preserve">S</w:t>
      </w:r>
      <w:r>
        <w:rPr>
          <w:vertAlign w:val="subscript"/>
        </w:rPr>
        <w:t xml:space="preserve">R</w:t>
      </w:r>
      <w:r>
        <w:t xml:space="preserve"> </w:t>
      </w:r>
      <w:r>
        <w:t xml:space="preserve">⊆</w:t>
      </w:r>
      <w:r>
        <w:t xml:space="preserve"> </w:t>
      </w:r>
      <w:r>
        <w:rPr>
          <w:i/>
          <w:iCs/>
        </w:rPr>
        <w:t xml:space="preserve">S</w:t>
      </w:r>
      <w:r>
        <w:rPr>
          <w:vertAlign w:val="subscript"/>
        </w:rPr>
        <w:t xml:space="preserve">C</w:t>
      </w:r>
      <w:r>
        <w:t xml:space="preserve">. The retrieval operation must enforce the same scope constraints that were evaluated during the policy decision.</w:t>
      </w:r>
    </w:p>
    <w:p>
      <w:pPr>
        <w:pStyle w:val="BodyText"/>
      </w:pPr>
      <w:r>
        <w:t xml:space="preserve">Thus,</w:t>
      </w:r>
    </w:p>
    <w:p>
      <w:pPr>
        <w:pStyle w:val="BodyText"/>
      </w:pPr>
      <m:oMathPara>
        <m:oMathParaPr>
          <m:jc m:val="center"/>
        </m:oMathParaPr>
        <m:oMath>
          <m:r>
            <m:t>D</m:t>
          </m:r>
          <m:r>
            <m:t>a</m:t>
          </m:r>
          <m:r>
            <m:t>t</m:t>
          </m:r>
          <m:sSub>
            <m:e>
              <m:r>
                <m:t>a</m:t>
              </m:r>
            </m:e>
            <m:sub>
              <m:r>
                <m:t>r</m:t>
              </m:r>
              <m:r>
                <m:t>e</m:t>
              </m:r>
              <m:r>
                <m:t>t</m:t>
              </m:r>
              <m:r>
                <m:t>u</m:t>
              </m:r>
              <m:r>
                <m:t>r</m:t>
              </m:r>
              <m:r>
                <m:t>n</m:t>
              </m:r>
              <m:r>
                <m:t>e</m:t>
              </m:r>
              <m:r>
                <m:t>d</m:t>
              </m:r>
            </m:sub>
          </m:sSub>
          <m:r>
            <m:rPr>
              <m:sty m:val="p"/>
            </m:rPr>
            <m:t>⊆</m:t>
          </m:r>
          <m:sSub>
            <m:e>
              <m:r>
                <m:t>S</m:t>
              </m:r>
            </m:e>
            <m:sub>
              <m:r>
                <m:t>C</m:t>
              </m:r>
            </m:sub>
          </m:sSub>
          <m:r>
            <m:rPr>
              <m:sty m:val="p"/>
            </m:rPr>
            <m:t>.</m:t>
          </m:r>
        </m:oMath>
      </m:oMathPara>
    </w:p>
    <w:p>
      <w:pPr>
        <w:pStyle w:val="FirstParagraph"/>
      </w:pPr>
      <w:r>
        <w:t xml:space="preserve">This prevents a mismatch between the policy decision and the actual data returned to the requester.</w:t>
      </w:r>
    </w:p>
    <w:p>
      <w:pPr>
        <w:pStyle w:val="Compact"/>
        <w:numPr>
          <w:ilvl w:val="0"/>
          <w:numId w:val="1048"/>
        </w:numPr>
      </w:pPr>
      <w:r>
        <w:rPr>
          <w:b/>
          <w:bCs/>
        </w:rPr>
        <w:t xml:space="preserve">Step 10 – Record the Granted Decision.</w:t>
      </w:r>
    </w:p>
    <w:p>
      <w:pPr>
        <w:pStyle w:val="FirstParagraph"/>
      </w:pPr>
      <w:r>
        <w:t xml:space="preserve">The system records the successful access-authorisation event. The recorded evidence may include the request identifier, consent identifier, requester identity, authorised purpose, authorised data scope, authorisation result, and relevant timestamp.</w:t>
      </w:r>
    </w:p>
    <w:p>
      <w:pPr>
        <w:pStyle w:val="BodyText"/>
      </w:pPr>
      <w:r>
        <w:t xml:space="preserve">The resulting event provides an auditable record of why and under which conditions access was granted.</w:t>
      </w:r>
    </w:p>
    <w:p>
      <w:pPr>
        <w:pStyle w:val="Compact"/>
        <w:numPr>
          <w:ilvl w:val="0"/>
          <w:numId w:val="1049"/>
        </w:numPr>
      </w:pPr>
      <w:r>
        <w:rPr>
          <w:b/>
          <w:bCs/>
        </w:rPr>
        <w:t xml:space="preserve">Step 11 – Return the Final Access Decision.</w:t>
      </w:r>
    </w:p>
    <w:p>
      <w:pPr>
        <w:pStyle w:val="FirstParagraph"/>
      </w:pPr>
      <w:r>
        <w:t xml:space="preserve">If all mandatory conditions have been satisfied, the system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A</m:t>
          </m:r>
          <m:r>
            <m:t>L</m:t>
          </m:r>
          <m:r>
            <m:t>L</m:t>
          </m:r>
          <m:r>
            <m:t>O</m:t>
          </m:r>
          <m:r>
            <m:t>W</m:t>
          </m:r>
          <m:r>
            <m:rPr>
              <m:sty m:val="p"/>
            </m:rPr>
            <m:t>.</m:t>
          </m:r>
        </m:oMath>
      </m:oMathPara>
    </w:p>
    <w:p>
      <w:pPr>
        <w:pStyle w:val="FirstParagraph"/>
      </w:pPr>
      <w:r>
        <w:t xml:space="preserve">If any mandatory condition fails during the evaluation process, the system records the corresponding denial evidence and returns</w:t>
      </w:r>
    </w:p>
    <w:p>
      <w:pPr>
        <w:pStyle w:val="BodyText"/>
      </w:pPr>
      <m:oMathPara>
        <m:oMathParaPr>
          <m:jc m:val="center"/>
        </m:oMathParaPr>
        <m:oMath>
          <m:r>
            <m:t>A</m:t>
          </m:r>
          <m:r>
            <m:t>c</m:t>
          </m:r>
          <m:r>
            <m:t>c</m:t>
          </m:r>
          <m:r>
            <m:t>e</m:t>
          </m:r>
          <m:r>
            <m:t>s</m:t>
          </m:r>
          <m:r>
            <m:t>s</m:t>
          </m:r>
          <m:r>
            <m:t>D</m:t>
          </m:r>
          <m:r>
            <m:t>e</m:t>
          </m:r>
          <m:r>
            <m:t>c</m:t>
          </m:r>
          <m:r>
            <m:t>i</m:t>
          </m:r>
          <m:r>
            <m:t>s</m:t>
          </m:r>
          <m:r>
            <m:t>i</m:t>
          </m:r>
          <m:r>
            <m:t>o</m:t>
          </m:r>
          <m:r>
            <m:t>n</m:t>
          </m:r>
          <m:r>
            <m:rPr>
              <m:sty m:val="p"/>
            </m:rPr>
            <m:t>=</m:t>
          </m:r>
          <m:r>
            <m:t>D</m:t>
          </m:r>
          <m:r>
            <m:t>E</m:t>
          </m:r>
          <m:r>
            <m:t>N</m:t>
          </m:r>
          <m:r>
            <m:t>Y</m:t>
          </m:r>
          <m:r>
            <m:rPr>
              <m:sty m:val="p"/>
            </m:rPr>
            <m:t>.</m:t>
          </m:r>
        </m:oMath>
      </m:oMathPara>
    </w:p>
    <w:p>
      <w:pPr>
        <w:pStyle w:val="FirstParagraph"/>
      </w:pPr>
      <w:r>
        <w:t xml:space="preserve">The overall decision process can therefore be represented as</w:t>
      </w:r>
    </w:p>
    <w:p>
      <w:pPr>
        <w:pStyle w:val="BodyText"/>
      </w:pPr>
      <m:oMathPara>
        <m:oMathParaPr>
          <m:jc m:val="center"/>
        </m:oMathParaPr>
        <m:oMath>
          <m:m>
            <m:mPr>
              <m:baseJc m:val="center"/>
              <m:plcHide m:val="on"/>
              <m:mcs>
                <m:mc>
                  <m:mcPr>
                    <m:count m:val="1"/>
                    <m:mcJc m:val="left"/>
                  </m:mcPr>
                </m:mc>
              </m:mcs>
            </m:mPr>
            <m:mr>
              <m:e>
                <m:r>
                  <m:t>R</m:t>
                </m:r>
                <m:r>
                  <m:rPr>
                    <m:sty m:val="p"/>
                  </m:rPr>
                  <m:t>→</m:t>
                </m:r>
                <m:r>
                  <m:t>D</m:t>
                </m:r>
                <m:r>
                  <m:t>I</m:t>
                </m:r>
                <m:r>
                  <m:t>D</m:t>
                </m:r>
                <m:r>
                  <m:rPr>
                    <m:sty m:val="p"/>
                  </m:rPr>
                  <m:t>/</m:t>
                </m:r>
                <m:r>
                  <m:t>V</m:t>
                </m:r>
                <m:r>
                  <m:t>C</m:t>
                </m:r>
                <m:r>
                  <m:rPr>
                    <m:sty m:val="p"/>
                  </m:rPr>
                  <m:t>→</m:t>
                </m:r>
                <m:r>
                  <m:t>C</m:t>
                </m:r>
                <m:r>
                  <m:t>o</m:t>
                </m:r>
                <m:r>
                  <m:t>n</m:t>
                </m:r>
                <m:r>
                  <m:t>s</m:t>
                </m:r>
                <m:r>
                  <m:t>e</m:t>
                </m:r>
                <m:r>
                  <m:t>n</m:t>
                </m:r>
                <m:r>
                  <m:t>t</m:t>
                </m:r>
                <m:r>
                  <m:t> </m:t>
                </m:r>
                <m:r>
                  <m:t>S</m:t>
                </m:r>
                <m:r>
                  <m:t>t</m:t>
                </m:r>
                <m:r>
                  <m:t>a</m:t>
                </m:r>
                <m:r>
                  <m:t>t</m:t>
                </m:r>
                <m:r>
                  <m:t>e</m:t>
                </m:r>
                <m:r>
                  <m:rPr>
                    <m:sty m:val="p"/>
                  </m:rPr>
                  <m:t>→</m:t>
                </m:r>
                <m:r>
                  <m:t>T</m:t>
                </m:r>
                <m:r>
                  <m:t>h</m:t>
                </m:r>
                <m:r>
                  <m:t>r</m:t>
                </m:r>
                <m:r>
                  <m:t>e</m:t>
                </m:r>
                <m:r>
                  <m:t>s</m:t>
                </m:r>
                <m:r>
                  <m:t>h</m:t>
                </m:r>
                <m:r>
                  <m:t>o</m:t>
                </m:r>
                <m:r>
                  <m:t>l</m:t>
                </m:r>
                <m:r>
                  <m:t>d</m:t>
                </m:r>
                <m:r>
                  <m:rPr>
                    <m:sty m:val="p"/>
                  </m:rPr>
                  <m:t>→</m:t>
                </m:r>
                <m:r>
                  <m:t>P</m:t>
                </m:r>
                <m:r>
                  <m:t>u</m:t>
                </m:r>
                <m:r>
                  <m:t>r</m:t>
                </m:r>
                <m:r>
                  <m:t>p</m:t>
                </m:r>
                <m:r>
                  <m:t>o</m:t>
                </m:r>
                <m:r>
                  <m:t>s</m:t>
                </m:r>
                <m:r>
                  <m:t>e</m:t>
                </m:r>
              </m:e>
            </m:mr>
            <m:mr>
              <m:e>
                <m:r>
                  <m:rPr>
                    <m:sty m:val="p"/>
                  </m:rPr>
                  <m:t>→</m:t>
                </m:r>
                <m:r>
                  <m:t>S</m:t>
                </m:r>
                <m:r>
                  <m:t>c</m:t>
                </m:r>
                <m:r>
                  <m:t>o</m:t>
                </m:r>
                <m:r>
                  <m:t>p</m:t>
                </m:r>
                <m:r>
                  <m:t>e</m:t>
                </m:r>
                <m:r>
                  <m:rPr>
                    <m:sty m:val="p"/>
                  </m:rPr>
                  <m:t>→</m:t>
                </m:r>
                <m:r>
                  <m:t>P</m:t>
                </m:r>
                <m:r>
                  <m:t>o</m:t>
                </m:r>
                <m:r>
                  <m:t>l</m:t>
                </m:r>
                <m:r>
                  <m:t>i</m:t>
                </m:r>
                <m:r>
                  <m:t>c</m:t>
                </m:r>
                <m:r>
                  <m:t>y</m:t>
                </m:r>
                <m:r>
                  <m:t> </m:t>
                </m:r>
                <m:r>
                  <m:t>E</m:t>
                </m:r>
                <m:r>
                  <m:t>v</m:t>
                </m:r>
                <m:r>
                  <m:t>a</m:t>
                </m:r>
                <m:r>
                  <m:t>l</m:t>
                </m:r>
                <m:r>
                  <m:rPr>
                    <m:sty m:val="p"/>
                  </m:rPr>
                  <m:t>.</m:t>
                </m:r>
                <m:r>
                  <m:rPr>
                    <m:sty m:val="p"/>
                  </m:rPr>
                  <m:t>→</m:t>
                </m:r>
                <m:r>
                  <m:t>E</m:t>
                </m:r>
                <m:r>
                  <m:t>v</m:t>
                </m:r>
                <m:r>
                  <m:t>i</m:t>
                </m:r>
                <m:r>
                  <m:t>d</m:t>
                </m:r>
                <m:r>
                  <m:t>e</m:t>
                </m:r>
                <m:r>
                  <m:t>n</m:t>
                </m:r>
                <m:r>
                  <m:t>c</m:t>
                </m:r>
                <m:r>
                  <m:t>e</m:t>
                </m:r>
                <m:r>
                  <m:rPr>
                    <m:sty m:val="p"/>
                  </m:rPr>
                  <m:t>→</m:t>
                </m:r>
                <m:r>
                  <m:t>D</m:t>
                </m:r>
                <m:r>
                  <m:t>a</m:t>
                </m:r>
                <m:r>
                  <m:t>t</m:t>
                </m:r>
                <m:r>
                  <m:t>a</m:t>
                </m:r>
                <m:r>
                  <m:t> </m:t>
                </m:r>
                <m:r>
                  <m:t>R</m:t>
                </m:r>
                <m:r>
                  <m:t>e</m:t>
                </m:r>
                <m:r>
                  <m:t>t</m:t>
                </m:r>
                <m:r>
                  <m:t>r</m:t>
                </m:r>
                <m:r>
                  <m:rPr>
                    <m:sty m:val="p"/>
                  </m:rPr>
                  <m:t>.</m:t>
                </m:r>
                <m:r>
                  <m:rPr>
                    <m:sty m:val="p"/>
                  </m:rPr>
                  <m:t>→</m:t>
                </m:r>
                <m:d>
                  <m:dPr>
                    <m:begChr m:val="{"/>
                    <m:sepChr m:val=""/>
                    <m:endChr m:val=""/>
                    <m:grow/>
                  </m:dPr>
                  <m:e>
                    <m:m>
                      <m:mPr>
                        <m:baseJc m:val="center"/>
                        <m:plcHide m:val="on"/>
                        <m:mcs>
                          <m:mc>
                            <m:mcPr>
                              <m:count m:val="1"/>
                              <m:mcJc m:val="left"/>
                            </m:mcPr>
                          </m:mc>
                        </m:mcs>
                      </m:mPr>
                      <m:mr>
                        <m:e>
                          <m:r>
                            <m:t>A</m:t>
                          </m:r>
                          <m:r>
                            <m:t>L</m:t>
                          </m:r>
                          <m:r>
                            <m:t>L</m:t>
                          </m:r>
                          <m:r>
                            <m:t>O</m:t>
                          </m:r>
                          <m:r>
                            <m:t>W</m:t>
                          </m:r>
                        </m:e>
                      </m:mr>
                      <m:mr>
                        <m:e>
                          <m:r>
                            <m:t>D</m:t>
                          </m:r>
                          <m:r>
                            <m:t>E</m:t>
                          </m:r>
                          <m:r>
                            <m:t>N</m:t>
                          </m:r>
                          <m:r>
                            <m:t>Y</m:t>
                          </m:r>
                        </m:e>
                      </m:mr>
                    </m:m>
                  </m:e>
                </m:d>
              </m:e>
            </m:mr>
          </m:m>
        </m:oMath>
      </m:oMathPara>
    </w:p>
    <w:p>
      <w:pPr>
        <w:pStyle w:val="FirstParagraph"/>
      </w:pPr>
      <w:r>
        <w:t xml:space="preserve">The final access decision can be formally expressed as</w:t>
      </w:r>
    </w:p>
    <w:p>
      <w:pPr>
        <w:pStyle w:val="BodyText"/>
      </w:pPr>
      <m:oMathPara>
        <m:oMathParaPr>
          <m:jc m:val="center"/>
        </m:oMathParaPr>
        <m:oMath>
          <m:m>
            <m:mPr>
              <m:baseJc m:val="center"/>
              <m:plcHide m:val="on"/>
              <m:mcs>
                <m:mc>
                  <m:mcPr>
                    <m:count m:val="1"/>
                    <m:mcJc m:val="left"/>
                  </m:mcPr>
                </m:mc>
              </m:mcs>
            </m:mPr>
            <m:mr>
              <m:e>
                <m:r>
                  <m:t>A</m:t>
                </m:r>
                <m:r>
                  <m:t>L</m:t>
                </m:r>
                <m:r>
                  <m:t>L</m:t>
                </m:r>
                <m:r>
                  <m:t>O</m:t>
                </m:r>
                <m:r>
                  <m:t>W</m:t>
                </m:r>
                <m:r>
                  <m:rPr>
                    <m:sty m:val="p"/>
                  </m:rPr>
                  <m:t>⇔</m:t>
                </m:r>
                <m:r>
                  <m:t> </m:t>
                </m:r>
                <m:r>
                  <m:t>I</m:t>
                </m:r>
                <m:r>
                  <m:t>d</m:t>
                </m:r>
                <m:r>
                  <m:t>e</m:t>
                </m:r>
                <m:r>
                  <m:t>n</m:t>
                </m:r>
                <m:r>
                  <m:t>t</m:t>
                </m:r>
                <m:r>
                  <m:t>i</m:t>
                </m:r>
                <m:r>
                  <m:t>t</m:t>
                </m:r>
                <m:r>
                  <m:t>y</m:t>
                </m:r>
                <m:r>
                  <m:rPr>
                    <m:sty m:val="p"/>
                  </m:rPr>
                  <m:t>∧</m:t>
                </m:r>
                <m:r>
                  <m:t>C</m:t>
                </m:r>
                <m:r>
                  <m:t>o</m:t>
                </m:r>
                <m:r>
                  <m:t>n</m:t>
                </m:r>
                <m:r>
                  <m:t>s</m:t>
                </m:r>
                <m:r>
                  <m:t>e</m:t>
                </m:r>
                <m:r>
                  <m:t>n</m:t>
                </m:r>
                <m:r>
                  <m:t>t</m:t>
                </m:r>
                <m:r>
                  <m:rPr>
                    <m:sty m:val="p"/>
                  </m:rPr>
                  <m:t>∧</m:t>
                </m:r>
                <m:r>
                  <m:t>A</m:t>
                </m:r>
                <m:r>
                  <m:t>u</m:t>
                </m:r>
                <m:r>
                  <m:t>t</m:t>
                </m:r>
                <m:r>
                  <m:t>h</m:t>
                </m:r>
                <m:r>
                  <m:t>o</m:t>
                </m:r>
                <m:r>
                  <m:t>r</m:t>
                </m:r>
                <m:r>
                  <m:t>i</m:t>
                </m:r>
                <m:r>
                  <m:t>t</m:t>
                </m:r>
                <m:r>
                  <m:t>y</m:t>
                </m:r>
                <m:r>
                  <m:rPr>
                    <m:sty m:val="p"/>
                  </m:rPr>
                  <m:t>∧</m:t>
                </m:r>
                <m:r>
                  <m:t>T</m:t>
                </m:r>
                <m:r>
                  <m:t>h</m:t>
                </m:r>
                <m:r>
                  <m:t>r</m:t>
                </m:r>
                <m:r>
                  <m:t>e</m:t>
                </m:r>
                <m:r>
                  <m:t>s</m:t>
                </m:r>
                <m:r>
                  <m:t>h</m:t>
                </m:r>
                <m:r>
                  <m:t>o</m:t>
                </m:r>
                <m:r>
                  <m:t>l</m:t>
                </m:r>
                <m:r>
                  <m:t>d</m:t>
                </m:r>
              </m:e>
            </m:mr>
            <m:mr>
              <m:e>
                <m:r>
                  <m:rPr>
                    <m:sty m:val="p"/>
                  </m:rPr>
                  <m:t>∧</m:t>
                </m:r>
                <m:r>
                  <m:t>P</m:t>
                </m:r>
                <m:r>
                  <m:t>u</m:t>
                </m:r>
                <m:r>
                  <m:t>r</m:t>
                </m:r>
                <m:r>
                  <m:t>p</m:t>
                </m:r>
                <m:r>
                  <m:t>o</m:t>
                </m:r>
                <m:r>
                  <m:t>s</m:t>
                </m:r>
                <m:r>
                  <m:t>e</m:t>
                </m:r>
                <m:r>
                  <m:rPr>
                    <m:sty m:val="p"/>
                  </m:rPr>
                  <m:t>∧</m:t>
                </m:r>
                <m:r>
                  <m:t>S</m:t>
                </m:r>
                <m:r>
                  <m:t>c</m:t>
                </m:r>
                <m:r>
                  <m:t>o</m:t>
                </m:r>
                <m:r>
                  <m:t>p</m:t>
                </m:r>
                <m:r>
                  <m:t>e</m:t>
                </m:r>
                <m:r>
                  <m:rPr>
                    <m:sty m:val="p"/>
                  </m:rPr>
                  <m:t>∧</m:t>
                </m:r>
                <m:r>
                  <m:t>E</m:t>
                </m:r>
                <m:r>
                  <m:t>v</m:t>
                </m:r>
                <m:r>
                  <m:t>i</m:t>
                </m:r>
                <m:r>
                  <m:t>d</m:t>
                </m:r>
                <m:r>
                  <m:t>e</m:t>
                </m:r>
                <m:r>
                  <m:t>n</m:t>
                </m:r>
                <m:r>
                  <m:t>c</m:t>
                </m:r>
                <m:r>
                  <m:t>e</m:t>
                </m:r>
              </m:e>
            </m:mr>
          </m:m>
        </m:oMath>
      </m:oMathPara>
    </w:p>
    <w:p>
      <w:pPr>
        <w:pStyle w:val="FirstParagraph"/>
      </w:pPr>
      <w:r>
        <w:t xml:space="preserve">where the individual conditions represent verified participant identity, active consent, sufficient authority, satisfied multi-party approval, compatible purpose, authorised data scope, and sufficient decision evidence, respectively.</w:t>
      </w:r>
    </w:p>
    <w:p>
      <w:pPr>
        <w:pStyle w:val="BodyText"/>
      </w:pPr>
      <w:r>
        <w:t xml:space="preserve">This procedure establishes an important distinction between</w:t>
      </w:r>
      <w:r>
        <w:t xml:space="preserve"> </w:t>
      </w:r>
      <w:r>
        <w:rPr>
          <w:i/>
          <w:iCs/>
        </w:rPr>
        <w:t xml:space="preserve">authentication</w:t>
      </w:r>
      <w:r>
        <w:t xml:space="preserve">,</w:t>
      </w:r>
      <w:r>
        <w:t xml:space="preserve"> </w:t>
      </w:r>
      <w:r>
        <w:rPr>
          <w:i/>
          <w:iCs/>
        </w:rPr>
        <w:t xml:space="preserve">consent</w:t>
      </w:r>
      <w:r>
        <w:t xml:space="preserve">, and</w:t>
      </w:r>
      <w:r>
        <w:t xml:space="preserve"> </w:t>
      </w:r>
      <w:r>
        <w:rPr>
          <w:i/>
          <w:iCs/>
        </w:rPr>
        <w:t xml:space="preserve">authorisation</w:t>
      </w:r>
      <w:r>
        <w:t xml:space="preserve">.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w:t>
      </w:r>
    </w:p>
    <w:p>
      <w:pPr>
        <w:pStyle w:val="BodyText"/>
      </w:pPr>
      <w:r>
        <w:t xml:space="preserve">The procedure also implements the principle of least privilege through the explicit scope-containment condition that</w:t>
      </w:r>
    </w:p>
    <w:p>
      <w:pPr>
        <w:pStyle w:val="BodyText"/>
      </w:pPr>
      <m:oMathPara>
        <m:oMathParaPr>
          <m:jc m:val="center"/>
        </m:oMathParaPr>
        <m:oMath>
          <m:sSub>
            <m:e>
              <m:r>
                <m:t>S</m:t>
              </m:r>
            </m:e>
            <m:sub>
              <m:r>
                <m:t>R</m:t>
              </m:r>
            </m:sub>
          </m:sSub>
          <m:r>
            <m:rPr>
              <m:sty m:val="p"/>
            </m:rPr>
            <m:t>⊆</m:t>
          </m:r>
          <m:sSub>
            <m:e>
              <m:r>
                <m:t>S</m:t>
              </m:r>
            </m:e>
            <m:sub>
              <m:r>
                <m:t>C</m:t>
              </m:r>
            </m:sub>
          </m:sSub>
          <m:r>
            <m:rPr>
              <m:sty m:val="p"/>
            </m:rPr>
            <m:t>.</m:t>
          </m:r>
        </m:oMath>
      </m:oMathPara>
    </w:p>
    <w:p>
      <w:pPr>
        <w:pStyle w:val="FirstParagraph"/>
      </w:pPr>
      <w:r>
        <w:t xml:space="preserve">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w:t>
      </w:r>
    </w:p>
    <w:p>
      <w:pPr>
        <w:pStyle w:val="BodyText"/>
      </w:pPr>
      <w: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w:t>
      </w:r>
    </w:p>
    <w:p>
      <w:pPr>
        <w:pStyle w:val="BodyText"/>
      </w:pPr>
      <w:r>
        <w:t xml:space="preserve">The resulting end-to-end authorisation lifecycle can be summarised as</w:t>
      </w:r>
    </w:p>
    <w:p>
      <w:pPr>
        <w:pStyle w:val="BodyText"/>
      </w:pPr>
      <w:r>
        <w:t xml:space="preserve">Consent Creation → Identity Verification → Multi-Party Authorisation → Policy Decision</w:t>
      </w:r>
    </w:p>
    <w:p>
      <w:pPr>
        <w:pStyle w:val="BodyText"/>
      </w:pPr>
      <w:r>
        <w:t xml:space="preserve">This architecture transforms healthcare data access from a simple credential-based permission check into an evidence-based authorisation process in which identity, consent, authority, distributed approval, purpose, scope, and audit evidence jointly determine the final access decision.</w:t>
      </w:r>
    </w:p>
    <w:bookmarkEnd w:id="118"/>
    <w:bookmarkStart w:id="119" w:name="algorithm-4-policy-aware-access-decision"/>
    <w:p>
      <w:pPr>
        <w:pStyle w:val="Heading3"/>
      </w:pPr>
      <w:r>
        <w:t xml:space="preserve">6.4.3 Algorithm 4: Policy-Aware Access Decision</w:t>
      </w:r>
    </w:p>
    <w:p>
      <w:pPr>
        <w:pStyle w:val="Algorithm"/>
      </w:pPr>
      <w:r>
        <w:rPr>
          <w:b/>
          <w:bCs/>
        </w:rPr>
        <w:t xml:space="preserve">Algorithm 4</w:t>
      </w:r>
      <w:r>
        <w:t xml:space="preserve"> </w:t>
      </w:r>
      <w:r>
        <w:t xml:space="preserve">Policy-Aware Access Decision</w:t>
      </w:r>
      <w:r>
        <w:br/>
      </w:r>
      <w:r>
        <w:rPr>
          <w:b/>
          <w:bCs/>
        </w:rPr>
        <w:t xml:space="preserve">Require:</w:t>
      </w:r>
      <w:r>
        <w:t xml:space="preserve"> </w:t>
      </w:r>
      <w:r>
        <w:t xml:space="preserve">Consent object</w:t>
      </w:r>
      <w:r>
        <w:t xml:space="preserve"> </w:t>
      </w:r>
      <m:oMath>
        <m:r>
          <m:t>C</m:t>
        </m:r>
      </m:oMath>
      <w:r>
        <w:t xml:space="preserve">, access request</w:t>
      </w:r>
      <w:r>
        <w:t xml:space="preserve"> </w:t>
      </w:r>
      <m:oMath>
        <m:r>
          <m:t>R</m:t>
        </m:r>
      </m:oMath>
      <w:r>
        <w:t xml:space="preserve">, requesting participant</w:t>
      </w:r>
      <w:r>
        <w:t xml:space="preserve"> </w:t>
      </w:r>
      <m:oMath>
        <m:r>
          <m:t>u</m:t>
        </m:r>
      </m:oMath>
      <w:r>
        <w:br/>
      </w:r>
      <w:r>
        <w:rPr>
          <w:b/>
          <w:bCs/>
        </w:rPr>
        <w:t xml:space="preserve">Ensure:</w:t>
      </w:r>
      <w:r>
        <w:t xml:space="preserve"> </w:t>
      </w:r>
      <w:r>
        <w:t xml:space="preserve">Access decision</w:t>
      </w:r>
      <w:r>
        <w:br/>
      </w:r>
      <w:r>
        <w:t xml:space="preserve">1: Verify DID and VC of</w:t>
      </w:r>
      <w:r>
        <w:t xml:space="preserve"> </w:t>
      </w:r>
      <m:oMath>
        <m:r>
          <m:t>u</m:t>
        </m:r>
      </m:oMath>
      <w:r>
        <w:br/>
      </w:r>
      <w:r>
        <w:t xml:space="preserve">2:</w:t>
      </w:r>
      <w:r>
        <w:t xml:space="preserve"> </w:t>
      </w:r>
      <w:r>
        <w:rPr>
          <w:b/>
          <w:bCs/>
        </w:rPr>
        <w:t xml:space="preserve">if</w:t>
      </w:r>
      <w:r>
        <w:t xml:space="preserve"> </w:t>
      </w:r>
      <w:r>
        <w:t xml:space="preserve">identity or authority verification fails</w:t>
      </w:r>
      <w:r>
        <w:t xml:space="preserve"> </w:t>
      </w:r>
      <w:r>
        <w:rPr>
          <w:b/>
          <w:bCs/>
        </w:rPr>
        <w:t xml:space="preserve">then</w:t>
      </w:r>
      <w:r>
        <w:br/>
      </w:r>
      <w:r>
        <w:t xml:space="preserve">    3: Record denied decision</w:t>
      </w:r>
      <w:r>
        <w:br/>
      </w:r>
      <w:r>
        <w:t xml:space="preserve">    4:</w:t>
      </w:r>
      <w:r>
        <w:t xml:space="preserve"> </w:t>
      </w:r>
      <w:r>
        <w:rPr>
          <w:b/>
          <w:bCs/>
        </w:rPr>
        <w:t xml:space="preserve">return</w:t>
      </w:r>
      <w:r>
        <w:t xml:space="preserve"> </w:t>
      </w:r>
      <w:r>
        <w:t xml:space="preserve">DENY</w:t>
      </w:r>
      <w:r>
        <w:br/>
      </w:r>
      <w:r>
        <w:t xml:space="preserve">5:</w:t>
      </w:r>
      <w:r>
        <w:t xml:space="preserve"> </w:t>
      </w:r>
      <w:r>
        <w:rPr>
          <w:b/>
          <w:bCs/>
        </w:rPr>
        <w:t xml:space="preserve">end if</w:t>
      </w:r>
      <w:r>
        <w:br/>
      </w:r>
      <w:r>
        <w:t xml:space="preserve">6: Evaluate consent state</w:t>
      </w:r>
      <w:r>
        <w:br/>
      </w:r>
      <w:r>
        <w:t xml:space="preserve">7:</w:t>
      </w:r>
      <w:r>
        <w:t xml:space="preserve"> </w:t>
      </w:r>
      <w:r>
        <w:rPr>
          <w:b/>
          <w:bCs/>
        </w:rPr>
        <w:t xml:space="preserve">if</w:t>
      </w:r>
      <w:r>
        <w:t xml:space="preserve"> </w:t>
      </w:r>
      <w:r>
        <w:t xml:space="preserve">consent is not active</w:t>
      </w:r>
      <w:r>
        <w:t xml:space="preserve"> </w:t>
      </w:r>
      <w:r>
        <w:rPr>
          <w:b/>
          <w:bCs/>
        </w:rPr>
        <w:t xml:space="preserve">then</w:t>
      </w:r>
      <w:r>
        <w:br/>
      </w:r>
      <w:r>
        <w:t xml:space="preserve">    8: Record denied decision</w:t>
      </w:r>
      <w:r>
        <w:br/>
      </w:r>
      <w:r>
        <w:t xml:space="preserve">    9:</w:t>
      </w:r>
      <w:r>
        <w:t xml:space="preserve"> </w:t>
      </w:r>
      <w:r>
        <w:rPr>
          <w:b/>
          <w:bCs/>
        </w:rPr>
        <w:t xml:space="preserve">return</w:t>
      </w:r>
      <w:r>
        <w:t xml:space="preserve"> </w:t>
      </w:r>
      <w:r>
        <w:t xml:space="preserve">DENY</w:t>
      </w:r>
      <w:r>
        <w:br/>
      </w:r>
      <w:r>
        <w:t xml:space="preserve">10:</w:t>
      </w:r>
      <w:r>
        <w:t xml:space="preserve"> </w:t>
      </w:r>
      <w:r>
        <w:rPr>
          <w:b/>
          <w:bCs/>
        </w:rPr>
        <w:t xml:space="preserve">end if</w:t>
      </w:r>
      <w:r>
        <w:br/>
      </w:r>
      <w:r>
        <w:t xml:space="preserve">11: Verify multi-party authorisation</w:t>
      </w:r>
      <w:r>
        <w:br/>
      </w:r>
      <w:r>
        <w:t xml:space="preserve">12:</w:t>
      </w:r>
      <w:r>
        <w:t xml:space="preserve"> </w:t>
      </w:r>
      <w:r>
        <w:rPr>
          <w:b/>
          <w:bCs/>
        </w:rPr>
        <w:t xml:space="preserve">if</w:t>
      </w:r>
      <w:r>
        <w:t xml:space="preserve"> </w:t>
      </w:r>
      <w:r>
        <w:t xml:space="preserve">threshold is not satisfied</w:t>
      </w:r>
      <w:r>
        <w:t xml:space="preserve"> </w:t>
      </w:r>
      <w:r>
        <w:rPr>
          <w:b/>
          <w:bCs/>
        </w:rPr>
        <w:t xml:space="preserve">then</w:t>
      </w:r>
      <w:r>
        <w:br/>
      </w:r>
      <w:r>
        <w:t xml:space="preserve">    13: Record denied decision</w:t>
      </w:r>
      <w:r>
        <w:br/>
      </w:r>
      <w:r>
        <w:t xml:space="preserve">    14:</w:t>
      </w:r>
      <w:r>
        <w:t xml:space="preserve"> </w:t>
      </w:r>
      <w:r>
        <w:rPr>
          <w:b/>
          <w:bCs/>
        </w:rPr>
        <w:t xml:space="preserve">return</w:t>
      </w:r>
      <w:r>
        <w:t xml:space="preserve"> </w:t>
      </w:r>
      <w:r>
        <w:t xml:space="preserve">DENY</w:t>
      </w:r>
      <w:r>
        <w:br/>
      </w:r>
      <w:r>
        <w:t xml:space="preserve">15:</w:t>
      </w:r>
      <w:r>
        <w:t xml:space="preserve"> </w:t>
      </w:r>
      <w:r>
        <w:rPr>
          <w:b/>
          <w:bCs/>
        </w:rPr>
        <w:t xml:space="preserve">end if</w:t>
      </w:r>
      <w:r>
        <w:br/>
      </w:r>
      <w:r>
        <w:t xml:space="preserve">16: Evaluate requested purpose</w:t>
      </w:r>
      <w:r>
        <w:br/>
      </w:r>
      <w:r>
        <w:t xml:space="preserve">17:</w:t>
      </w:r>
      <w:r>
        <w:t xml:space="preserve"> </w:t>
      </w:r>
      <w:r>
        <w:rPr>
          <w:b/>
          <w:bCs/>
        </w:rPr>
        <w:t xml:space="preserve">if</w:t>
      </w:r>
      <w:r>
        <w:t xml:space="preserve"> </w:t>
      </w:r>
      <w:r>
        <w:t xml:space="preserve">purpose is incompatible with consent</w:t>
      </w:r>
      <w:r>
        <w:t xml:space="preserve"> </w:t>
      </w:r>
      <w:r>
        <w:rPr>
          <w:b/>
          <w:bCs/>
        </w:rPr>
        <w:t xml:space="preserve">then</w:t>
      </w:r>
      <w:r>
        <w:br/>
      </w:r>
      <w:r>
        <w:t xml:space="preserve">    18: Record denied decision</w:t>
      </w:r>
      <w:r>
        <w:br/>
      </w:r>
      <w:r>
        <w:t xml:space="preserve">    19:</w:t>
      </w:r>
      <w:r>
        <w:t xml:space="preserve"> </w:t>
      </w:r>
      <w:r>
        <w:rPr>
          <w:b/>
          <w:bCs/>
        </w:rPr>
        <w:t xml:space="preserve">return</w:t>
      </w:r>
      <w:r>
        <w:t xml:space="preserve"> </w:t>
      </w:r>
      <w:r>
        <w:t xml:space="preserve">DENY</w:t>
      </w:r>
      <w:r>
        <w:br/>
      </w:r>
      <w:r>
        <w:t xml:space="preserve">20:</w:t>
      </w:r>
      <w:r>
        <w:t xml:space="preserve"> </w:t>
      </w:r>
      <w:r>
        <w:rPr>
          <w:b/>
          <w:bCs/>
        </w:rPr>
        <w:t xml:space="preserve">end if</w:t>
      </w:r>
      <w:r>
        <w:br/>
      </w:r>
      <w:r>
        <w:t xml:space="preserve">21: Evaluate requested data scope</w:t>
      </w:r>
      <w:r>
        <w:br/>
      </w:r>
      <w:r>
        <w:t xml:space="preserve">22:</w:t>
      </w:r>
      <w:r>
        <w:t xml:space="preserve"> </w:t>
      </w:r>
      <w:r>
        <w:rPr>
          <w:b/>
          <w:bCs/>
        </w:rPr>
        <w:t xml:space="preserve">if</w:t>
      </w:r>
      <w:r>
        <w:t xml:space="preserve"> </w:t>
      </w:r>
      <m:oMath>
        <m:sSub>
          <m:e>
            <m:r>
              <m:t>S</m:t>
            </m:r>
          </m:e>
          <m:sub>
            <m:r>
              <m:t>R</m:t>
            </m:r>
          </m:sub>
        </m:sSub>
        <m:r>
          <m:rPr>
            <m:sty m:val="p"/>
          </m:rPr>
          <m:t>⊈</m:t>
        </m:r>
        <m:sSub>
          <m:e>
            <m:r>
              <m:t>S</m:t>
            </m:r>
          </m:e>
          <m:sub>
            <m:r>
              <m:t>C</m:t>
            </m:r>
          </m:sub>
        </m:sSub>
      </m:oMath>
      <w:r>
        <w:t xml:space="preserve"> </w:t>
      </w:r>
      <w:r>
        <w:rPr>
          <w:b/>
          <w:bCs/>
        </w:rPr>
        <w:t xml:space="preserve">then</w:t>
      </w:r>
      <w:r>
        <w:br/>
      </w:r>
      <w:r>
        <w:t xml:space="preserve">    23: Record denied decision</w:t>
      </w:r>
      <w:r>
        <w:br/>
      </w:r>
      <w:r>
        <w:t xml:space="preserve">    24:</w:t>
      </w:r>
      <w:r>
        <w:t xml:space="preserve"> </w:t>
      </w:r>
      <w:r>
        <w:rPr>
          <w:b/>
          <w:bCs/>
        </w:rPr>
        <w:t xml:space="preserve">return</w:t>
      </w:r>
      <w:r>
        <w:t xml:space="preserve"> </w:t>
      </w:r>
      <w:r>
        <w:t xml:space="preserve">DENY</w:t>
      </w:r>
      <w:r>
        <w:br/>
      </w:r>
      <w:r>
        <w:t xml:space="preserve">25:</w:t>
      </w:r>
      <w:r>
        <w:t xml:space="preserve"> </w:t>
      </w:r>
      <w:r>
        <w:rPr>
          <w:b/>
          <w:bCs/>
        </w:rPr>
        <w:t xml:space="preserve">end if</w:t>
      </w:r>
      <w:r>
        <w:br/>
      </w:r>
      <w:r>
        <w:t xml:space="preserve">26: Generate or verify access evidence</w:t>
      </w:r>
      <w:r>
        <w:br/>
      </w:r>
      <w:r>
        <w:t xml:space="preserve">27: Retrieve authorised healthcare data</w:t>
      </w:r>
      <w:r>
        <w:br/>
      </w:r>
      <w:r>
        <w:t xml:space="preserve">28: Record granted decision</w:t>
      </w:r>
      <w:r>
        <w:br/>
      </w:r>
      <w:r>
        <w:t xml:space="preserve">29:</w:t>
      </w:r>
      <w:r>
        <w:t xml:space="preserve"> </w:t>
      </w:r>
      <w:r>
        <w:rPr>
          <w:b/>
          <w:bCs/>
        </w:rPr>
        <w:t xml:space="preserve">return</w:t>
      </w:r>
      <w:r>
        <w:t xml:space="preserve"> </w:t>
      </w:r>
      <w:r>
        <w:t xml:space="preserve">ALLOW</w:t>
      </w:r>
    </w:p>
    <w:p>
      <w:pPr>
        <w:pStyle w:val="BodyText"/>
      </w:pPr>
      <w: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pStyle w:val="BodyText"/>
      </w:pPr>
      <w:r>
        <w:t xml:space="preserve">The algorithm also establishes the connection between the proposed framework and the HALAH access-control implementation. The system must not only determine whether a consent exists, but also evaluate whether the current request satisfies the consent’s scope and purpose constraints. Both granted and denied requests should be recorded to support accountability and auditability.</w:t>
      </w:r>
    </w:p>
    <w:bookmarkEnd w:id="119"/>
    <w:bookmarkEnd w:id="120"/>
    <w:bookmarkStart w:id="127" w:name="temporal-and-lifecycle-trust-for-ro5"/>
    <w:p>
      <w:pPr>
        <w:pStyle w:val="Heading2"/>
      </w:pPr>
      <w:r>
        <w:t xml:space="preserve">6.5 Temporal and Lifecycle Trust for RO5</w:t>
      </w:r>
    </w:p>
    <w:p>
      <w:pPr>
        <w:pStyle w:val="FirstParagraph"/>
      </w:pPr>
      <w:r>
        <w:t xml:space="preserve">RO5 addresses SRQ5 and extends the foundational current-stage authorisation model with temporal validity and consent lifecycle controls. This objective belongs primarily to CA3 because it investigates how an authorisation remains trustworthy as time passes and as the consent state changes.</w:t>
      </w:r>
    </w:p>
    <w:p>
      <w:pPr>
        <w:pStyle w:val="BodyText"/>
      </w:pPr>
      <w:r>
        <w:t xml:space="preserve">The current stage model evaluates identity, collective authorisation, and policy compliance. RO5 extends this model by introducing temporal validity</w:t>
      </w:r>
      <w:r>
        <w:t xml:space="preserve"> </w:t>
      </w:r>
      <m:oMath>
        <m:sSub>
          <m:e>
            <m:r>
              <m:t>V</m:t>
            </m:r>
          </m:e>
          <m:sub>
            <m:r>
              <m:t>T</m:t>
            </m:r>
          </m:sub>
        </m:sSub>
        <m:r>
          <m:rPr>
            <m:sty m:val="p"/>
          </m:rPr>
          <m:t>(</m:t>
        </m:r>
        <m:r>
          <m:t>C</m:t>
        </m:r>
        <m:r>
          <m:rPr>
            <m:sty m:val="p"/>
          </m:rPr>
          <m:t>,</m:t>
        </m:r>
        <m:r>
          <m:t>t</m:t>
        </m:r>
        <m:r>
          <m:rPr>
            <m:sty m:val="p"/>
          </m:rPr>
          <m:t>)</m:t>
        </m:r>
      </m:oMath>
      <w:r>
        <w:t xml:space="preserve"> </w:t>
      </w:r>
      <w:r>
        <w:t xml:space="preserve">(Eq. (12)).</w:t>
      </w:r>
    </w:p>
    <w:p>
      <w:pPr>
        <w:pStyle w:val="BodyText"/>
      </w:pPr>
      <w:r>
        <w:t xml:space="preserve">It also introduces lifecycle validity</w:t>
      </w:r>
      <w:r>
        <w:t xml:space="preserve"> </w:t>
      </w:r>
      <m:oMath>
        <m:sSub>
          <m:e>
            <m:r>
              <m:t>V</m:t>
            </m:r>
          </m:e>
          <m:sub>
            <m:r>
              <m:t>L</m:t>
            </m:r>
          </m:sub>
        </m:sSub>
        <m:r>
          <m:rPr>
            <m:sty m:val="p"/>
          </m:rPr>
          <m:t>(</m:t>
        </m:r>
        <m:r>
          <m:t>C</m:t>
        </m:r>
        <m:r>
          <m:rPr>
            <m:sty m:val="p"/>
          </m:rPr>
          <m:t>)</m:t>
        </m:r>
      </m:oMath>
      <w:r>
        <w:t xml:space="preserve"> </w:t>
      </w:r>
      <w:r>
        <w:t xml:space="preserve">(Eq. (15)).</w:t>
      </w:r>
    </w:p>
    <w:p>
      <w:pPr>
        <w:pStyle w:val="BodyText"/>
      </w:pPr>
      <w:r>
        <w:t xml:space="preserve">The extended authorisation decision is therefore given by Eq. (24).</w:t>
      </w:r>
    </w:p>
    <w:p>
      <w:pPr>
        <w:pStyle w:val="BodyText"/>
      </w:pPr>
      <w: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bookmarkStart w:id="124" w:name="ro5-temporal-and-lifecycle-workflow"/>
    <w:p>
      <w:pPr>
        <w:pStyle w:val="Heading3"/>
      </w:pPr>
      <w:r>
        <w:t xml:space="preserve">6.5.1 RO5 Temporal and Lifecycle Workflow</w:t>
      </w:r>
    </w:p>
    <w:p>
      <w:pPr>
        <w:pStyle w:val="FirstParagraph"/>
      </w:pPr>
      <w:r>
        <w:t xml:space="preserve">The planned workflow, shown in Figure 6.5,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CaptionedFigure"/>
      </w:pPr>
      <w:r>
        <w:drawing>
          <wp:inline>
            <wp:extent cx="2907792" cy="7687670"/>
            <wp:effectExtent b="0" l="0" r="0" t="0"/>
            <wp:docPr descr="Figure 6.5: RO5 planned workflow for temporal and consent lifecycle trust" title="" id="122" name="Picture"/>
            <a:graphic>
              <a:graphicData uri="http://schemas.openxmlformats.org/drawingml/2006/picture">
                <pic:pic>
                  <pic:nvPicPr>
                    <pic:cNvPr descr="media_col/fig11.png" id="123" name="Picture"/>
                    <pic:cNvPicPr>
                      <a:picLocks noChangeArrowheads="1" noChangeAspect="1"/>
                    </pic:cNvPicPr>
                  </pic:nvPicPr>
                  <pic:blipFill>
                    <a:blip r:embed="rId121"/>
                    <a:stretch>
                      <a:fillRect/>
                    </a:stretch>
                  </pic:blipFill>
                  <pic:spPr bwMode="auto">
                    <a:xfrm>
                      <a:off x="0" y="0"/>
                      <a:ext cx="2907792" cy="7687670"/>
                    </a:xfrm>
                    <a:prstGeom prst="rect">
                      <a:avLst/>
                    </a:prstGeom>
                    <a:noFill/>
                    <a:ln w="9525">
                      <a:noFill/>
                      <a:headEnd/>
                      <a:tailEnd/>
                    </a:ln>
                  </pic:spPr>
                </pic:pic>
              </a:graphicData>
            </a:graphic>
          </wp:inline>
        </w:drawing>
      </w:r>
    </w:p>
    <w:p>
      <w:pPr>
        <w:pStyle w:val="ImageCaption"/>
      </w:pPr>
      <w:r>
        <w:t xml:space="preserve">Figure 6.5: RO5 planned workflow for temporal and consent lifecycle trust</w:t>
      </w:r>
    </w:p>
    <w:p>
      <w:pPr>
        <w:pStyle w:val="BodyText"/>
      </w:pPr>
      <w:r>
        <w:t xml:space="preserve">The HALAH prototype already implements a first version of this workflow. The consent engine evaluates the consent state in the order REVOKED, PENDING_SIGNATURE, PENDING_TOKEN, NOT_STARTED, EXPIRED and ACTIVE, and only an ACTIVE consent can release data;</w:t>
      </w:r>
      <w:r>
        <w:t xml:space="preserve"> </w:t>
      </w:r>
      <m:oMath>
        <m:sSub>
          <m:e>
            <m:r>
              <m:t>V</m:t>
            </m:r>
          </m:e>
          <m:sub>
            <m:r>
              <m:t>T</m:t>
            </m:r>
          </m:sub>
        </m:sSub>
        <m:r>
          <m:rPr>
            <m:sty m:val="p"/>
          </m:rPr>
          <m:t>(</m:t>
        </m:r>
        <m:r>
          <m:t>C</m:t>
        </m:r>
        <m:r>
          <m:rPr>
            <m:sty m:val="p"/>
          </m:rPr>
          <m:t>,</m:t>
        </m:r>
        <m:r>
          <m:t>t</m:t>
        </m:r>
        <m:r>
          <m:rPr>
            <m:sty m:val="p"/>
          </m:rPr>
          <m:t>)</m:t>
        </m:r>
      </m:oMath>
      <w:r>
        <w:t xml:space="preserve"> </w:t>
      </w:r>
      <w:r>
        <w:t xml:space="preserve">is also computed in the decision matrix. A patient can revoke a consent, which sets the local state to REVOKED and calls revoke() on the consent contract, and the v3 contract additionally enforces the validity interval on-chain. What remains for Stage 2 (CA3) is the explicit specification of legal state transitions, formal analysis of the lifecycle properties (Eqs. (20)–(21)) and adversarial evaluation.</w:t>
      </w:r>
    </w:p>
    <w:p>
      <w:pPr>
        <w:pStyle w:val="BodyText"/>
      </w:pPr>
      <w:r>
        <w:rPr>
          <w:b/>
          <w:bCs/>
        </w:rPr>
        <w:t xml:space="preserve">Notation note.</w:t>
      </w:r>
      <w:r>
        <w:t xml:space="preserve"> </w:t>
      </w:r>
      <w:r>
        <w:t xml:space="preserve">The prototype’s decision matrix currently uses the label VL for a jurisdiction check (consent jurisdiction equals requester jurisdiction, default</w:t>
      </w:r>
      <w:r>
        <w:t xml:space="preserve"> </w:t>
      </w:r>
      <w:r>
        <w:t xml:space="preserve">‘AU’</w:t>
      </w:r>
      <w:r>
        <w:t xml:space="preserve">), whereas this report defines</w:t>
      </w:r>
      <w:r>
        <w:t xml:space="preserve"> </w:t>
      </w:r>
      <m:oMath>
        <m:sSub>
          <m:e>
            <m:r>
              <m:t>V</m:t>
            </m:r>
          </m:e>
          <m:sub>
            <m:r>
              <m:t>L</m:t>
            </m:r>
          </m:sub>
        </m:sSub>
        <m:r>
          <m:rPr>
            <m:sty m:val="p"/>
          </m:rPr>
          <m:t>(</m:t>
        </m:r>
        <m:r>
          <m:t>C</m:t>
        </m:r>
        <m:r>
          <m:rPr>
            <m:sty m:val="p"/>
          </m:rPr>
          <m:t>)</m:t>
        </m:r>
      </m:oMath>
      <w:r>
        <w:t xml:space="preserve"> </w:t>
      </w:r>
      <w:r>
        <w:t xml:space="preserve">as lifecycle validity (Eq. (15)). To avoid ambiguity, the jurisdiction predicate will be renamed</w:t>
      </w:r>
      <w:r>
        <w:t xml:space="preserve"> </w:t>
      </w:r>
      <m:oMath>
        <m:sSub>
          <m:e>
            <m:r>
              <m:t>V</m:t>
            </m:r>
          </m:e>
          <m:sub>
            <m:r>
              <m:t>J</m:t>
            </m:r>
          </m:sub>
        </m:sSub>
      </m:oMath>
      <w:r>
        <w:t xml:space="preserve"> </w:t>
      </w:r>
      <w:r>
        <w:t xml:space="preserve">in the code and contract, and</w:t>
      </w:r>
      <w:r>
        <w:t xml:space="preserve"> </w:t>
      </w:r>
      <m:oMath>
        <m:sSub>
          <m:e>
            <m:r>
              <m:t>V</m:t>
            </m:r>
          </m:e>
          <m:sub>
            <m:r>
              <m:t>L</m:t>
            </m:r>
          </m:sub>
        </m:sSub>
      </m:oMath>
      <w:r>
        <w:t xml:space="preserve"> </w:t>
      </w:r>
      <w:r>
        <w:t xml:space="preserve">is reserved for lifecycle validity as defined here.</w:t>
      </w:r>
    </w:p>
    <w:bookmarkEnd w:id="124"/>
    <w:bookmarkStart w:id="125" w:name="X76e1ecd5ca9116901ef2fba9faaf6fcb0ec1702"/>
    <w:p>
      <w:pPr>
        <w:pStyle w:val="Heading3"/>
      </w:pPr>
      <w:r>
        <w:t xml:space="preserve">6.5.2 Procedure for Temporal and Lifecycle Validation</w:t>
      </w:r>
    </w:p>
    <w:p>
      <w:pPr>
        <w:pStyle w:val="FirstParagraph"/>
      </w:pPr>
      <w: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w:t>
      </w:r>
    </w:p>
    <w:p>
      <w:pPr>
        <w:pStyle w:val="Compact"/>
        <w:numPr>
          <w:ilvl w:val="0"/>
          <w:numId w:val="1050"/>
        </w:numPr>
      </w:pPr>
      <w:r>
        <w:rPr>
          <w:b/>
          <w:bCs/>
        </w:rPr>
        <w:t xml:space="preserve">Step 1 – Retrieve the Consent Validity Interval.</w:t>
      </w:r>
    </w:p>
    <w:p>
      <w:pPr>
        <w:pStyle w:val="FirstParagraph"/>
      </w:pPr>
      <w:r>
        <w:t xml:space="preserve">The system retrieves the start time</w:t>
      </w:r>
      <w:r>
        <w:t xml:space="preserve"> </w:t>
      </w:r>
      <w:r>
        <w:rPr>
          <w:i/>
          <w:iCs/>
        </w:rPr>
        <w:t xml:space="preserve">t</w:t>
      </w:r>
      <w:r>
        <w:rPr>
          <w:vertAlign w:val="subscript"/>
        </w:rPr>
        <w:t xml:space="preserve">s</w:t>
      </w:r>
      <w:r>
        <w:t xml:space="preserve"> </w:t>
      </w:r>
      <w:r>
        <w:t xml:space="preserve">and expiry time</w:t>
      </w:r>
      <w:r>
        <w:t xml:space="preserve"> </w:t>
      </w:r>
      <w:r>
        <w:rPr>
          <w:i/>
          <w:iCs/>
        </w:rPr>
        <w:t xml:space="preserve">t</w:t>
      </w:r>
      <w:r>
        <w:rPr>
          <w:vertAlign w:val="subscript"/>
        </w:rPr>
        <w:t xml:space="preserve">e</w:t>
      </w:r>
      <w:r>
        <w:t xml:space="preserve"> </w:t>
      </w:r>
      <w:r>
        <w:t xml:space="preserve">associated with consent object</w:t>
      </w:r>
      <w:r>
        <w:t xml:space="preserve"> </w:t>
      </w:r>
      <w:r>
        <w:rPr>
          <w:i/>
          <w:iCs/>
        </w:rPr>
        <w:t xml:space="preserve">C</w:t>
      </w:r>
      <w:r>
        <w:t xml:space="preserve">. These temporal attributes define the period during which the consent is potentially valid.</w:t>
      </w:r>
    </w:p>
    <w:p>
      <w:pPr>
        <w:pStyle w:val="BodyText"/>
      </w:pPr>
      <w:r>
        <w:t xml:space="preserve">The consent validity interval is represented as</w:t>
      </w:r>
    </w:p>
    <w:p>
      <w:pPr>
        <w:pStyle w:val="BodyText"/>
      </w:pPr>
      <m:oMathPara>
        <m:oMathParaPr>
          <m:jc m:val="center"/>
        </m:oMathParaPr>
        <m:oMath>
          <m:sSub>
            <m:e>
              <m:r>
                <m:t>T</m:t>
              </m:r>
            </m:e>
            <m:sub>
              <m:r>
                <m:t>C</m:t>
              </m:r>
            </m:sub>
          </m:sSub>
          <m:r>
            <m:rPr>
              <m:sty m:val="p"/>
            </m:rPr>
            <m:t>=</m:t>
          </m:r>
          <m:r>
            <m:rPr>
              <m:sty m:val="p"/>
            </m:rPr>
            <m:t>[</m:t>
          </m:r>
          <m:sSub>
            <m:e>
              <m:r>
                <m:t>t</m:t>
              </m:r>
            </m:e>
            <m:sub>
              <m:r>
                <m:t>s</m:t>
              </m:r>
            </m:sub>
          </m:sSub>
          <m:r>
            <m:rPr>
              <m:sty m:val="p"/>
            </m:rPr>
            <m:t>,</m:t>
          </m:r>
          <m:sSub>
            <m:e>
              <m:r>
                <m:t>t</m:t>
              </m:r>
            </m:e>
            <m:sub>
              <m:r>
                <m:t>e</m:t>
              </m:r>
            </m:sub>
          </m:sSub>
          <m:r>
            <m:rPr>
              <m:sty m:val="p"/>
            </m:rPr>
            <m:t>]</m:t>
          </m:r>
          <m:r>
            <m:rPr>
              <m:sty m:val="p"/>
            </m:rPr>
            <m:t>.</m:t>
          </m:r>
        </m:oMath>
      </m:oMathPara>
    </w:p>
    <w:p>
      <w:pPr>
        <w:pStyle w:val="FirstParagraph"/>
      </w:pPr>
      <w:r>
        <w:t xml:space="preserve">The system uses the current time</w:t>
      </w:r>
      <w:r>
        <w:t xml:space="preserve"> </w:t>
      </w:r>
      <w:r>
        <w:rPr>
          <w:i/>
          <w:iCs/>
        </w:rPr>
        <w:t xml:space="preserve">t</w:t>
      </w:r>
      <w:r>
        <w:t xml:space="preserve"> </w:t>
      </w:r>
      <w:r>
        <w:t xml:space="preserve">to determine whether the consent is currently within its defined validity period.</w:t>
      </w:r>
    </w:p>
    <w:p>
      <w:pPr>
        <w:pStyle w:val="Compact"/>
        <w:numPr>
          <w:ilvl w:val="0"/>
          <w:numId w:val="1051"/>
        </w:numPr>
      </w:pPr>
      <w:r>
        <w:rPr>
          <w:b/>
          <w:bCs/>
        </w:rPr>
        <w:t xml:space="preserve">Step 2 – Validate the Current Time.</w:t>
      </w:r>
    </w:p>
    <w:p>
      <w:pPr>
        <w:pStyle w:val="FirstParagraph"/>
      </w:pPr>
      <w:r>
        <w:t xml:space="preserve">The system compares the current time</w:t>
      </w:r>
      <w:r>
        <w:t xml:space="preserve"> </w:t>
      </w:r>
      <w:r>
        <w:rPr>
          <w:i/>
          <w:iCs/>
        </w:rPr>
        <w:t xml:space="preserve">t</w:t>
      </w:r>
      <w:r>
        <w:t xml:space="preserve"> </w:t>
      </w:r>
      <w:r>
        <w:t xml:space="preserve">with the consent validity interval. Temporal validity requires</w:t>
      </w:r>
    </w:p>
    <w:p>
      <w:pPr>
        <w:pStyle w:val="BodyText"/>
      </w:pPr>
      <m:oMathPara>
        <m:oMathParaPr>
          <m:jc m:val="center"/>
        </m:oMathParaPr>
        <m:oMath>
          <m:sSub>
            <m:e>
              <m:r>
                <m:t>t</m:t>
              </m:r>
            </m:e>
            <m:sub>
              <m:r>
                <m:t>s</m:t>
              </m:r>
            </m:sub>
          </m:sSub>
          <m:r>
            <m:rPr>
              <m:sty m:val="p"/>
            </m:rPr>
            <m:t>≤</m:t>
          </m:r>
          <m:r>
            <m:t>t</m:t>
          </m:r>
          <m:r>
            <m:rPr>
              <m:sty m:val="p"/>
            </m:rPr>
            <m:t>≤</m:t>
          </m:r>
          <m:sSub>
            <m:e>
              <m:r>
                <m:t>t</m:t>
              </m:r>
            </m:e>
            <m:sub>
              <m:r>
                <m:t>e</m:t>
              </m:r>
            </m:sub>
          </m:sSub>
          <m:r>
            <m:rPr>
              <m:sty m:val="p"/>
            </m:rPr>
            <m:t>.</m:t>
          </m:r>
        </m:oMath>
      </m:oMathPara>
    </w:p>
    <w:p>
      <w:pPr>
        <w:pStyle w:val="FirstParagraph"/>
      </w:pPr>
      <w:r>
        <w:t xml:space="preserve">If</w:t>
      </w:r>
    </w:p>
    <w:p>
      <w:pPr>
        <w:pStyle w:val="BodyText"/>
      </w:pPr>
      <m:oMathPara>
        <m:oMathParaPr>
          <m:jc m:val="center"/>
        </m:oMathParaPr>
        <m:oMath>
          <m:r>
            <m:t>t</m:t>
          </m:r>
          <m:r>
            <m:rPr>
              <m:sty m:val="p"/>
            </m:rPr>
            <m:t>&lt;</m:t>
          </m:r>
          <m:sSub>
            <m:e>
              <m:r>
                <m:t>t</m:t>
              </m:r>
            </m:e>
            <m:sub>
              <m:r>
                <m:t>s</m:t>
              </m:r>
            </m:sub>
          </m:sSub>
          <m:r>
            <m:t> </m:t>
          </m:r>
          <m:r>
            <m:rPr>
              <m:nor/>
            </m:rPr>
            <m:t>or</m:t>
          </m:r>
          <m:r>
            <m:t> </m:t>
          </m:r>
          <m:r>
            <m:t>t</m:t>
          </m:r>
          <m:r>
            <m:rPr>
              <m:sty m:val="p"/>
            </m:rPr>
            <m:t>&gt;</m:t>
          </m:r>
          <m:sSub>
            <m:e>
              <m:r>
                <m:t>t</m:t>
              </m:r>
            </m:e>
            <m:sub>
              <m:r>
                <m:t>e</m:t>
              </m:r>
            </m:sub>
          </m:sSub>
          <m:r>
            <m:rPr>
              <m:sty m:val="p"/>
            </m:rPr>
            <m:t>,</m:t>
          </m:r>
        </m:oMath>
      </m:oMathPara>
    </w:p>
    <w:p>
      <w:pPr>
        <w:pStyle w:val="FirstParagraph"/>
      </w:pPr>
      <w:r>
        <w:t xml:space="preserve">the consent is considered temporally invalid. The system records the temporal invalidity evidence and returns</w:t>
      </w:r>
      <w:r>
        <w:t xml:space="preserve"> </w:t>
      </w:r>
      <w:r>
        <w:rPr>
          <w:i/>
          <w:iCs/>
        </w:rPr>
        <w:t xml:space="preserve">INVALID</w:t>
      </w:r>
      <w:r>
        <w:t xml:space="preserve">.</w:t>
      </w:r>
    </w:p>
    <w:p>
      <w:pPr>
        <w:pStyle w:val="BodyText"/>
      </w:pPr>
      <w:r>
        <w:t xml:space="preserve">This step prevents a consent from being used before its effective start time or after its expiration time.</w:t>
      </w:r>
    </w:p>
    <w:p>
      <w:pPr>
        <w:pStyle w:val="Compact"/>
        <w:numPr>
          <w:ilvl w:val="0"/>
          <w:numId w:val="1052"/>
        </w:numPr>
      </w:pPr>
      <w:r>
        <w:rPr>
          <w:b/>
          <w:bCs/>
        </w:rPr>
        <w:t xml:space="preserve">Step 3 – Retrieve the Current Lifecycle State.</w:t>
      </w:r>
    </w:p>
    <w:p>
      <w:pPr>
        <w:pStyle w:val="FirstParagraph"/>
      </w:pPr>
      <w:r>
        <w:t xml:space="preserve">If the temporal condition is satisfied, the system retrieves the current lifecycle state of consent object</w:t>
      </w:r>
      <w:r>
        <w:t xml:space="preserve"> </w:t>
      </w:r>
      <w:r>
        <w:rPr>
          <w:i/>
          <w:iCs/>
        </w:rPr>
        <w:t xml:space="preserve">C</w:t>
      </w:r>
      <w:r>
        <w:t xml:space="preserve">. Typical lifecycle states may include</w:t>
      </w:r>
      <w:r>
        <w:t xml:space="preserve"> </w:t>
      </w:r>
      <w:r>
        <w:rPr>
          <w:i/>
          <w:iCs/>
        </w:rPr>
        <w:t xml:space="preserve">CREATED</w:t>
      </w:r>
      <w:r>
        <w:t xml:space="preserve">,</w:t>
      </w:r>
      <w:r>
        <w:t xml:space="preserve"> </w:t>
      </w:r>
      <w:r>
        <w:rPr>
          <w:i/>
          <w:iCs/>
        </w:rPr>
        <w:t xml:space="preserve">PENDING</w:t>
      </w:r>
      <w:r>
        <w:t xml:space="preserve">,</w:t>
      </w:r>
      <w:r>
        <w:t xml:space="preserve"> </w:t>
      </w:r>
      <w:r>
        <w:rPr>
          <w:i/>
          <w:iCs/>
        </w:rPr>
        <w:t xml:space="preserve">ACTIVE</w:t>
      </w:r>
      <w:r>
        <w:t xml:space="preserve">,</w:t>
      </w:r>
      <w:r>
        <w:t xml:space="preserve"> </w:t>
      </w:r>
      <w:r>
        <w:rPr>
          <w:i/>
          <w:iCs/>
        </w:rPr>
        <w:t xml:space="preserve">SUSPENDED</w:t>
      </w:r>
      <w:r>
        <w:t xml:space="preserve">,</w:t>
      </w:r>
      <w:r>
        <w:t xml:space="preserve"> </w:t>
      </w:r>
      <w:r>
        <w:rPr>
          <w:i/>
          <w:iCs/>
        </w:rPr>
        <w:t xml:space="preserve">REVOKED</w:t>
      </w:r>
      <w:r>
        <w:t xml:space="preserve">, and</w:t>
      </w:r>
      <w:r>
        <w:t xml:space="preserve"> </w:t>
      </w:r>
      <w:r>
        <w:rPr>
          <w:i/>
          <w:iCs/>
        </w:rPr>
        <w:t xml:space="preserve">EXPIRED</w:t>
      </w:r>
      <w:r>
        <w:t xml:space="preserve">, depending on the system configuration.</w:t>
      </w:r>
    </w:p>
    <w:p>
      <w:pPr>
        <w:pStyle w:val="BodyText"/>
      </w:pPr>
      <w:r>
        <w:t xml:space="preserve">The current state is used to determine whether the requested operation can legally and logically be performed.</w:t>
      </w:r>
    </w:p>
    <w:p>
      <w:pPr>
        <w:pStyle w:val="Compact"/>
        <w:numPr>
          <w:ilvl w:val="0"/>
          <w:numId w:val="1053"/>
        </w:numPr>
      </w:pPr>
      <w:r>
        <w:rPr>
          <w:b/>
          <w:bCs/>
        </w:rPr>
        <w:t xml:space="preserve">Step 4 – Validate State-Dependent Operations.</w:t>
      </w:r>
    </w:p>
    <w:p>
      <w:pPr>
        <w:pStyle w:val="FirstParagraph"/>
      </w:pPr>
      <w:r>
        <w:t xml:space="preserve">The system evaluates whether the current lifecycle state permits the requested operation</w:t>
      </w:r>
      <w:r>
        <w:t xml:space="preserve"> </w:t>
      </w:r>
      <w:r>
        <w:rPr>
          <w:i/>
          <w:iCs/>
        </w:rPr>
        <w:t xml:space="preserve">q</w:t>
      </w:r>
      <w:r>
        <w:t xml:space="preserve">. Different operations may be permitted only in specific lifecycle states. For example, activation may require a consent to be in a pending state, while data access may require the consent to be active. The state transition condition can be represented as</w:t>
      </w:r>
    </w:p>
    <w:p>
      <w:pPr>
        <w:pStyle w:val="BodyText"/>
      </w:pPr>
      <m:oMathPara>
        <m:oMathParaPr>
          <m:jc m:val="center"/>
        </m:oMathParaPr>
        <m:oMath>
          <m:r>
            <m:t>S</m:t>
          </m:r>
          <m:r>
            <m:t>t</m:t>
          </m:r>
          <m:r>
            <m:t>a</m:t>
          </m:r>
          <m:r>
            <m:t>t</m:t>
          </m:r>
          <m:r>
            <m:t>e</m:t>
          </m:r>
          <m:r>
            <m:rPr>
              <m:sty m:val="p"/>
            </m:rPr>
            <m:t>(</m:t>
          </m:r>
          <m:r>
            <m:t>C</m:t>
          </m:r>
          <m:r>
            <m:rPr>
              <m:sty m:val="p"/>
            </m:rPr>
            <m:t>)</m:t>
          </m:r>
          <m:r>
            <m:rPr>
              <m:sty m:val="p"/>
            </m:rPr>
            <m:t>⊨</m:t>
          </m:r>
          <m:r>
            <m:t>q</m:t>
          </m:r>
          <m:r>
            <m:rPr>
              <m:sty m:val="p"/>
            </m:rPr>
            <m:t>.</m:t>
          </m:r>
        </m:oMath>
      </m:oMathPara>
    </w:p>
    <w:p>
      <w:pPr>
        <w:pStyle w:val="FirstParagraph"/>
      </w:pPr>
      <w:r>
        <w:t xml:space="preserve">If the current state does not permit operation</w:t>
      </w:r>
      <w:r>
        <w:t xml:space="preserve"> </w:t>
      </w:r>
      <w:r>
        <w:rPr>
          <w:i/>
          <w:iCs/>
        </w:rPr>
        <w:t xml:space="preserve">q</w:t>
      </w:r>
      <w:r>
        <w:t xml:space="preserve">, the system records an invalid lifecycle-state event and returns</w:t>
      </w:r>
      <w:r>
        <w:t xml:space="preserve"> </w:t>
      </w:r>
      <w:r>
        <w:rPr>
          <w:i/>
          <w:iCs/>
        </w:rPr>
        <w:t xml:space="preserve">INVALID</w:t>
      </w:r>
      <w:r>
        <w:t xml:space="preserve">.</w:t>
      </w:r>
    </w:p>
    <w:p>
      <w:pPr>
        <w:pStyle w:val="Compact"/>
        <w:numPr>
          <w:ilvl w:val="0"/>
          <w:numId w:val="1054"/>
        </w:numPr>
      </w:pPr>
      <w:r>
        <w:rPr>
          <w:b/>
          <w:bCs/>
        </w:rPr>
        <w:t xml:space="preserve">Step 5 – Check Revocation Status.</w:t>
      </w:r>
    </w:p>
    <w:p>
      <w:pPr>
        <w:pStyle w:val="FirstParagraph"/>
      </w:pPr>
      <w:r>
        <w:t xml:space="preserve">The system explicitly checks whether consent object</w:t>
      </w:r>
      <w:r>
        <w:t xml:space="preserve"> </w:t>
      </w:r>
      <w:r>
        <w:rPr>
          <w:i/>
          <w:iCs/>
        </w:rPr>
        <w:t xml:space="preserve">C</w:t>
      </w:r>
      <w:r>
        <w:t xml:space="preserve"> </w:t>
      </w:r>
      <w:r>
        <w:t xml:space="preserve">has been revoked. Revocation represents a deliberate termination of the previously granted consent and must therefore override an otherwise valid temporal interval.</w:t>
      </w:r>
    </w:p>
    <w:p>
      <w:pPr>
        <w:pStyle w:val="BodyText"/>
      </w:pPr>
      <w:r>
        <w:t xml:space="preserve">Formally,</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f</m:t>
          </m:r>
          <m:r>
            <m:t>a</m:t>
          </m:r>
          <m:r>
            <m:t>l</m:t>
          </m:r>
          <m:r>
            <m:t>s</m:t>
          </m:r>
          <m:r>
            <m:t>e</m:t>
          </m:r>
        </m:oMath>
      </m:oMathPara>
    </w:p>
    <w:p>
      <w:pPr>
        <w:pStyle w:val="FirstParagraph"/>
      </w:pPr>
      <w:r>
        <w:t xml:space="preserve">must hold for the consent to remain usable.</w:t>
      </w:r>
    </w:p>
    <w:p>
      <w:pPr>
        <w:pStyle w:val="BodyText"/>
      </w:pPr>
      <w:r>
        <w:t xml:space="preserve">If</w:t>
      </w:r>
    </w:p>
    <w:p>
      <w:pPr>
        <w:pStyle w:val="BodyText"/>
      </w:pPr>
      <m:oMathPara>
        <m:oMathParaPr>
          <m:jc m:val="center"/>
        </m:oMathParaPr>
        <m:oMath>
          <m:r>
            <m:t>R</m:t>
          </m:r>
          <m:r>
            <m:t>e</m:t>
          </m:r>
          <m:r>
            <m:t>v</m:t>
          </m:r>
          <m:r>
            <m:t>o</m:t>
          </m:r>
          <m:r>
            <m:t>k</m:t>
          </m:r>
          <m:r>
            <m:t>e</m:t>
          </m:r>
          <m:r>
            <m:t>d</m:t>
          </m:r>
          <m:r>
            <m:rPr>
              <m:sty m:val="p"/>
            </m:rPr>
            <m:t>(</m:t>
          </m:r>
          <m:r>
            <m:t>C</m:t>
          </m:r>
          <m:r>
            <m:rPr>
              <m:sty m:val="p"/>
            </m:rPr>
            <m:t>)</m:t>
          </m:r>
          <m:r>
            <m:rPr>
              <m:sty m:val="p"/>
            </m:rPr>
            <m:t>=</m:t>
          </m:r>
          <m:r>
            <m:t>t</m:t>
          </m:r>
          <m:r>
            <m:t>r</m:t>
          </m:r>
          <m:r>
            <m:t>u</m:t>
          </m:r>
          <m:r>
            <m:t>e</m:t>
          </m:r>
          <m:r>
            <m:rPr>
              <m:sty m:val="p"/>
            </m:rPr>
            <m:t>,</m:t>
          </m:r>
        </m:oMath>
      </m:oMathPara>
    </w:p>
    <w:p>
      <w:pPr>
        <w:pStyle w:val="FirstParagraph"/>
      </w:pPr>
      <w:r>
        <w:t xml:space="preserve">the system records revocation-based invalidity and returns</w:t>
      </w:r>
      <w:r>
        <w:t xml:space="preserve"> </w:t>
      </w:r>
      <w:r>
        <w:rPr>
          <w:i/>
          <w:iCs/>
        </w:rPr>
        <w:t xml:space="preserve">INVALID</w:t>
      </w:r>
      <w:r>
        <w:t xml:space="preserve">.</w:t>
      </w:r>
    </w:p>
    <w:p>
      <w:pPr>
        <w:pStyle w:val="Compact"/>
        <w:numPr>
          <w:ilvl w:val="0"/>
          <w:numId w:val="1055"/>
        </w:numPr>
      </w:pPr>
      <w:r>
        <w:rPr>
          <w:b/>
          <w:bCs/>
        </w:rPr>
        <w:t xml:space="preserve">Step 6 – Validate the Requested Lifecycle Transition.</w:t>
      </w:r>
    </w:p>
    <w:p>
      <w:pPr>
        <w:pStyle w:val="FirstParagraph"/>
      </w:pPr>
      <w:r>
        <w:t xml:space="preserve">If the consent is temporally valid, in an appropriate lifecycle state, and has not been revoked, the system validates the requested transition</w:t>
      </w:r>
      <w:r>
        <w:t xml:space="preserve"> </w:t>
      </w:r>
      <w:r>
        <w:rPr>
          <w:i/>
          <w:iCs/>
        </w:rPr>
        <w:t xml:space="preserve">q</w:t>
      </w:r>
      <w:r>
        <w:t xml:space="preserve">.</w:t>
      </w:r>
    </w:p>
    <w:p>
      <w:pPr>
        <w:pStyle w:val="BodyText"/>
      </w:pPr>
      <w:r>
        <w:t xml:space="preserve">The transition is evaluated against the predefined lifecycle-transition policy:</w:t>
      </w:r>
    </w:p>
    <w:p>
      <w:pPr>
        <w:pStyle w:val="BodyText"/>
      </w:pPr>
      <m:oMathPara>
        <m:oMathParaPr>
          <m:jc m:val="center"/>
        </m:oMathParaPr>
        <m:oMath>
          <m:r>
            <m:t>S</m:t>
          </m:r>
          <m:r>
            <m:t>t</m:t>
          </m:r>
          <m:r>
            <m:t>a</m:t>
          </m:r>
          <m:r>
            <m:t>t</m:t>
          </m:r>
          <m:r>
            <m:t>e</m:t>
          </m:r>
          <m:r>
            <m:rPr>
              <m:sty m:val="p"/>
            </m:rPr>
            <m:t>(</m:t>
          </m:r>
          <m:r>
            <m:t>C</m:t>
          </m:r>
          <m:r>
            <m:rPr>
              <m:sty m:val="p"/>
            </m:rPr>
            <m:t>)</m:t>
          </m:r>
          <m:limUpp>
            <m:e>
              <m:r>
                <m:rPr>
                  <m:sty m:val="p"/>
                </m:rPr>
                <m:t>→</m:t>
              </m:r>
            </m:e>
            <m:lim>
              <m:r>
                <m:t>q</m:t>
              </m:r>
            </m:lim>
          </m:limUpp>
          <m:r>
            <m:t>S</m:t>
          </m:r>
          <m:r>
            <m:t>t</m:t>
          </m:r>
          <m:r>
            <m:t>a</m:t>
          </m:r>
          <m:r>
            <m:t>t</m:t>
          </m:r>
          <m:sSup>
            <m:e>
              <m:r>
                <m:t>e</m:t>
              </m:r>
            </m:e>
            <m:sup>
              <m:r>
                <m:rPr>
                  <m:sty m:val="p"/>
                </m:rPr>
                <m:t>′</m:t>
              </m:r>
            </m:sup>
          </m:sSup>
          <m:r>
            <m:rPr>
              <m:sty m:val="p"/>
            </m:rPr>
            <m:t>(</m:t>
          </m:r>
          <m:r>
            <m:t>C</m:t>
          </m:r>
          <m:r>
            <m:rPr>
              <m:sty m:val="p"/>
            </m:rPr>
            <m:t>)</m:t>
          </m:r>
          <m:r>
            <m:rPr>
              <m:sty m:val="p"/>
            </m:rPr>
            <m:t>.</m:t>
          </m:r>
        </m:oMath>
      </m:oMathPara>
    </w:p>
    <w:p>
      <w:pPr>
        <w:pStyle w:val="FirstParagraph"/>
      </w:pPr>
      <w:r>
        <w:t xml:space="preserve">The transition is valid only when</w:t>
      </w:r>
      <w:r>
        <w:t xml:space="preserve"> </w:t>
      </w:r>
      <w:r>
        <w:rPr>
          <w:i/>
          <w:iCs/>
        </w:rPr>
        <w:t xml:space="preserve">q</w:t>
      </w:r>
      <w:r>
        <w:t xml:space="preserve"> </w:t>
      </w:r>
      <w:r>
        <w:t xml:space="preserve">is explicitly permitted from the current state. If the transition is not permitted, the system records an unauthorised state-transition event and returns</w:t>
      </w:r>
      <w:r>
        <w:t xml:space="preserve"> </w:t>
      </w:r>
      <w:r>
        <w:rPr>
          <w:i/>
          <w:iCs/>
        </w:rPr>
        <w:t xml:space="preserve">INVALID</w:t>
      </w:r>
      <w:r>
        <w:t xml:space="preserve">.</w:t>
      </w:r>
    </w:p>
    <w:p>
      <w:pPr>
        <w:pStyle w:val="Compact"/>
        <w:numPr>
          <w:ilvl w:val="0"/>
          <w:numId w:val="1056"/>
        </w:numPr>
      </w:pPr>
      <w:r>
        <w:rPr>
          <w:b/>
          <w:bCs/>
        </w:rPr>
        <w:t xml:space="preserve">Step 7 – Establish Temporal and Lifecycle Consistency.</w:t>
      </w:r>
    </w:p>
    <w:p>
      <w:pPr>
        <w:pStyle w:val="FirstParagraph"/>
      </w:pPr>
      <w:r>
        <w:t xml:space="preserve">After all individual checks have succeeded, the system establishes that the consent is simultaneously valid in terms of time, lifecycle state, revocation status, and requested transition.</w:t>
      </w:r>
    </w:p>
    <w:p>
      <w:pPr>
        <w:pStyle w:val="BodyText"/>
      </w:pPr>
      <w:r>
        <w:t xml:space="preserve">The overall lifecycle-validity condition can therefore be expressed as</w:t>
      </w:r>
    </w:p>
    <w:p>
      <w:pPr>
        <w:pStyle w:val="BodyText"/>
      </w:pPr>
      <w:r>
        <w:rPr>
          <w:i/>
          <w:iCs/>
        </w:rPr>
        <w:t xml:space="preserve">V</w:t>
      </w:r>
      <w:r>
        <w:rPr>
          <w:vertAlign w:val="subscript"/>
        </w:rPr>
        <w:t xml:space="preserve">L</w:t>
      </w:r>
      <w:r>
        <w:t xml:space="preserve">(</w:t>
      </w:r>
      <w:r>
        <w:rPr>
          <w:i/>
          <w:iCs/>
        </w:rPr>
        <w:t xml:space="preserve">C, t, q</w:t>
      </w:r>
      <w:r>
        <w:t xml:space="preserve">) =</w:t>
      </w:r>
      <w:r>
        <w:t xml:space="preserve"> </w:t>
      </w:r>
      <w:r>
        <w:rPr>
          <w:i/>
          <w:iCs/>
        </w:rPr>
        <w:t xml:space="preserve">TimeValid</w:t>
      </w:r>
      <w:r>
        <w:t xml:space="preserve">(</w:t>
      </w:r>
      <w:r>
        <w:rPr>
          <w:i/>
          <w:iCs/>
        </w:rPr>
        <w:t xml:space="preserve">C, t</w:t>
      </w:r>
      <w:r>
        <w:t xml:space="preserve">)∧</w:t>
      </w:r>
      <w:r>
        <w:rPr>
          <w:i/>
          <w:iCs/>
        </w:rPr>
        <w:t xml:space="preserve">StateValid</w:t>
      </w:r>
      <w:r>
        <w:t xml:space="preserve">(</w:t>
      </w:r>
      <w:r>
        <w:rPr>
          <w:i/>
          <w:iCs/>
        </w:rPr>
        <w:t xml:space="preserve">C, q</w:t>
      </w:r>
      <w:r>
        <w:t xml:space="preserve">)∧¬</w:t>
      </w:r>
      <w:r>
        <w:rPr>
          <w:i/>
          <w:iCs/>
        </w:rPr>
        <w:t xml:space="preserve">Revoked</w:t>
      </w:r>
      <w:r>
        <w:t xml:space="preserve">(</w:t>
      </w:r>
      <w:r>
        <w:rPr>
          <w:i/>
          <w:iCs/>
        </w:rPr>
        <w:t xml:space="preserve">C</w:t>
      </w:r>
      <w:r>
        <w:t xml:space="preserve">)∧</w:t>
      </w:r>
      <w:r>
        <w:rPr>
          <w:i/>
          <w:iCs/>
        </w:rPr>
        <w:t xml:space="preserve">TransitionValid</w:t>
      </w:r>
      <w:r>
        <w:t xml:space="preserve">(</w:t>
      </w:r>
      <w:r>
        <w:rPr>
          <w:i/>
          <w:iCs/>
        </w:rPr>
        <w:t xml:space="preserve">C, q</w:t>
      </w:r>
      <w:r>
        <w:t xml:space="preserve">).</w:t>
      </w:r>
    </w:p>
    <w:p>
      <w:pPr>
        <w:pStyle w:val="BodyText"/>
      </w:pPr>
      <w:r>
        <w:t xml:space="preserve">Only when all four conditions are satisfied can the consent proceed to the subsequent operation.</w:t>
      </w:r>
    </w:p>
    <w:p>
      <w:pPr>
        <w:pStyle w:val="Compact"/>
        <w:numPr>
          <w:ilvl w:val="0"/>
          <w:numId w:val="1057"/>
        </w:numPr>
      </w:pPr>
      <w:r>
        <w:rPr>
          <w:b/>
          <w:bCs/>
        </w:rPr>
        <w:t xml:space="preserve">Step 8 – Record Temporal and Lifecycle Evidence.</w:t>
      </w:r>
    </w:p>
    <w:p>
      <w:pPr>
        <w:pStyle w:val="FirstParagraph"/>
      </w:pPr>
      <w:r>
        <w:t xml:space="preserve">The system records evidence associated with the successful validation. The evidence may include the consent identifier, current timestamp, validity interval, current lifecycle state, revocation status, requested transition, and validation result.</w:t>
      </w:r>
    </w:p>
    <w:p>
      <w:pPr>
        <w:pStyle w:val="BodyText"/>
      </w:pPr>
      <w:r>
        <w:t xml:space="preserve">This evidence establishes an auditable relationship between the consent’s lifecycle state and the operation performed at a particular point in time.</w:t>
      </w:r>
    </w:p>
    <w:p>
      <w:pPr>
        <w:pStyle w:val="Compact"/>
        <w:numPr>
          <w:ilvl w:val="0"/>
          <w:numId w:val="1058"/>
        </w:numPr>
      </w:pPr>
      <w:r>
        <w:rPr>
          <w:b/>
          <w:bCs/>
        </w:rPr>
        <w:t xml:space="preserve">Step 9 – Return the Lifecycle Validation Result.</w:t>
      </w:r>
    </w:p>
    <w:p>
      <w:pPr>
        <w:pStyle w:val="FirstParagraph"/>
      </w:pPr>
      <w:r>
        <w:t xml:space="preserve">If all temporal and lifecycle conditions are satisfied, the system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V</m:t>
          </m:r>
          <m:r>
            <m:t>A</m:t>
          </m:r>
          <m:r>
            <m:t>L</m:t>
          </m:r>
          <m:r>
            <m:t>I</m:t>
          </m:r>
          <m:r>
            <m:t>D</m:t>
          </m:r>
          <m:r>
            <m:rPr>
              <m:sty m:val="p"/>
            </m:rPr>
            <m:t>.</m:t>
          </m:r>
        </m:oMath>
      </m:oMathPara>
    </w:p>
    <w:p>
      <w:pPr>
        <w:pStyle w:val="FirstParagraph"/>
      </w:pPr>
      <w:r>
        <w:t xml:space="preserve">If any mandatory condition fails, the procedure returns</w:t>
      </w:r>
    </w:p>
    <w:p>
      <w:pPr>
        <w:pStyle w:val="BodyText"/>
      </w:pPr>
      <m:oMathPara>
        <m:oMathParaPr>
          <m:jc m:val="center"/>
        </m:oMathParaPr>
        <m:oMath>
          <m:sSub>
            <m:e>
              <m:r>
                <m:t>V</m:t>
              </m:r>
            </m:e>
            <m:sub>
              <m:r>
                <m:t>L</m:t>
              </m:r>
            </m:sub>
          </m:sSub>
          <m:r>
            <m:rPr>
              <m:sty m:val="p"/>
            </m:rPr>
            <m:t>(</m:t>
          </m:r>
          <m:r>
            <m:t>C</m:t>
          </m:r>
          <m:r>
            <m:rPr>
              <m:sty m:val="p"/>
            </m:rPr>
            <m:t>,</m:t>
          </m:r>
          <m:r>
            <m:t>t</m:t>
          </m:r>
          <m:r>
            <m:rPr>
              <m:sty m:val="p"/>
            </m:rPr>
            <m:t>,</m:t>
          </m:r>
          <m:r>
            <m:t>q</m:t>
          </m:r>
          <m:r>
            <m:rPr>
              <m:sty m:val="p"/>
            </m:rPr>
            <m:t>)</m:t>
          </m:r>
          <m:r>
            <m:rPr>
              <m:sty m:val="p"/>
            </m:rPr>
            <m:t>=</m:t>
          </m:r>
          <m:r>
            <m:t>I</m:t>
          </m:r>
          <m:r>
            <m:t>N</m:t>
          </m:r>
          <m:r>
            <m:t>V</m:t>
          </m:r>
          <m:r>
            <m:t>A</m:t>
          </m:r>
          <m:r>
            <m:t>L</m:t>
          </m:r>
          <m:r>
            <m:t>I</m:t>
          </m:r>
          <m:r>
            <m:t>D</m:t>
          </m:r>
          <m:r>
            <m:rPr>
              <m:sty m:val="p"/>
            </m:rPr>
            <m:t>.</m:t>
          </m:r>
        </m:oMath>
      </m:oMathPara>
    </w:p>
    <w:p>
      <w:pPr>
        <w:pStyle w:val="FirstParagraph"/>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C</m:t>
                </m:r>
                <m:r>
                  <m:rPr>
                    <m:sty m:val="p"/>
                  </m:rPr>
                  <m:t>→</m:t>
                </m:r>
                <m:sSub>
                  <m:e>
                    <m:r>
                      <m:t>T</m:t>
                    </m:r>
                  </m:e>
                  <m:sub>
                    <m:r>
                      <m:t>C</m:t>
                    </m:r>
                  </m:sub>
                </m:sSub>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e>
            </m:mr>
            <m:mr>
              <m:e>
                <m:r>
                  <m:rPr>
                    <m:sty m:val="p"/>
                  </m:rPr>
                  <m:t>→</m:t>
                </m:r>
                <m:r>
                  <m:t>q</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E</m:t>
                </m:r>
                <m:r>
                  <m:t>v</m:t>
                </m:r>
                <m:r>
                  <m:t>i</m:t>
                </m:r>
                <m:r>
                  <m:t>d</m:t>
                </m:r>
                <m:r>
                  <m:t>e</m:t>
                </m:r>
                <m:r>
                  <m:t>n</m:t>
                </m:r>
                <m:r>
                  <m:t>c</m:t>
                </m:r>
                <m:r>
                  <m:t>e</m:t>
                </m:r>
                <m:r>
                  <m:rPr>
                    <m:sty m:val="p"/>
                  </m:rPr>
                  <m:t>→</m:t>
                </m:r>
                <m:d>
                  <m:dPr>
                    <m:begChr m:val="{"/>
                    <m:sepChr m:val=""/>
                    <m:endChr m:val=""/>
                    <m:grow/>
                  </m:dPr>
                  <m:e>
                    <m:m>
                      <m:mPr>
                        <m:baseJc m:val="center"/>
                        <m:plcHide m:val="on"/>
                        <m:mcs>
                          <m:mc>
                            <m:mcPr>
                              <m:count m:val="1"/>
                              <m:mcJc m:val="left"/>
                            </m:mcPr>
                          </m:mc>
                        </m:mcs>
                      </m:mPr>
                      <m:mr>
                        <m:e>
                          <m:r>
                            <m:t>V</m:t>
                          </m:r>
                          <m:r>
                            <m:t>A</m:t>
                          </m:r>
                          <m:r>
                            <m:t>L</m:t>
                          </m:r>
                          <m:r>
                            <m:t>I</m:t>
                          </m:r>
                          <m:r>
                            <m:t>D</m:t>
                          </m:r>
                        </m:e>
                      </m:mr>
                      <m:mr>
                        <m:e>
                          <m:r>
                            <m:t>I</m:t>
                          </m:r>
                          <m:r>
                            <m:t>N</m:t>
                          </m:r>
                          <m:r>
                            <m:t>V</m:t>
                          </m:r>
                          <m:r>
                            <m:t>A</m:t>
                          </m:r>
                          <m:r>
                            <m:t>L</m:t>
                          </m:r>
                          <m:r>
                            <m:t>I</m:t>
                          </m:r>
                          <m:r>
                            <m:t>D</m:t>
                          </m:r>
                        </m:e>
                      </m:mr>
                    </m:m>
                  </m:e>
                </m:d>
              </m:e>
            </m:mr>
          </m:m>
        </m:oMath>
      </m:oMathPara>
    </w:p>
    <w:p>
      <w:pPr>
        <w:pStyle w:val="FirstParagraph"/>
      </w:pPr>
      <w:r>
        <w:t xml:space="preserve">The complete lifecycle-validity condition can be summarised as</w:t>
      </w:r>
    </w:p>
    <w:p>
      <w:pPr>
        <w:pStyle w:val="BodyText"/>
      </w:pPr>
      <m:oMathPara>
        <m:oMathParaPr>
          <m:jc m:val="center"/>
        </m:oMathParaPr>
        <m:oMath>
          <m:m>
            <m:mPr>
              <m:baseJc m:val="center"/>
              <m:plcHide m:val="on"/>
              <m:mcs>
                <m:mc>
                  <m:mcPr>
                    <m:count m:val="1"/>
                    <m:mcJc m:val="left"/>
                  </m:mcPr>
                </m:mc>
              </m:mcs>
            </m:mPr>
            <m:mr>
              <m:e>
                <m:r>
                  <m:t>V</m:t>
                </m:r>
                <m:r>
                  <m:t>A</m:t>
                </m:r>
                <m:r>
                  <m:t>L</m:t>
                </m:r>
                <m:r>
                  <m:t>I</m:t>
                </m:r>
                <m:r>
                  <m:t>D</m:t>
                </m:r>
                <m:r>
                  <m:rPr>
                    <m:sty m:val="p"/>
                  </m:rPr>
                  <m:t>⇔</m:t>
                </m:r>
                <m:r>
                  <m:t> </m:t>
                </m:r>
                <m:r>
                  <m:rPr>
                    <m:sty m:val="p"/>
                  </m:rPr>
                  <m:t>(</m:t>
                </m:r>
                <m:sSub>
                  <m:e>
                    <m:r>
                      <m:t>t</m:t>
                    </m:r>
                  </m:e>
                  <m:sub>
                    <m:r>
                      <m:t>s</m:t>
                    </m:r>
                  </m:sub>
                </m:sSub>
                <m:r>
                  <m:rPr>
                    <m:sty m:val="p"/>
                  </m:rPr>
                  <m:t>≤</m:t>
                </m:r>
                <m:r>
                  <m:t>t</m:t>
                </m:r>
                <m:r>
                  <m:rPr>
                    <m:sty m:val="p"/>
                  </m:rPr>
                  <m:t>≤</m:t>
                </m:r>
                <m:sSub>
                  <m:e>
                    <m:r>
                      <m:t>t</m:t>
                    </m:r>
                  </m:e>
                  <m:sub>
                    <m:r>
                      <m:t>e</m:t>
                    </m:r>
                  </m:sub>
                </m:sSub>
                <m:r>
                  <m:rPr>
                    <m:sty m:val="p"/>
                  </m:rPr>
                  <m:t>)</m:t>
                </m:r>
                <m:r>
                  <m:rPr>
                    <m:sty m:val="p"/>
                  </m:rPr>
                  <m:t>∧</m:t>
                </m:r>
                <m:r>
                  <m:t>S</m:t>
                </m:r>
                <m:r>
                  <m:t>t</m:t>
                </m:r>
                <m:r>
                  <m:t>a</m:t>
                </m:r>
                <m:r>
                  <m:t>t</m:t>
                </m:r>
                <m:r>
                  <m:t>e</m:t>
                </m:r>
                <m:r>
                  <m:rPr>
                    <m:sty m:val="p"/>
                  </m:rPr>
                  <m:t>(</m:t>
                </m:r>
                <m:r>
                  <m:t>C</m:t>
                </m:r>
                <m:r>
                  <m:rPr>
                    <m:sty m:val="p"/>
                  </m:rPr>
                  <m:t>)</m:t>
                </m:r>
                <m:r>
                  <m:rPr>
                    <m:sty m:val="p"/>
                  </m:rPr>
                  <m:t>⊨</m:t>
                </m:r>
                <m:r>
                  <m:t>q</m:t>
                </m:r>
              </m:e>
            </m:mr>
            <m:mr>
              <m:e>
                <m:r>
                  <m:rPr>
                    <m:sty m:val="p"/>
                  </m:rPr>
                  <m:t>∧</m:t>
                </m:r>
                <m:r>
                  <m:rPr>
                    <m:sty m:val="p"/>
                  </m:rPr>
                  <m:t>¬</m:t>
                </m:r>
                <m:r>
                  <m:t>R</m:t>
                </m:r>
                <m:r>
                  <m:t>e</m:t>
                </m:r>
                <m:r>
                  <m:t>v</m:t>
                </m:r>
                <m:r>
                  <m:t>o</m:t>
                </m:r>
                <m:r>
                  <m:t>k</m:t>
                </m:r>
                <m:r>
                  <m:t>e</m:t>
                </m:r>
                <m:r>
                  <m:t>d</m:t>
                </m:r>
                <m:r>
                  <m:rPr>
                    <m:sty m:val="p"/>
                  </m:rPr>
                  <m:t>(</m:t>
                </m:r>
                <m:r>
                  <m:t>C</m:t>
                </m:r>
                <m:r>
                  <m:rPr>
                    <m:sty m:val="p"/>
                  </m:rPr>
                  <m:t>)</m:t>
                </m:r>
                <m:r>
                  <m:rPr>
                    <m:sty m:val="p"/>
                  </m:rPr>
                  <m:t>∧</m:t>
                </m:r>
                <m:r>
                  <m:t>T</m:t>
                </m:r>
                <m:r>
                  <m:t>r</m:t>
                </m:r>
                <m:r>
                  <m:t>a</m:t>
                </m:r>
                <m:r>
                  <m:t>n</m:t>
                </m:r>
                <m:r>
                  <m:t>s</m:t>
                </m:r>
                <m:r>
                  <m:t>i</m:t>
                </m:r>
                <m:r>
                  <m:t>t</m:t>
                </m:r>
                <m:r>
                  <m:t>i</m:t>
                </m:r>
                <m:r>
                  <m:t>o</m:t>
                </m:r>
                <m:r>
                  <m:t>n</m:t>
                </m:r>
                <m:r>
                  <m:t>P</m:t>
                </m:r>
                <m:r>
                  <m:t>e</m:t>
                </m:r>
                <m:r>
                  <m:t>r</m:t>
                </m:r>
                <m:r>
                  <m:t>m</m:t>
                </m:r>
                <m:r>
                  <m:t>i</m:t>
                </m:r>
                <m:r>
                  <m:t>t</m:t>
                </m:r>
                <m:r>
                  <m:t>t</m:t>
                </m:r>
                <m:r>
                  <m:t>e</m:t>
                </m:r>
                <m:r>
                  <m:t>d</m:t>
                </m:r>
                <m:r>
                  <m:rPr>
                    <m:sty m:val="p"/>
                  </m:rPr>
                  <m:t>(</m:t>
                </m:r>
                <m:r>
                  <m:t>q</m:t>
                </m:r>
                <m:r>
                  <m:rPr>
                    <m:sty m:val="p"/>
                  </m:rPr>
                  <m:t>)</m:t>
                </m:r>
              </m:e>
            </m:mr>
          </m:m>
        </m:oMath>
      </m:oMathPara>
    </w:p>
    <w:p>
      <w:pPr>
        <w:pStyle w:val="FirstParagraph"/>
      </w:pPr>
      <w:r>
        <w:t xml:space="preserve">This procedure establishes that consent validity is not a static property. Instead, the validity of consent is a function of both time and lifecycle state that</w:t>
      </w:r>
    </w:p>
    <w:p>
      <w:pPr>
        <w:pStyle w:val="BodyText"/>
      </w:pPr>
      <m:oMathPara>
        <m:oMathParaPr>
          <m:jc m:val="center"/>
        </m:oMathParaPr>
        <m:oMath>
          <m:r>
            <m:t>V</m:t>
          </m:r>
          <m:r>
            <m:t>a</m:t>
          </m:r>
          <m:r>
            <m:t>l</m:t>
          </m:r>
          <m:r>
            <m:t>i</m:t>
          </m:r>
          <m:r>
            <m:t>d</m:t>
          </m:r>
          <m:r>
            <m:t>i</m:t>
          </m:r>
          <m:r>
            <m:t>t</m:t>
          </m:r>
          <m:r>
            <m:t>y</m:t>
          </m:r>
          <m:r>
            <m:rPr>
              <m:sty m:val="p"/>
            </m:rPr>
            <m:t>(</m:t>
          </m:r>
          <m:r>
            <m:t>C</m:t>
          </m:r>
          <m:r>
            <m:rPr>
              <m:sty m:val="p"/>
            </m:rPr>
            <m:t>)</m:t>
          </m:r>
          <m:r>
            <m:rPr>
              <m:sty m:val="p"/>
            </m:rPr>
            <m:t>=</m:t>
          </m:r>
          <m:r>
            <m:t>f</m:t>
          </m:r>
          <m:r>
            <m:rPr>
              <m:sty m:val="p"/>
            </m:rPr>
            <m:t>(</m:t>
          </m:r>
          <m:r>
            <m:t>t</m:t>
          </m:r>
          <m:r>
            <m:rPr>
              <m:sty m:val="p"/>
            </m:rPr>
            <m:t>,</m:t>
          </m:r>
          <m:r>
            <m:t>S</m:t>
          </m:r>
          <m:r>
            <m:t>t</m:t>
          </m:r>
          <m:r>
            <m:t>a</m:t>
          </m:r>
          <m:r>
            <m:t>t</m:t>
          </m:r>
          <m:r>
            <m:t>e</m:t>
          </m:r>
          <m:r>
            <m:rPr>
              <m:sty m:val="p"/>
            </m:rPr>
            <m:t>(</m:t>
          </m:r>
          <m:r>
            <m:t>C</m:t>
          </m:r>
          <m:r>
            <m:rPr>
              <m:sty m:val="p"/>
            </m:rPr>
            <m:t>)</m:t>
          </m:r>
          <m:r>
            <m:rPr>
              <m:sty m:val="p"/>
            </m:rPr>
            <m:t>,</m:t>
          </m:r>
          <m:r>
            <m:t>R</m:t>
          </m:r>
          <m:r>
            <m:t>e</m:t>
          </m:r>
          <m:r>
            <m:t>v</m:t>
          </m:r>
          <m:r>
            <m:t>o</m:t>
          </m:r>
          <m:r>
            <m:t>c</m:t>
          </m:r>
          <m:r>
            <m:t>a</m:t>
          </m:r>
          <m:r>
            <m:t>t</m:t>
          </m:r>
          <m:r>
            <m:t>i</m:t>
          </m:r>
          <m:r>
            <m:t>o</m:t>
          </m:r>
          <m:r>
            <m:t>n</m:t>
          </m:r>
          <m:r>
            <m:rPr>
              <m:sty m:val="p"/>
            </m:rPr>
            <m:t>(</m:t>
          </m:r>
          <m:r>
            <m:t>C</m:t>
          </m:r>
          <m:r>
            <m:rPr>
              <m:sty m:val="p"/>
            </m:rPr>
            <m:t>)</m:t>
          </m:r>
          <m:r>
            <m:rPr>
              <m:sty m:val="p"/>
            </m:rPr>
            <m:t>)</m:t>
          </m:r>
          <m:r>
            <m:rPr>
              <m:sty m:val="p"/>
            </m:rPr>
            <m:t>.</m:t>
          </m:r>
        </m:oMath>
      </m:oMathPara>
    </w:p>
    <w:p>
      <w:pPr>
        <w:pStyle w:val="FirstParagraph"/>
      </w:pPr>
      <w:r>
        <w:t xml:space="preserve">Consequently, a consent that was valid at time</w:t>
      </w:r>
      <w:r>
        <w:t xml:space="preserve"> </w:t>
      </w:r>
      <w:r>
        <w:rPr>
          <w:i/>
          <w:iCs/>
        </w:rPr>
        <w:t xml:space="preserve">t</w:t>
      </w:r>
      <w:r>
        <w:rPr>
          <w:vertAlign w:val="subscript"/>
        </w:rPr>
        <w:t xml:space="preserve">1</w:t>
      </w:r>
      <w:r>
        <w:t xml:space="preserve"> </w:t>
      </w:r>
      <w:r>
        <w:t xml:space="preserve">may become invalid at a later time</w:t>
      </w:r>
      <w:r>
        <w:t xml:space="preserve"> </w:t>
      </w:r>
      <w:r>
        <w:rPr>
          <w:i/>
          <w:iCs/>
        </w:rPr>
        <w:t xml:space="preserve">t</w:t>
      </w:r>
      <w:r>
        <w:rPr>
          <w:vertAlign w:val="subscript"/>
        </w:rPr>
        <w:t xml:space="preserve">2</w:t>
      </w:r>
      <w:r>
        <w:t xml:space="preserve"> </w:t>
      </w:r>
      <w:r>
        <w:t xml:space="preserve">because it has expired, been revoked, suspended, or otherwise transitioned into a state that does not permit the requested operation. The explicit lifecycle validation also introduces an important distinction between</w:t>
      </w:r>
      <w:r>
        <w:t xml:space="preserve"> </w:t>
      </w:r>
      <w:r>
        <w:rPr>
          <w:i/>
          <w:iCs/>
        </w:rPr>
        <w:t xml:space="preserve">consent</w:t>
      </w:r>
      <w:r>
        <w:t xml:space="preserve"> </w:t>
      </w:r>
      <w:r>
        <w:rPr>
          <w:i/>
          <w:iCs/>
        </w:rPr>
        <w:t xml:space="preserve">existence</w:t>
      </w:r>
      <w:r>
        <w:t xml:space="preserve"> </w:t>
      </w:r>
      <w:r>
        <w:t xml:space="preserve">and</w:t>
      </w:r>
      <w:r>
        <w:t xml:space="preserve"> </w:t>
      </w:r>
      <w:r>
        <w:rPr>
          <w:i/>
          <w:iCs/>
        </w:rPr>
        <w:t xml:space="preserve">consent usability</w:t>
      </w:r>
      <w:r>
        <w:t xml:space="preserve">.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w:t>
      </w:r>
    </w:p>
    <w:p>
      <w:pPr>
        <w:pStyle w:val="BodyText"/>
      </w:pPr>
      <m:oMathPara>
        <m:oMathParaPr>
          <m:jc m:val="center"/>
        </m:oMathParaPr>
        <m:oMath>
          <m:r>
            <m:t>C</m:t>
          </m:r>
          <m:r>
            <m:t>o</m:t>
          </m:r>
          <m:r>
            <m:t>n</m:t>
          </m:r>
          <m:r>
            <m:t>s</m:t>
          </m:r>
          <m:r>
            <m:t>e</m:t>
          </m:r>
          <m:r>
            <m:t>n</m:t>
          </m:r>
          <m:r>
            <m:t>t</m:t>
          </m:r>
          <m:r>
            <m:t>E</m:t>
          </m:r>
          <m:r>
            <m:t>x</m:t>
          </m:r>
          <m:r>
            <m:t>i</m:t>
          </m:r>
          <m:r>
            <m:t>s</m:t>
          </m:r>
          <m:r>
            <m:t>t</m:t>
          </m:r>
          <m:r>
            <m:t>s</m:t>
          </m:r>
          <m:r>
            <m:rPr>
              <m:sty m:val="p"/>
            </m:rPr>
            <m:t>(</m:t>
          </m:r>
          <m:r>
            <m:t>C</m:t>
          </m:r>
          <m:r>
            <m:rPr>
              <m:sty m:val="p"/>
            </m:rPr>
            <m:t>)</m:t>
          </m:r>
          <m:r>
            <m:rPr>
              <m:sty m:val="p"/>
            </m:rPr>
            <m:t>⇏</m:t>
          </m:r>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oMath>
      </m:oMathPara>
    </w:p>
    <w:p>
      <w:pPr>
        <w:pStyle w:val="FirstParagraph"/>
      </w:pPr>
      <w:r>
        <w:t xml:space="preserve">Instead,</w:t>
      </w:r>
    </w:p>
    <w:p>
      <w:pPr>
        <w:pStyle w:val="BodyText"/>
      </w:pPr>
      <m:oMathPara>
        <m:oMathParaPr>
          <m:jc m:val="center"/>
        </m:oMathParaPr>
        <m:oMath>
          <m:r>
            <m:t>C</m:t>
          </m:r>
          <m:r>
            <m:t>o</m:t>
          </m:r>
          <m:r>
            <m:t>n</m:t>
          </m:r>
          <m:r>
            <m:t>s</m:t>
          </m:r>
          <m:r>
            <m:t>e</m:t>
          </m:r>
          <m:r>
            <m:t>n</m:t>
          </m:r>
          <m:r>
            <m:t>t</m:t>
          </m:r>
          <m:r>
            <m:t>U</m:t>
          </m:r>
          <m:r>
            <m:t>s</m:t>
          </m:r>
          <m:r>
            <m:t>a</m:t>
          </m:r>
          <m:r>
            <m:t>b</m:t>
          </m:r>
          <m:r>
            <m:t>l</m:t>
          </m:r>
          <m:r>
            <m:t>e</m:t>
          </m:r>
          <m:r>
            <m:rPr>
              <m:sty m:val="p"/>
            </m:rPr>
            <m:t>(</m:t>
          </m:r>
          <m:r>
            <m:t>C</m:t>
          </m:r>
          <m:r>
            <m:rPr>
              <m:sty m:val="p"/>
            </m:rPr>
            <m:t>,</m:t>
          </m:r>
          <m:r>
            <m:t>t</m:t>
          </m:r>
          <m:r>
            <m:rPr>
              <m:sty m:val="p"/>
            </m:rPr>
            <m:t>)</m:t>
          </m:r>
          <m:r>
            <m:rPr>
              <m:sty m:val="p"/>
            </m:rPr>
            <m:t>⇒</m:t>
          </m:r>
          <m:r>
            <m:t>T</m:t>
          </m:r>
          <m:r>
            <m:t>i</m:t>
          </m:r>
          <m:r>
            <m:t>m</m:t>
          </m:r>
          <m:r>
            <m:t>e</m:t>
          </m:r>
          <m:r>
            <m:t>V</m:t>
          </m:r>
          <m:r>
            <m:t>a</m:t>
          </m:r>
          <m:r>
            <m:t>l</m:t>
          </m:r>
          <m:r>
            <m:t>i</m:t>
          </m:r>
          <m:r>
            <m:t>d</m:t>
          </m:r>
          <m:r>
            <m:rPr>
              <m:sty m:val="p"/>
            </m:rPr>
            <m:t>(</m:t>
          </m:r>
          <m:r>
            <m:t>C</m:t>
          </m:r>
          <m:r>
            <m:rPr>
              <m:sty m:val="p"/>
            </m:rPr>
            <m:t>,</m:t>
          </m:r>
          <m:r>
            <m:t>t</m:t>
          </m:r>
          <m:r>
            <m:rPr>
              <m:sty m:val="p"/>
            </m:rPr>
            <m:t>)</m:t>
          </m:r>
          <m:r>
            <m:rPr>
              <m:sty m:val="p"/>
            </m:rPr>
            <m:t>∧</m:t>
          </m:r>
          <m:r>
            <m:t>S</m:t>
          </m:r>
          <m:r>
            <m:t>t</m:t>
          </m:r>
          <m:r>
            <m:t>a</m:t>
          </m:r>
          <m:r>
            <m:t>t</m:t>
          </m:r>
          <m:r>
            <m:t>e</m:t>
          </m:r>
          <m:r>
            <m:t>V</m:t>
          </m:r>
          <m:r>
            <m:t>a</m:t>
          </m:r>
          <m:r>
            <m:t>l</m:t>
          </m:r>
          <m:r>
            <m:t>i</m:t>
          </m:r>
          <m:r>
            <m:t>d</m:t>
          </m:r>
          <m:r>
            <m:rPr>
              <m:sty m:val="p"/>
            </m:rPr>
            <m:t>(</m:t>
          </m:r>
          <m:r>
            <m:t>C</m:t>
          </m:r>
          <m:r>
            <m:rPr>
              <m:sty m:val="p"/>
            </m:rPr>
            <m:t>)</m:t>
          </m:r>
          <m:r>
            <m:rPr>
              <m:sty m:val="p"/>
            </m:rPr>
            <m:t>∧</m:t>
          </m:r>
          <m:r>
            <m:rPr>
              <m:sty m:val="p"/>
            </m:rPr>
            <m:t>¬</m:t>
          </m:r>
          <m:r>
            <m:t>R</m:t>
          </m:r>
          <m:r>
            <m:t>e</m:t>
          </m:r>
          <m:r>
            <m:t>v</m:t>
          </m:r>
          <m:r>
            <m:t>o</m:t>
          </m:r>
          <m:r>
            <m:t>k</m:t>
          </m:r>
          <m:r>
            <m:t>e</m:t>
          </m:r>
          <m:r>
            <m:t>d</m:t>
          </m:r>
          <m:r>
            <m:rPr>
              <m:sty m:val="p"/>
            </m:rPr>
            <m:t>(</m:t>
          </m:r>
          <m:r>
            <m:t>C</m:t>
          </m:r>
          <m:r>
            <m:rPr>
              <m:sty m:val="p"/>
            </m:rPr>
            <m:t>)</m:t>
          </m:r>
          <m:r>
            <m:rPr>
              <m:sty m:val="p"/>
            </m:rPr>
            <m:t>.</m:t>
          </m:r>
        </m:oMath>
      </m:oMathPara>
    </w:p>
    <w:p>
      <w:pPr>
        <w:pStyle w:val="FirstParagraph"/>
      </w:pPr>
      <w:r>
        <w:t xml:space="preserve">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lifecycle validation mechanism can therefore be interpreted as a continuous validity layer</w:t>
      </w:r>
    </w:p>
    <w:p>
      <w:pPr>
        <w:pStyle w:val="BodyText"/>
      </w:pPr>
      <m:oMathPara>
        <m:oMathParaPr>
          <m:jc m:val="center"/>
        </m:oMathParaPr>
        <m:oMath>
          <m:m>
            <m:mPr>
              <m:baseJc m:val="center"/>
              <m:plcHide m:val="on"/>
              <m:mcs>
                <m:mc>
                  <m:mcPr>
                    <m:count m:val="1"/>
                    <m:mcJc m:val="left"/>
                  </m:mcPr>
                </m:mc>
              </m:mcs>
            </m:mPr>
            <m:mr>
              <m:e>
                <m:r>
                  <m:t>C</m:t>
                </m:r>
                <m:r>
                  <m:t>o</m:t>
                </m:r>
                <m:r>
                  <m:t>n</m:t>
                </m:r>
                <m:r>
                  <m:t>s</m:t>
                </m:r>
                <m:r>
                  <m:t>e</m:t>
                </m:r>
                <m:r>
                  <m:t>n</m:t>
                </m:r>
                <m:r>
                  <m:t>t</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P</m:t>
                </m:r>
                <m:r>
                  <m:t>o</m:t>
                </m:r>
                <m:r>
                  <m:t>l</m:t>
                </m:r>
                <m:r>
                  <m:t>i</m:t>
                </m:r>
                <m:r>
                  <m:t>c</m:t>
                </m:r>
                <m:r>
                  <m:t>y</m:t>
                </m:r>
              </m:e>
            </m:mr>
            <m:mr>
              <m:e>
                <m:r>
                  <m:rPr>
                    <m:sty m:val="p"/>
                  </m:rPr>
                  <m:t>→</m:t>
                </m:r>
                <m:r>
                  <m:t>T</m:t>
                </m:r>
                <m:r>
                  <m:t>e</m:t>
                </m:r>
                <m:r>
                  <m:t>m</m:t>
                </m:r>
                <m:r>
                  <m:t>p</m:t>
                </m:r>
                <m:r>
                  <m:t>o</m:t>
                </m:r>
                <m:r>
                  <m:t>r</m:t>
                </m:r>
                <m:r>
                  <m:t>a</m:t>
                </m:r>
                <m:r>
                  <m:t>l</m:t>
                </m:r>
                <m:r>
                  <m:rPr>
                    <m:sty m:val="p"/>
                  </m:rPr>
                  <m:t>/</m:t>
                </m:r>
                <m:r>
                  <m:t>L</m:t>
                </m:r>
                <m:r>
                  <m:t>i</m:t>
                </m:r>
                <m:r>
                  <m:t>f</m:t>
                </m:r>
                <m:r>
                  <m:t>e</m:t>
                </m:r>
                <m:r>
                  <m:t>c</m:t>
                </m:r>
                <m:r>
                  <m:t>y</m:t>
                </m:r>
                <m:r>
                  <m:t>c</m:t>
                </m:r>
                <m:r>
                  <m:t>l</m:t>
                </m:r>
                <m:r>
                  <m:t>e</m:t>
                </m:r>
                <m:r>
                  <m:t> </m:t>
                </m:r>
                <m:r>
                  <m:t>V</m:t>
                </m:r>
                <m:r>
                  <m:t>a</m:t>
                </m:r>
                <m:r>
                  <m:t>l</m:t>
                </m:r>
                <m:r>
                  <m:t>i</m:t>
                </m:r>
                <m:r>
                  <m:t>d</m:t>
                </m:r>
                <m:r>
                  <m:t>a</m:t>
                </m:r>
                <m:r>
                  <m:t>t</m:t>
                </m:r>
                <m:r>
                  <m:t>i</m:t>
                </m:r>
                <m:r>
                  <m:t>o</m:t>
                </m:r>
                <m:r>
                  <m:t>n</m:t>
                </m:r>
                <m:r>
                  <m:rPr>
                    <m:sty m:val="p"/>
                  </m:rPr>
                  <m:t>→</m:t>
                </m:r>
                <m:r>
                  <m:t>A</m:t>
                </m:r>
                <m:r>
                  <m:t>c</m:t>
                </m:r>
                <m:r>
                  <m:t>c</m:t>
                </m:r>
                <m:r>
                  <m:t>e</m:t>
                </m:r>
                <m:r>
                  <m:t>s</m:t>
                </m:r>
                <m:r>
                  <m:t>s</m:t>
                </m:r>
              </m:e>
            </m:mr>
          </m:m>
        </m:oMath>
      </m:oMathPara>
    </w:p>
    <w:p>
      <w:pPr>
        <w:pStyle w:val="FirstParagraph"/>
      </w:pPr>
      <w:r>
        <w:t xml:space="preserve">Rather than treating authorisation as a one-time event, this approach enables the system to determine whether authorisation remains valid at the precise time an operation is requested. This is particularly important for dynamic consent environments in which permissions may expire, be revoked, suspended, renewed, or otherwise modified during the lifecycle of a healthcare data-sharing relationship.</w:t>
      </w:r>
    </w:p>
    <w:bookmarkEnd w:id="125"/>
    <w:bookmarkStart w:id="126" w:name="X43f085cbe35cf9229d124bd6c8707d40ef3f488"/>
    <w:p>
      <w:pPr>
        <w:pStyle w:val="Heading3"/>
      </w:pPr>
      <w:r>
        <w:t xml:space="preserve">6.5.3 Algorithm 5: Temporal and Lifecycle Validation</w:t>
      </w:r>
    </w:p>
    <w:p>
      <w:pPr>
        <w:pStyle w:val="Algorithm"/>
      </w:pPr>
      <w:r>
        <w:rPr>
          <w:b/>
          <w:bCs/>
        </w:rPr>
        <w:t xml:space="preserve">Algorithm 5</w:t>
      </w:r>
      <w:r>
        <w:t xml:space="preserve"> </w:t>
      </w:r>
      <w:r>
        <w:t xml:space="preserve">Temporal and Lifecycle Validation</w:t>
      </w:r>
      <w:r>
        <w:br/>
      </w:r>
      <w:r>
        <w:rPr>
          <w:b/>
          <w:bCs/>
        </w:rPr>
        <w:t xml:space="preserve">Require:</w:t>
      </w:r>
      <w:r>
        <w:t xml:space="preserve"> </w:t>
      </w:r>
      <w:r>
        <w:t xml:space="preserve">Consent object</w:t>
      </w:r>
      <w:r>
        <w:t xml:space="preserve"> </w:t>
      </w:r>
      <m:oMath>
        <m:r>
          <m:t>C</m:t>
        </m:r>
      </m:oMath>
      <w:r>
        <w:t xml:space="preserve">, current time</w:t>
      </w:r>
      <w:r>
        <w:t xml:space="preserve"> </w:t>
      </w:r>
      <m:oMath>
        <m:r>
          <m:t>t</m:t>
        </m:r>
      </m:oMath>
      <w:r>
        <w:t xml:space="preserve">, requested transition</w:t>
      </w:r>
      <w:r>
        <w:t xml:space="preserve"> </w:t>
      </w:r>
      <m:oMath>
        <m:r>
          <m:t>q</m:t>
        </m:r>
      </m:oMath>
      <w:r>
        <w:br/>
      </w:r>
      <w:r>
        <w:rPr>
          <w:b/>
          <w:bCs/>
        </w:rPr>
        <w:t xml:space="preserve">Ensure:</w:t>
      </w:r>
      <w:r>
        <w:t xml:space="preserve"> </w:t>
      </w:r>
      <w:r>
        <w:t xml:space="preserve">Lifecycle validity result</w:t>
      </w:r>
      <w:r>
        <w:br/>
      </w:r>
      <w:r>
        <w:t xml:space="preserve">1: Retrieve consent start time</w:t>
      </w:r>
      <w:r>
        <w:t xml:space="preserve"> </w:t>
      </w:r>
      <m:oMath>
        <m:sSub>
          <m:e>
            <m:r>
              <m:t>t</m:t>
            </m:r>
          </m:e>
          <m:sub>
            <m:r>
              <m:t>s</m:t>
            </m:r>
          </m:sub>
        </m:sSub>
      </m:oMath>
      <w:r>
        <w:t xml:space="preserve"> </w:t>
      </w:r>
      <w:r>
        <w:t xml:space="preserve">and expiry time</w:t>
      </w:r>
      <w:r>
        <w:t xml:space="preserve"> </w:t>
      </w:r>
      <m:oMath>
        <m:sSub>
          <m:e>
            <m:r>
              <m:t>t</m:t>
            </m:r>
          </m:e>
          <m:sub>
            <m:r>
              <m:t>e</m:t>
            </m:r>
          </m:sub>
        </m:sSub>
      </m:oMath>
      <w:r>
        <w:br/>
      </w:r>
      <w:r>
        <w:t xml:space="preserve">2:</w:t>
      </w:r>
      <w:r>
        <w:t xml:space="preserve"> </w:t>
      </w:r>
      <w:r>
        <w:rPr>
          <w:b/>
          <w:bCs/>
        </w:rPr>
        <w:t xml:space="preserve">if</w:t>
      </w:r>
      <w:r>
        <w:t xml:space="preserve"> </w:t>
      </w:r>
      <m:oMath>
        <m:r>
          <m:t>t</m:t>
        </m:r>
        <m:r>
          <m:rPr>
            <m:sty m:val="p"/>
          </m:rPr>
          <m:t>&lt;</m:t>
        </m:r>
        <m:sSub>
          <m:e>
            <m:r>
              <m:t>t</m:t>
            </m:r>
          </m:e>
          <m:sub>
            <m:r>
              <m:t>s</m:t>
            </m:r>
          </m:sub>
        </m:sSub>
      </m:oMath>
      <w:r>
        <w:t xml:space="preserve"> </w:t>
      </w:r>
      <w:r>
        <w:t xml:space="preserve">or</w:t>
      </w:r>
      <w:r>
        <w:t xml:space="preserve"> </w:t>
      </w:r>
      <m:oMath>
        <m:r>
          <m:t>t</m:t>
        </m:r>
        <m:r>
          <m:rPr>
            <m:sty m:val="p"/>
          </m:rPr>
          <m:t>&gt;</m:t>
        </m:r>
        <m:sSub>
          <m:e>
            <m:r>
              <m:t>t</m:t>
            </m:r>
          </m:e>
          <m:sub>
            <m:r>
              <m:t>e</m:t>
            </m:r>
          </m:sub>
        </m:sSub>
      </m:oMath>
      <w:r>
        <w:t xml:space="preserve"> </w:t>
      </w:r>
      <w:r>
        <w:rPr>
          <w:b/>
          <w:bCs/>
        </w:rPr>
        <w:t xml:space="preserve">then</w:t>
      </w:r>
      <w:r>
        <w:br/>
      </w:r>
      <w:r>
        <w:t xml:space="preserve">    3: Record temporal invalidity</w:t>
      </w:r>
      <w:r>
        <w:br/>
      </w:r>
      <w:r>
        <w:t xml:space="preserve">    4:</w:t>
      </w:r>
      <w:r>
        <w:t xml:space="preserve"> </w:t>
      </w:r>
      <w:r>
        <w:rPr>
          <w:b/>
          <w:bCs/>
        </w:rPr>
        <w:t xml:space="preserve">return</w:t>
      </w:r>
      <w:r>
        <w:t xml:space="preserve"> </w:t>
      </w:r>
      <w:r>
        <w:t xml:space="preserve">INVALID</w:t>
      </w:r>
      <w:r>
        <w:br/>
      </w:r>
      <w:r>
        <w:t xml:space="preserve">5:</w:t>
      </w:r>
      <w:r>
        <w:t xml:space="preserve"> </w:t>
      </w:r>
      <w:r>
        <w:rPr>
          <w:b/>
          <w:bCs/>
        </w:rPr>
        <w:t xml:space="preserve">end if</w:t>
      </w:r>
      <w:r>
        <w:br/>
      </w:r>
      <w:r>
        <w:t xml:space="preserve">6: Retrieve current lifecycle state of</w:t>
      </w:r>
      <w:r>
        <w:t xml:space="preserve"> </w:t>
      </w:r>
      <m:oMath>
        <m:r>
          <m:t>C</m:t>
        </m:r>
      </m:oMath>
      <w:r>
        <w:br/>
      </w:r>
      <w:r>
        <w:t xml:space="preserve">7:</w:t>
      </w:r>
      <w:r>
        <w:t xml:space="preserve"> </w:t>
      </w:r>
      <w:r>
        <w:rPr>
          <w:b/>
          <w:bCs/>
        </w:rPr>
        <w:t xml:space="preserve">if</w:t>
      </w:r>
      <w:r>
        <w:t xml:space="preserve"> </w:t>
      </w:r>
      <w:r>
        <w:t xml:space="preserve">current state does not permit the requested operation</w:t>
      </w:r>
      <w:r>
        <w:t xml:space="preserve"> </w:t>
      </w:r>
      <w:r>
        <w:rPr>
          <w:b/>
          <w:bCs/>
        </w:rPr>
        <w:t xml:space="preserve">then</w:t>
      </w:r>
      <w:r>
        <w:br/>
      </w:r>
      <w:r>
        <w:t xml:space="preserve">    8: Record invalid lifecycle state</w:t>
      </w:r>
      <w:r>
        <w:br/>
      </w:r>
      <w:r>
        <w:t xml:space="preserve">    9:</w:t>
      </w:r>
      <w:r>
        <w:t xml:space="preserve"> </w:t>
      </w:r>
      <w:r>
        <w:rPr>
          <w:b/>
          <w:bCs/>
        </w:rPr>
        <w:t xml:space="preserve">return</w:t>
      </w:r>
      <w:r>
        <w:t xml:space="preserve"> </w:t>
      </w:r>
      <w:r>
        <w:t xml:space="preserve">INVALID</w:t>
      </w:r>
      <w:r>
        <w:br/>
      </w:r>
      <w:r>
        <w:t xml:space="preserve">10:</w:t>
      </w:r>
      <w:r>
        <w:t xml:space="preserve"> </w:t>
      </w:r>
      <w:r>
        <w:rPr>
          <w:b/>
          <w:bCs/>
        </w:rPr>
        <w:t xml:space="preserve">end if</w:t>
      </w:r>
      <w:r>
        <w:br/>
      </w:r>
      <w:r>
        <w:t xml:space="preserve">11: Check whether</w:t>
      </w:r>
      <w:r>
        <w:t xml:space="preserve"> </w:t>
      </w:r>
      <m:oMath>
        <m:r>
          <m:t>C</m:t>
        </m:r>
      </m:oMath>
      <w:r>
        <w:t xml:space="preserve"> </w:t>
      </w:r>
      <w:r>
        <w:t xml:space="preserve">has been revoked</w:t>
      </w:r>
      <w:r>
        <w:br/>
      </w:r>
      <w:r>
        <w:t xml:space="preserve">12:</w:t>
      </w:r>
      <w:r>
        <w:t xml:space="preserve"> </w:t>
      </w:r>
      <w:r>
        <w:rPr>
          <w:b/>
          <w:bCs/>
        </w:rPr>
        <w:t xml:space="preserve">if</w:t>
      </w:r>
      <w:r>
        <w:t xml:space="preserve"> </w:t>
      </w:r>
      <m:oMath>
        <m:r>
          <m:t>C</m:t>
        </m:r>
      </m:oMath>
      <w:r>
        <w:t xml:space="preserve"> </w:t>
      </w:r>
      <w:r>
        <w:t xml:space="preserve">is revoked</w:t>
      </w:r>
      <w:r>
        <w:t xml:space="preserve"> </w:t>
      </w:r>
      <w:r>
        <w:rPr>
          <w:b/>
          <w:bCs/>
        </w:rPr>
        <w:t xml:space="preserve">then</w:t>
      </w:r>
      <w:r>
        <w:br/>
      </w:r>
      <w:r>
        <w:t xml:space="preserve">    13: Record revocation-based invalidity</w:t>
      </w:r>
      <w:r>
        <w:br/>
      </w:r>
      <w:r>
        <w:t xml:space="preserve">    14:</w:t>
      </w:r>
      <w:r>
        <w:t xml:space="preserve"> </w:t>
      </w:r>
      <w:r>
        <w:rPr>
          <w:b/>
          <w:bCs/>
        </w:rPr>
        <w:t xml:space="preserve">return</w:t>
      </w:r>
      <w:r>
        <w:t xml:space="preserve"> </w:t>
      </w:r>
      <w:r>
        <w:t xml:space="preserve">INVALID</w:t>
      </w:r>
      <w:r>
        <w:br/>
      </w:r>
      <w:r>
        <w:t xml:space="preserve">15:</w:t>
      </w:r>
      <w:r>
        <w:t xml:space="preserve"> </w:t>
      </w:r>
      <w:r>
        <w:rPr>
          <w:b/>
          <w:bCs/>
        </w:rPr>
        <w:t xml:space="preserve">end if</w:t>
      </w:r>
      <w:r>
        <w:br/>
      </w:r>
      <w:r>
        <w:t xml:space="preserve">16: Validate requested transition</w:t>
      </w:r>
      <w:r>
        <w:t xml:space="preserve"> </w:t>
      </w:r>
      <m:oMath>
        <m:r>
          <m:t>q</m:t>
        </m:r>
      </m:oMath>
      <w:r>
        <w:br/>
      </w:r>
      <w:r>
        <w:t xml:space="preserve">17:</w:t>
      </w:r>
      <w:r>
        <w:t xml:space="preserve"> </w:t>
      </w:r>
      <w:r>
        <w:rPr>
          <w:b/>
          <w:bCs/>
        </w:rPr>
        <w:t xml:space="preserve">if</w:t>
      </w:r>
      <w:r>
        <w:t xml:space="preserve"> </w:t>
      </w:r>
      <w:r>
        <w:t xml:space="preserve">transition</w:t>
      </w:r>
      <w:r>
        <w:t xml:space="preserve"> </w:t>
      </w:r>
      <m:oMath>
        <m:r>
          <m:t>q</m:t>
        </m:r>
      </m:oMath>
      <w:r>
        <w:t xml:space="preserve"> </w:t>
      </w:r>
      <w:r>
        <w:t xml:space="preserve">is not permitted</w:t>
      </w:r>
      <w:r>
        <w:t xml:space="preserve"> </w:t>
      </w:r>
      <w:r>
        <w:rPr>
          <w:b/>
          <w:bCs/>
        </w:rPr>
        <w:t xml:space="preserve">then</w:t>
      </w:r>
      <w:r>
        <w:br/>
      </w:r>
      <w:r>
        <w:t xml:space="preserve">    18: Record unauthorised state transition</w:t>
      </w:r>
      <w:r>
        <w:br/>
      </w:r>
      <w:r>
        <w:t xml:space="preserve">    19:</w:t>
      </w:r>
      <w:r>
        <w:t xml:space="preserve"> </w:t>
      </w:r>
      <w:r>
        <w:rPr>
          <w:b/>
          <w:bCs/>
        </w:rPr>
        <w:t xml:space="preserve">return</w:t>
      </w:r>
      <w:r>
        <w:t xml:space="preserve"> </w:t>
      </w:r>
      <w:r>
        <w:t xml:space="preserve">INVALID</w:t>
      </w:r>
      <w:r>
        <w:br/>
      </w:r>
      <w:r>
        <w:t xml:space="preserve">20:</w:t>
      </w:r>
      <w:r>
        <w:t xml:space="preserve"> </w:t>
      </w:r>
      <w:r>
        <w:rPr>
          <w:b/>
          <w:bCs/>
        </w:rPr>
        <w:t xml:space="preserve">end if</w:t>
      </w:r>
      <w:r>
        <w:br/>
      </w:r>
      <w:r>
        <w:t xml:space="preserve">21: Record valid temporal and lifecycle evidence</w:t>
      </w:r>
      <w:r>
        <w:br/>
      </w:r>
      <w:r>
        <w:t xml:space="preserve">22:</w:t>
      </w:r>
      <w:r>
        <w:t xml:space="preserve"> </w:t>
      </w:r>
      <w:r>
        <w:rPr>
          <w:b/>
          <w:bCs/>
        </w:rPr>
        <w:t xml:space="preserve">return</w:t>
      </w:r>
      <w:r>
        <w:t xml:space="preserve"> </w:t>
      </w:r>
      <w:r>
        <w:t xml:space="preserve">VALID</w:t>
      </w:r>
    </w:p>
    <w:p>
      <w:pPr>
        <w:pStyle w:val="BodyText"/>
      </w:pPr>
      <w:r>
        <w:t xml:space="preserve">Algorithm 5 extends the current-stage decision process by ensuring that consent validity is dynamic rather than permanent. The algorithm is intended for the CA3 implementation and evaluation stage. It will be used to investigate expiration, revocation, and controlled state transitions as additional conditions of trustworthy access.</w:t>
      </w:r>
    </w:p>
    <w:bookmarkEnd w:id="126"/>
    <w:bookmarkEnd w:id="127"/>
    <w:bookmarkStart w:id="134" w:name="X28e4c471c7af957781c5be37513d338d1f9028e"/>
    <w:p>
      <w:pPr>
        <w:pStyle w:val="Heading2"/>
      </w:pPr>
      <w:r>
        <w:t xml:space="preserve">6.6 Formal Security Assurance and Empirical Validation for RO6</w:t>
      </w:r>
    </w:p>
    <w:p>
      <w:pPr>
        <w:pStyle w:val="FirstParagraph"/>
      </w:pPr>
      <w:r>
        <w:t xml:space="preserve">RO6 addresses SRQ6 by formally analysing and empirically evaluating whether the proposed trust-oriented authorisation framework satisfies its defined security and authorisation properties.</w:t>
      </w:r>
    </w:p>
    <w:p>
      <w:pPr>
        <w:pStyle w:val="BodyText"/>
      </w:pPr>
      <w:r>
        <w:t xml:space="preserve">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w:t>
      </w:r>
    </w:p>
    <w:p>
      <w:pPr>
        <w:pStyle w:val="BodyText"/>
      </w:pPr>
      <w:r>
        <w:t xml:space="preserve">The formal decision model is given by Eq. (24).</w:t>
      </w:r>
    </w:p>
    <w:p>
      <w:pPr>
        <w:pStyle w:val="BodyText"/>
      </w:pPr>
      <w:r>
        <w:t xml:space="preserve">For the current stage, the primary validation conditions are</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33</m:t>
          </m:r>
          <m:r>
            <m:rPr>
              <m:sty m:val="p"/>
            </m:rPr>
            <m:t>)</m:t>
          </m:r>
        </m:oMath>
      </m:oMathPara>
    </w:p>
    <w:p>
      <w:pPr>
        <w:pStyle w:val="FirstParagraph"/>
      </w:pPr>
      <w:r>
        <w:t xml:space="preserve">This implication expresses the soundness requirement that every granted request must satisfy the identity, authorisation, and policy conditions. Conversely, if any mandatory condition is violated, the request must be denied:</w:t>
      </w:r>
    </w:p>
    <w:p>
      <w:pPr>
        <w:pStyle w:val="BodyText"/>
      </w:pPr>
      <m:oMathPara>
        <m:oMathParaPr>
          <m:jc m:val="center"/>
        </m:oMathParaPr>
        <m:oMath>
          <m:r>
            <m:rPr>
              <m:sty m:val="p"/>
            </m:rPr>
            <m:t>¬</m:t>
          </m:r>
          <m:sSub>
            <m:e>
              <m:r>
                <m:t>V</m:t>
              </m:r>
            </m:e>
            <m:sub>
              <m:r>
                <m:t>I</m:t>
              </m:r>
            </m:sub>
          </m:sSub>
          <m:r>
            <m:rPr>
              <m:sty m:val="p"/>
            </m:rPr>
            <m:t>(</m:t>
          </m:r>
          <m:r>
            <m:t>u</m:t>
          </m:r>
          <m:r>
            <m:rPr>
              <m:sty m:val="p"/>
            </m:rPr>
            <m:t>)</m:t>
          </m:r>
          <m:r>
            <m:rPr>
              <m:sty m:val="p"/>
            </m:rPr>
            <m:t>∨</m:t>
          </m:r>
          <m:r>
            <m:rPr>
              <m:sty m:val="p"/>
            </m:rPr>
            <m:t>¬</m:t>
          </m:r>
          <m:sSub>
            <m:e>
              <m:r>
                <m:t>V</m:t>
              </m:r>
            </m:e>
            <m:sub>
              <m:r>
                <m:t>A</m:t>
              </m:r>
            </m:sub>
          </m:sSub>
          <m:r>
            <m:rPr>
              <m:sty m:val="p"/>
            </m:rPr>
            <m:t>(</m:t>
          </m:r>
          <m:r>
            <m:t>C</m:t>
          </m:r>
          <m:r>
            <m:rPr>
              <m:sty m:val="p"/>
            </m:rPr>
            <m:t>)</m:t>
          </m:r>
          <m:r>
            <m:rPr>
              <m:sty m:val="p"/>
            </m:rPr>
            <m:t>∨</m:t>
          </m:r>
          <m:r>
            <m:rPr>
              <m:sty m:val="p"/>
            </m:rPr>
            <m:t>¬</m:t>
          </m:r>
          <m:sSub>
            <m:e>
              <m:r>
                <m:t>V</m:t>
              </m:r>
            </m:e>
            <m:sub>
              <m:r>
                <m:t>P</m:t>
              </m:r>
            </m:sub>
          </m:sSub>
          <m:r>
            <m:rPr>
              <m:sty m:val="p"/>
            </m:rPr>
            <m:t>(</m:t>
          </m:r>
          <m:r>
            <m:t>C</m:t>
          </m:r>
          <m:r>
            <m:rPr>
              <m:sty m:val="p"/>
            </m:rPr>
            <m:t>,</m:t>
          </m:r>
          <m:r>
            <m:t>R</m:t>
          </m:r>
          <m:r>
            <m:rPr>
              <m:sty m:val="p"/>
            </m:rPr>
            <m:t>)</m:t>
          </m:r>
          <m:r>
            <m:rPr>
              <m:sty m:val="p"/>
            </m:rPr>
            <m:t>⇒</m:t>
          </m:r>
          <m:r>
            <m:t>D</m:t>
          </m:r>
          <m:r>
            <m:t>e</m:t>
          </m:r>
          <m:r>
            <m:t>c</m:t>
          </m:r>
          <m:r>
            <m:t>i</m:t>
          </m:r>
          <m:r>
            <m:t>s</m:t>
          </m:r>
          <m:r>
            <m:t>i</m:t>
          </m:r>
          <m:r>
            <m:t>o</m:t>
          </m:r>
          <m:r>
            <m:t>n</m:t>
          </m:r>
          <m:r>
            <m:rPr>
              <m:sty m:val="p"/>
            </m:rPr>
            <m:t>(</m:t>
          </m:r>
          <m:r>
            <m:t>C</m:t>
          </m:r>
          <m:r>
            <m:rPr>
              <m:sty m:val="p"/>
            </m:rPr>
            <m:t>,</m:t>
          </m:r>
          <m:r>
            <m:t>R</m:t>
          </m:r>
          <m:r>
            <m:rPr>
              <m:sty m:val="p"/>
            </m:rPr>
            <m:t>)</m:t>
          </m:r>
          <m:r>
            <m:rPr>
              <m:sty m:val="p"/>
            </m:rPr>
            <m:t>=</m:t>
          </m:r>
          <m:r>
            <m:t>D</m:t>
          </m:r>
          <m:r>
            <m:t>E</m:t>
          </m:r>
          <m:r>
            <m:t>N</m:t>
          </m:r>
          <m:r>
            <m:t>Y</m:t>
          </m:r>
          <m:r>
            <m:rPr>
              <m:sty m:val="p"/>
            </m:rPr>
            <m:t>.</m:t>
          </m:r>
          <m:r>
            <m:t>  </m:t>
          </m:r>
          <m:r>
            <m:t>  </m:t>
          </m:r>
          <m:r>
            <m:rPr>
              <m:sty m:val="p"/>
            </m:rPr>
            <m:t>(</m:t>
          </m:r>
          <m:r>
            <m:t>34</m:t>
          </m:r>
          <m:r>
            <m:rPr>
              <m:sty m:val="p"/>
            </m:rPr>
            <m:t>)</m:t>
          </m:r>
        </m:oMath>
      </m:oMathPara>
    </w:p>
    <w:bookmarkStart w:id="131" w:name="ro6-assurance-and-validation-workflow"/>
    <w:p>
      <w:pPr>
        <w:pStyle w:val="Heading3"/>
      </w:pPr>
      <w:r>
        <w:t xml:space="preserve">6.6.1 RO6 Assurance and Validation Workflow</w:t>
      </w:r>
    </w:p>
    <w:p>
      <w:pPr>
        <w:pStyle w:val="FirstParagraph"/>
      </w:pPr>
      <w:r>
        <w:t xml:space="preserve">The validation process, shown in Figure 6.6,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w:t>
      </w:r>
    </w:p>
    <w:p>
      <w:pPr>
        <w:pStyle w:val="CaptionedFigure"/>
      </w:pPr>
      <w:r>
        <w:drawing>
          <wp:inline>
            <wp:extent cx="4572000" cy="7676734"/>
            <wp:effectExtent b="0" l="0" r="0" t="0"/>
            <wp:docPr descr="Figure 6.6: RO6 planned workflow for formal security assurance and empirical validation" title="" id="129" name="Picture"/>
            <a:graphic>
              <a:graphicData uri="http://schemas.openxmlformats.org/drawingml/2006/picture">
                <pic:pic>
                  <pic:nvPicPr>
                    <pic:cNvPr descr="media_col/fig12.png" id="130" name="Picture"/>
                    <pic:cNvPicPr>
                      <a:picLocks noChangeArrowheads="1" noChangeAspect="1"/>
                    </pic:cNvPicPr>
                  </pic:nvPicPr>
                  <pic:blipFill>
                    <a:blip r:embed="rId128"/>
                    <a:stretch>
                      <a:fillRect/>
                    </a:stretch>
                  </pic:blipFill>
                  <pic:spPr bwMode="auto">
                    <a:xfrm>
                      <a:off x="0" y="0"/>
                      <a:ext cx="4572000" cy="7676734"/>
                    </a:xfrm>
                    <a:prstGeom prst="rect">
                      <a:avLst/>
                    </a:prstGeom>
                    <a:noFill/>
                    <a:ln w="9525">
                      <a:noFill/>
                      <a:headEnd/>
                      <a:tailEnd/>
                    </a:ln>
                  </pic:spPr>
                </pic:pic>
              </a:graphicData>
            </a:graphic>
          </wp:inline>
        </w:drawing>
      </w:r>
    </w:p>
    <w:p>
      <w:pPr>
        <w:pStyle w:val="ImageCaption"/>
      </w:pPr>
      <w:r>
        <w:t xml:space="preserve">Figure 6.6: RO6 planned workflow for formal security assurance and empirical validation</w:t>
      </w:r>
    </w:p>
    <w:p>
      <w:pPr>
        <w:pStyle w:val="BodyText"/>
      </w:pPr>
      <w:r>
        <w:t xml:space="preserve">The empirical component will evaluate both valid and invalid scenarios. Valid scenarios will examine whether a correctly specified consent can be created, verified, approved, and used for authorised data access. Negative scenarios will examine whether access is denied when a participant is not verified, when the approval threshold is not satisfied, or when the requested purpose or data scope violates the consent.</w:t>
      </w:r>
    </w:p>
    <w:p>
      <w:pPr>
        <w:pStyle w:val="BodyText"/>
      </w:pPr>
      <w:r>
        <w:t xml:space="preserve">The HALAH prototype provides the implementation basis for this evaluation. The current system includes separate patient, guardian, doctor, and auditor interfaces. It also records consent creation, guardian approval, token minting, state checks, and data-access events. Current evidence from the prototype is reported in Sections 7.11–7.12.</w:t>
      </w:r>
    </w:p>
    <w:bookmarkEnd w:id="131"/>
    <w:bookmarkStart w:id="132" w:name="Xd260b2be908768b418291e3c2c86d2d9077224a"/>
    <w:p>
      <w:pPr>
        <w:pStyle w:val="Heading3"/>
      </w:pPr>
      <w:r>
        <w:t xml:space="preserve">6.6.2 Procedure for Formal and Empirical Authorisation Validation</w:t>
      </w:r>
    </w:p>
    <w:p>
      <w:pPr>
        <w:pStyle w:val="FirstParagraph"/>
      </w:pPr>
      <w:r>
        <w:t xml:space="preserve">The Formal and Empirical Authorisation Validation procedure evaluates whether the proposed framework</w:t>
      </w:r>
      <w:r>
        <w:t xml:space="preserve"> </w:t>
      </w:r>
      <w:r>
        <w:rPr>
          <w:i/>
          <w:iCs/>
        </w:rPr>
        <w:t xml:space="preserve">F</w:t>
      </w:r>
      <w:r>
        <w:t xml:space="preserve"> </w:t>
      </w:r>
      <w:r>
        <w:t xml:space="preserve">correctly implements the intended authorisation model under normal, invalid, and adversarial conditions. Rather than validating the framework only through successful 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w:t>
      </w:r>
    </w:p>
    <w:p>
      <w:pPr>
        <w:pStyle w:val="Compact"/>
        <w:numPr>
          <w:ilvl w:val="0"/>
          <w:numId w:val="1059"/>
        </w:numPr>
      </w:pPr>
      <w:r>
        <w:rPr>
          <w:b/>
          <w:bCs/>
        </w:rPr>
        <w:t xml:space="preserve">Step 1 – Define the Expected Authorisation Properties.</w:t>
      </w:r>
    </w:p>
    <w:p>
      <w:pPr>
        <w:pStyle w:val="FirstParagraph"/>
      </w:pPr>
      <w:r>
        <w:t xml:space="preserve">The first step is to define the security and authorisation properties P that the framework is expected to satisfy. These properties provide the formal evaluation criteria against which the observed system behaviour will subsequently be compared.</w:t>
      </w:r>
    </w:p>
    <w:p>
      <w:pPr>
        <w:pStyle w:val="BodyText"/>
      </w:pPr>
      <w:r>
        <w:t xml:space="preserve">The properties may include authorisation soundness, correct denial of unauthorised requests, threshold correctness, policy compliance, scope enforcement, temporal consistency, and audit consistency.</w:t>
      </w:r>
    </w:p>
    <w:p>
      <w:pPr>
        <w:pStyle w:val="BodyText"/>
      </w:pPr>
      <w:r>
        <w:t xml:space="preserve">Formally,</w:t>
      </w:r>
    </w:p>
    <w:p>
      <w:pPr>
        <w:pStyle w:val="BodyText"/>
      </w:pPr>
      <m:oMathPara>
        <m:oMathParaPr>
          <m:jc m:val="center"/>
        </m:oMathParaPr>
        <m:oMath>
          <m:r>
            <m:t>P</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r>
            <m:rPr>
              <m:sty m:val="p"/>
            </m:rPr>
            <m:t>}</m:t>
          </m:r>
          <m:r>
            <m:rPr>
              <m:sty m:val="p"/>
            </m:rPr>
            <m:t>.</m:t>
          </m:r>
        </m:oMath>
      </m:oMathPara>
    </w:p>
    <w:p>
      <w:pPr>
        <w:pStyle w:val="Compact"/>
        <w:numPr>
          <w:ilvl w:val="0"/>
          <w:numId w:val="1060"/>
        </w:numPr>
      </w:pPr>
      <w:r>
        <w:rPr>
          <w:b/>
          <w:bCs/>
        </w:rPr>
        <w:t xml:space="preserve">Step 2 – Define Valid Scenarios.</w:t>
      </w:r>
    </w:p>
    <w:p>
      <w:pPr>
        <w:pStyle w:val="FirstParagraph"/>
      </w:pPr>
      <w:r>
        <w:t xml:space="preserve">The system defines a set of valid scenarios S</w:t>
      </w:r>
      <w:r>
        <w:rPr>
          <w:vertAlign w:val="subscript"/>
        </w:rPr>
        <w:t xml:space="preserve">valid</w:t>
      </w:r>
      <w:r>
        <w:t xml:space="preserve">, representing legitimate healthcare data-access workflows. These scenarios should contain valid patient identities, valid credentials, active consent, sufficient authority, satisfied multi-party approval, compatible purposes, and authorised data scopes.</w:t>
      </w:r>
    </w:p>
    <w:p>
      <w:pPr>
        <w:pStyle w:val="BodyText"/>
      </w:pPr>
      <w:r>
        <w:t xml:space="preserve">The purpose of these scenarios is to verify that legitimate requests are successfully authorised and that the framework does not incorrectly reject valid operations.</w:t>
      </w:r>
    </w:p>
    <w:p>
      <w:pPr>
        <w:pStyle w:val="Compact"/>
        <w:numPr>
          <w:ilvl w:val="0"/>
          <w:numId w:val="1061"/>
        </w:numPr>
      </w:pPr>
      <w:r>
        <w:rPr>
          <w:b/>
          <w:bCs/>
        </w:rPr>
        <w:t xml:space="preserve">Step 3 – Define Negative Scenarios.</w:t>
      </w:r>
    </w:p>
    <w:p>
      <w:pPr>
        <w:pStyle w:val="FirstParagraph"/>
      </w:pPr>
      <w:r>
        <w:t xml:space="preserve">The system defines a set of negative scenarios S</w:t>
      </w:r>
      <w:r>
        <w:rPr>
          <w:vertAlign w:val="subscript"/>
        </w:rPr>
        <w:t xml:space="preserve">negative</w:t>
      </w:r>
      <w: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w:t>
      </w:r>
    </w:p>
    <w:p>
      <w:pPr>
        <w:pStyle w:val="Compact"/>
        <w:numPr>
          <w:ilvl w:val="0"/>
          <w:numId w:val="1062"/>
        </w:numPr>
      </w:pPr>
      <w:r>
        <w:rPr>
          <w:b/>
          <w:bCs/>
        </w:rPr>
        <w:t xml:space="preserve">Step 4 – Define Adversarial Scenarios.</w:t>
      </w:r>
    </w:p>
    <w:p>
      <w:pPr>
        <w:pStyle w:val="FirstParagraph"/>
      </w:pPr>
      <w:r>
        <w:t xml:space="preserve">The system defines adversarial scenarios S</w:t>
      </w:r>
      <w:r>
        <w:rPr>
          <w:vertAlign w:val="subscript"/>
        </w:rPr>
        <w:t xml:space="preserve">adv</w:t>
      </w:r>
      <w:r>
        <w:t xml:space="preserve">, representing attempts to circumvent or manipulate the authorisation process.</w:t>
      </w:r>
    </w:p>
    <w:p>
      <w:pPr>
        <w:pStyle w:val="BodyText"/>
      </w:pPr>
      <w:r>
        <w:t xml:space="preserve">Such scenarios may include replayed approvals, duplicate approvals, unauthorised participants attempting to satisfy a threshold, invalid or forged credentials, attempts to access data outside the authorised scope, and attempts to use a revoked or expired consent object.</w:t>
      </w:r>
    </w:p>
    <w:p>
      <w:pPr>
        <w:pStyle w:val="BodyText"/>
      </w:pPr>
      <w:r>
        <w:t xml:space="preserve">The adversarial test set is particularly important because a framework should not only demonstrate that legitimate requests succeed, but also demonstrate resilience against foreseeable attempts to bypass its security controls.</w:t>
      </w:r>
    </w:p>
    <w:p>
      <w:pPr>
        <w:pStyle w:val="Compact"/>
        <w:numPr>
          <w:ilvl w:val="0"/>
          <w:numId w:val="1063"/>
        </w:numPr>
      </w:pPr>
      <w:r>
        <w:rPr>
          <w:b/>
          <w:bCs/>
        </w:rPr>
        <w:t xml:space="preserve">Step 5 – Construct the Complete Validation Scenario Set.</w:t>
      </w:r>
    </w:p>
    <w:p>
      <w:pPr>
        <w:pStyle w:val="FirstParagraph"/>
      </w:pPr>
      <w:r>
        <w:t xml:space="preserve">The three scenario classes are combined into the complete validation set:</w:t>
      </w:r>
    </w:p>
    <w:p>
      <w:pPr>
        <w:pStyle w:val="BodyText"/>
      </w:pPr>
      <m:oMathPara>
        <m:oMathParaPr>
          <m:jc m:val="center"/>
        </m:oMathParaPr>
        <m:oMath>
          <m:r>
            <m:t>S</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oMath>
      </m:oMathPara>
    </w:p>
    <w:p>
      <w:pPr>
        <w:pStyle w:val="FirstParagraph"/>
      </w:pPr>
      <w:r>
        <w:t xml:space="preserve">Each scenario</w:t>
      </w:r>
      <w:r>
        <w:t xml:space="preserve"> </w:t>
      </w:r>
      <w:r>
        <w:rPr>
          <w:i/>
          <w:iCs/>
        </w:rPr>
        <w:t xml:space="preserve">s</w:t>
      </w:r>
      <w:r>
        <w:t xml:space="preserve"> </w:t>
      </w:r>
      <w:r>
        <w:t xml:space="preserve">∈S is associated with an expected authorisation outcome and the security properties that it is intended to evaluate.</w:t>
      </w:r>
    </w:p>
    <w:p>
      <w:pPr>
        <w:pStyle w:val="Compact"/>
        <w:numPr>
          <w:ilvl w:val="0"/>
          <w:numId w:val="1064"/>
        </w:numPr>
      </w:pPr>
      <w:r>
        <w:rPr>
          <w:b/>
          <w:bCs/>
        </w:rPr>
        <w:t xml:space="preserve">Step 6 – Execute Each Scenario Using the Framework.</w:t>
      </w:r>
    </w:p>
    <w:p>
      <w:pPr>
        <w:pStyle w:val="FirstParagraph"/>
      </w:pPr>
      <w:r>
        <w:t xml:space="preserve">The system executes each scenario</w:t>
      </w:r>
      <w:r>
        <w:t xml:space="preserve"> </w:t>
      </w:r>
      <w:r>
        <w:rPr>
          <w:i/>
          <w:iCs/>
        </w:rPr>
        <w:t xml:space="preserve">s</w:t>
      </w:r>
      <w:r>
        <w:t xml:space="preserve"> </w:t>
      </w:r>
      <w:r>
        <w:t xml:space="preserve">using the implemented framework</w:t>
      </w:r>
      <w:r>
        <w:t xml:space="preserve"> </w:t>
      </w:r>
      <w:r>
        <w:rPr>
          <w:i/>
          <w:iCs/>
        </w:rPr>
        <w:t xml:space="preserve">F</w:t>
      </w:r>
      <w:r>
        <w:t xml:space="preserve">. During execution, the framework performs the corresponding consent, identity, authority, threshold, policy, scope, and lifecycle checks.</w:t>
      </w:r>
    </w:p>
    <w:p>
      <w:pPr>
        <w:pStyle w:val="BodyText"/>
      </w:pPr>
      <w:r>
        <w:t xml:space="preserve">The execution process is treated as an empirical observation of the implemented authorisation model that</w:t>
      </w:r>
    </w:p>
    <w:p>
      <w:pPr>
        <w:pStyle w:val="BodyText"/>
      </w:pPr>
      <m:oMathPara>
        <m:oMathParaPr>
          <m:jc m:val="center"/>
        </m:oMathParaPr>
        <m:oMath>
          <m:r>
            <m:t>F</m:t>
          </m:r>
          <m:r>
            <m:rPr>
              <m:sty m:val="p"/>
            </m:rPr>
            <m:t>(</m:t>
          </m:r>
          <m:r>
            <m:t>s</m:t>
          </m:r>
          <m:r>
            <m:rPr>
              <m:sty m:val="p"/>
            </m:rPr>
            <m:t>)</m:t>
          </m:r>
          <m:r>
            <m:rPr>
              <m:sty m:val="p"/>
            </m:rPr>
            <m:t>→</m:t>
          </m:r>
          <m:sSub>
            <m:e>
              <m:r>
                <m:t>D</m:t>
              </m:r>
            </m:e>
            <m:sub>
              <m:r>
                <m:t>o</m:t>
              </m:r>
              <m:r>
                <m:t>b</m:t>
              </m:r>
              <m:r>
                <m:t>s</m:t>
              </m:r>
            </m:sub>
          </m:sSub>
          <m:r>
            <m:rPr>
              <m:sty m:val="p"/>
            </m:rPr>
            <m:t>,</m:t>
          </m:r>
        </m:oMath>
      </m:oMathPara>
    </w:p>
    <w:p>
      <w:pPr>
        <w:pStyle w:val="FirstParagraph"/>
      </w:pPr>
      <w:r>
        <w:t xml:space="preserve">where</w:t>
      </w:r>
      <w:r>
        <w:t xml:space="preserve"> </w:t>
      </w:r>
      <w:r>
        <w:rPr>
          <w:i/>
          <w:iCs/>
        </w:rPr>
        <w:t xml:space="preserve">D</w:t>
      </w:r>
      <w:r>
        <w:rPr>
          <w:vertAlign w:val="subscript"/>
        </w:rPr>
        <w:t xml:space="preserve">obs</w:t>
      </w:r>
      <w:r>
        <w:t xml:space="preserve"> </w:t>
      </w:r>
      <w:r>
        <w:t xml:space="preserve">denotes the observed authorisation decision.</w:t>
      </w:r>
    </w:p>
    <w:p>
      <w:pPr>
        <w:pStyle w:val="Compact"/>
        <w:numPr>
          <w:ilvl w:val="0"/>
          <w:numId w:val="1065"/>
        </w:numPr>
      </w:pPr>
      <w:r>
        <w:rPr>
          <w:b/>
          <w:bCs/>
        </w:rPr>
        <w:t xml:space="preserve">Step 7 – Collect the Observed Authorisation Decision.</w:t>
      </w:r>
    </w:p>
    <w:p>
      <w:pPr>
        <w:pStyle w:val="FirstParagraph"/>
      </w:pPr>
      <w:r>
        <w:t xml:space="preserve">After each scenario has been executed, the system records the resulting authorisation decision. Depending on the operation, the observed result may be</w:t>
      </w:r>
      <w:r>
        <w:t xml:space="preserve"> </w:t>
      </w:r>
      <w:r>
        <w:rPr>
          <w:i/>
          <w:iCs/>
        </w:rPr>
        <w:t xml:space="preserve">ALLOW</w:t>
      </w:r>
      <w:r>
        <w:t xml:space="preserve">,</w:t>
      </w:r>
      <w:r>
        <w:t xml:space="preserve"> </w:t>
      </w:r>
      <w:r>
        <w:rPr>
          <w:i/>
          <w:iCs/>
        </w:rPr>
        <w:t xml:space="preserve">DENY</w:t>
      </w:r>
      <w:r>
        <w:t xml:space="preserve">,</w:t>
      </w:r>
      <w:r>
        <w:t xml:space="preserve"> </w:t>
      </w:r>
      <w:r>
        <w:rPr>
          <w:i/>
          <w:iCs/>
        </w:rPr>
        <w:t xml:space="preserve">PENDING</w:t>
      </w:r>
      <w:r>
        <w:t xml:space="preserve">, or another explicitly defined lifecycle state.</w:t>
      </w:r>
    </w:p>
    <w:p>
      <w:pPr>
        <w:pStyle w:val="BodyText"/>
      </w:pPr>
      <w:r>
        <w:t xml:space="preserve">The observed decision is stored together with the corresponding scenario identifier to enable subsequent comparison with the expected outcome.</w:t>
      </w:r>
    </w:p>
    <w:p>
      <w:pPr>
        <w:pStyle w:val="Compact"/>
        <w:numPr>
          <w:ilvl w:val="0"/>
          <w:numId w:val="1066"/>
        </w:numPr>
      </w:pPr>
      <w:r>
        <w:rPr>
          <w:b/>
          <w:bCs/>
        </w:rPr>
        <w:t xml:space="preserve">Step 8 – Collect Supporting Authorisation Evidence.</w:t>
      </w:r>
    </w:p>
    <w:p>
      <w:pPr>
        <w:pStyle w:val="FirstParagraph"/>
      </w:pPr>
      <w:r>
        <w:t xml:space="preserve">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w:t>
      </w:r>
    </w:p>
    <w:p>
      <w:pPr>
        <w:pStyle w:val="BodyText"/>
      </w:pPr>
      <w:r>
        <w:t xml:space="preserve">The collected evidence can therefore be represented as</w:t>
      </w:r>
    </w:p>
    <w:p>
      <w:pPr>
        <w:pStyle w:val="BodyText"/>
      </w:pPr>
      <m:oMathPara>
        <m:oMathParaPr>
          <m:jc m:val="center"/>
        </m:oMathParaPr>
        <m:oMath>
          <m:sSub>
            <m:e>
              <m:r>
                <m:t>E</m:t>
              </m:r>
            </m:e>
            <m:sub>
              <m:r>
                <m:t>s</m:t>
              </m:r>
            </m:sub>
          </m:sSub>
          <m:r>
            <m:rPr>
              <m:sty m:val="p"/>
            </m:rPr>
            <m:t>=</m:t>
          </m:r>
          <m:r>
            <m:rPr>
              <m:sty m:val="p"/>
            </m:rPr>
            <m:t>{</m:t>
          </m:r>
          <m:sSub>
            <m:e>
              <m:r>
                <m:t>E</m:t>
              </m:r>
            </m:e>
            <m:sub>
              <m:r>
                <m:t>I</m:t>
              </m:r>
            </m:sub>
          </m:sSub>
          <m:r>
            <m:rPr>
              <m:sty m:val="p"/>
            </m:rPr>
            <m:t>,</m:t>
          </m:r>
          <m:sSub>
            <m:e>
              <m:r>
                <m:t>E</m:t>
              </m:r>
            </m:e>
            <m:sub>
              <m:r>
                <m:t>A</m:t>
              </m:r>
            </m:sub>
          </m:sSub>
          <m:r>
            <m:rPr>
              <m:sty m:val="p"/>
            </m:rPr>
            <m:t>,</m:t>
          </m:r>
          <m:sSub>
            <m:e>
              <m:r>
                <m:t>E</m:t>
              </m:r>
            </m:e>
            <m:sub>
              <m:r>
                <m:t>C</m:t>
              </m:r>
            </m:sub>
          </m:sSub>
          <m:r>
            <m:rPr>
              <m:sty m:val="p"/>
            </m:rPr>
            <m:t>,</m:t>
          </m:r>
          <m:sSub>
            <m:e>
              <m:r>
                <m:t>E</m:t>
              </m:r>
            </m:e>
            <m:sub>
              <m:r>
                <m:t>T</m:t>
              </m:r>
            </m:sub>
          </m:sSub>
          <m:r>
            <m:rPr>
              <m:sty m:val="p"/>
            </m:rPr>
            <m:t>,</m:t>
          </m:r>
          <m:sSub>
            <m:e>
              <m:r>
                <m:t>E</m:t>
              </m:r>
            </m:e>
            <m:sub>
              <m:r>
                <m:t>P</m:t>
              </m:r>
            </m:sub>
          </m:sSub>
          <m:r>
            <m:rPr>
              <m:sty m:val="p"/>
            </m:rPr>
            <m:t>,</m:t>
          </m:r>
          <m:sSub>
            <m:e>
              <m:r>
                <m:t>E</m:t>
              </m:r>
            </m:e>
            <m:sub>
              <m:r>
                <m:t>S</m:t>
              </m:r>
            </m:sub>
          </m:sSub>
          <m:r>
            <m:rPr>
              <m:sty m:val="p"/>
            </m:rPr>
            <m:t>,</m:t>
          </m:r>
          <m:sSub>
            <m:e>
              <m:r>
                <m:t>E</m:t>
              </m:r>
            </m:e>
            <m:sub>
              <m:r>
                <m:t>L</m:t>
              </m:r>
            </m:sub>
          </m:sSub>
          <m:r>
            <m:rPr>
              <m:sty m:val="p"/>
            </m:rPr>
            <m:t>}</m:t>
          </m:r>
          <m:r>
            <m:rPr>
              <m:sty m:val="p"/>
            </m:rPr>
            <m:t>,</m:t>
          </m:r>
        </m:oMath>
      </m:oMathPara>
    </w:p>
    <w:p>
      <w:pPr>
        <w:pStyle w:val="FirstParagraph"/>
      </w:pPr>
      <w:r>
        <w:t xml:space="preserve">where the individual components represent identity, authority, consent, threshold, policy, scope, and lifecycle evidence.</w:t>
      </w:r>
    </w:p>
    <w:p>
      <w:pPr>
        <w:pStyle w:val="Compact"/>
        <w:numPr>
          <w:ilvl w:val="0"/>
          <w:numId w:val="1067"/>
        </w:numPr>
      </w:pPr>
      <w:r>
        <w:rPr>
          <w:b/>
          <w:bCs/>
        </w:rPr>
        <w:t xml:space="preserve">Step 9 – Compare Observed and Expected Decisions.</w:t>
      </w:r>
    </w:p>
    <w:p>
      <w:pPr>
        <w:pStyle w:val="FirstParagraph"/>
      </w:pPr>
      <w:r>
        <w:t xml:space="preserve">The observed decision is compared with the expected decision defined for scenario</w:t>
      </w:r>
      <w:r>
        <w:t xml:space="preserve"> </w:t>
      </w:r>
      <w:r>
        <w:rPr>
          <w:i/>
          <w:iCs/>
        </w:rPr>
        <w:t xml:space="preserve">s</w:t>
      </w:r>
      <w:r>
        <w:t xml:space="preserve">.</w:t>
      </w:r>
    </w:p>
    <w:p>
      <w:pPr>
        <w:pStyle w:val="BodyText"/>
      </w:pPr>
      <w:r>
        <w:t xml:space="preserve">Let</w:t>
      </w:r>
    </w:p>
    <w:p>
      <w:pPr>
        <w:pStyle w:val="BodyText"/>
      </w:pPr>
      <m:oMathPara>
        <m:oMathParaPr>
          <m:jc m:val="center"/>
        </m:oMathParaPr>
        <m:oMath>
          <m:sSub>
            <m:e>
              <m:r>
                <m:t>D</m:t>
              </m:r>
            </m:e>
            <m:sub>
              <m:r>
                <m:t>e</m:t>
              </m:r>
              <m:r>
                <m:t>x</m:t>
              </m:r>
              <m:r>
                <m:t>p</m:t>
              </m:r>
            </m:sub>
          </m:sSub>
          <m:r>
            <m:rPr>
              <m:sty m:val="p"/>
            </m:rPr>
            <m:t>(</m:t>
          </m:r>
          <m:r>
            <m:t>s</m:t>
          </m:r>
          <m:r>
            <m:rPr>
              <m:sty m:val="p"/>
            </m:rPr>
            <m:t>)</m:t>
          </m:r>
        </m:oMath>
      </m:oMathPara>
    </w:p>
    <w:p>
      <w:pPr>
        <w:pStyle w:val="FirstParagraph"/>
      </w:pPr>
      <w:r>
        <w:t xml:space="preserve">denote the expected decision and</w:t>
      </w:r>
    </w:p>
    <w:p>
      <w:pPr>
        <w:pStyle w:val="BodyText"/>
      </w:pPr>
      <m:oMathPara>
        <m:oMathParaPr>
          <m:jc m:val="center"/>
        </m:oMathParaPr>
        <m:oMath>
          <m:sSub>
            <m:e>
              <m:r>
                <m:t>D</m:t>
              </m:r>
            </m:e>
            <m:sub>
              <m:r>
                <m:t>o</m:t>
              </m:r>
              <m:r>
                <m:t>b</m:t>
              </m:r>
              <m:r>
                <m:t>s</m:t>
              </m:r>
            </m:sub>
          </m:sSub>
          <m:r>
            <m:rPr>
              <m:sty m:val="p"/>
            </m:rPr>
            <m:t>(</m:t>
          </m:r>
          <m:r>
            <m:t>s</m:t>
          </m:r>
          <m:r>
            <m:rPr>
              <m:sty m:val="p"/>
            </m:rPr>
            <m:t>)</m:t>
          </m:r>
        </m:oMath>
      </m:oMathPara>
    </w:p>
    <w:p>
      <w:pPr>
        <w:pStyle w:val="FirstParagraph"/>
      </w:pPr>
      <w:r>
        <w:t xml:space="preserve">denote the observed decision. The scenario passes when</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r>
            <m:rPr>
              <m:sty m:val="p"/>
            </m:rPr>
            <m:t>.</m:t>
          </m:r>
        </m:oMath>
      </m:oMathPara>
    </w:p>
    <w:p>
      <w:pPr>
        <w:pStyle w:val="FirstParagraph"/>
      </w:pPr>
      <w:r>
        <w:t xml:space="preserve">Otherwise, the scenario is classified as a validation failure.</w:t>
      </w:r>
    </w:p>
    <w:p>
      <w:pPr>
        <w:pStyle w:val="Compact"/>
        <w:numPr>
          <w:ilvl w:val="0"/>
          <w:numId w:val="1068"/>
        </w:numPr>
      </w:pPr>
      <w:r>
        <w:rPr>
          <w:b/>
          <w:bCs/>
        </w:rPr>
        <w:t xml:space="preserve">Step 10 – Record the Scenario Result.</w:t>
      </w:r>
    </w:p>
    <w:p>
      <w:pPr>
        <w:pStyle w:val="FirstParagraph"/>
      </w:pPr>
      <w:r>
        <w:t xml:space="preserve">The system records whether each scenario has passed or failed. For each failure, the corresponding condition, observed behaviour, expected behaviour, and supporting evidence are retained for subsequent analysis.</w:t>
      </w:r>
    </w:p>
    <w:p>
      <w:pPr>
        <w:pStyle w:val="BodyText"/>
      </w:pPr>
      <w:r>
        <w:t xml:space="preserve">This enables validation results to be traced from the final decision back to the individual authorisation conditions that produced that decision.</w:t>
      </w:r>
    </w:p>
    <w:p>
      <w:pPr>
        <w:pStyle w:val="Compact"/>
        <w:numPr>
          <w:ilvl w:val="0"/>
          <w:numId w:val="1069"/>
        </w:numPr>
      </w:pPr>
      <w:r>
        <w:rPr>
          <w:b/>
          <w:bCs/>
        </w:rPr>
        <w:t xml:space="preserve">Step 11 – Evaluate Authorisation Soundness.</w:t>
      </w:r>
    </w:p>
    <w:p>
      <w:pPr>
        <w:pStyle w:val="FirstParagraph"/>
      </w:pPr>
      <w:r>
        <w:t xml:space="preserve">The system evaluates the soundness property to determine whether every granted request satisfies the required authorisation conditions.</w:t>
      </w:r>
    </w:p>
    <w:p>
      <w:pPr>
        <w:pStyle w:val="BodyText"/>
      </w:pPr>
      <w:r>
        <w:t xml:space="preserve">Formally,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r>
            <m:t>A</m:t>
          </m:r>
          <m:r>
            <m:t>u</m:t>
          </m:r>
          <m:r>
            <m:t>t</m:t>
          </m:r>
          <m:r>
            <m:t>h</m:t>
          </m:r>
          <m:r>
            <m:t>o</m:t>
          </m:r>
          <m:r>
            <m:t>r</m:t>
          </m:r>
          <m:r>
            <m:t>i</m:t>
          </m:r>
          <m:r>
            <m:t>s</m:t>
          </m:r>
          <m:r>
            <m:t>e</m:t>
          </m:r>
          <m:r>
            <m:t>d</m:t>
          </m:r>
          <m:r>
            <m:rPr>
              <m:sty m:val="p"/>
            </m:rPr>
            <m:t>(</m:t>
          </m:r>
          <m:r>
            <m:t>s</m:t>
          </m:r>
          <m:r>
            <m:rPr>
              <m:sty m:val="p"/>
            </m:rPr>
            <m:t>)</m:t>
          </m:r>
          <m:r>
            <m:rPr>
              <m:sty m:val="p"/>
            </m:rPr>
            <m:t>=</m:t>
          </m:r>
          <m:r>
            <m:t>T</m:t>
          </m:r>
          <m:r>
            <m:t>R</m:t>
          </m:r>
          <m:r>
            <m:t>U</m:t>
          </m:r>
          <m:r>
            <m:t>E</m:t>
          </m:r>
          <m:r>
            <m:rPr>
              <m:sty m:val="p"/>
            </m:rPr>
            <m:t>.</m:t>
          </m:r>
        </m:oMath>
      </m:oMathPara>
    </w:p>
    <w:p>
      <w:pPr>
        <w:pStyle w:val="FirstParagraph"/>
      </w:pPr>
      <w:r>
        <w:t xml:space="preserve">A sound framework should not grant access when one or more mandatory authorisation conditions are violated.</w:t>
      </w:r>
    </w:p>
    <w:p>
      <w:pPr>
        <w:pStyle w:val="Compact"/>
        <w:numPr>
          <w:ilvl w:val="0"/>
          <w:numId w:val="1070"/>
        </w:numPr>
      </w:pPr>
      <w:r>
        <w:rPr>
          <w:b/>
          <w:bCs/>
        </w:rPr>
        <w:t xml:space="preserve">Step 12 – Evaluate Denial Correctness.</w:t>
      </w:r>
    </w:p>
    <w:p>
      <w:pPr>
        <w:pStyle w:val="FirstParagraph"/>
      </w:pPr>
      <w:r>
        <w:t xml:space="preserve">The system evaluates whether invalid or unauthorised requests are correctly denied.</w:t>
      </w:r>
    </w:p>
    <w:p>
      <w:pPr>
        <w:pStyle w:val="BodyText"/>
      </w:pPr>
      <w:r>
        <w:t xml:space="preserve">The denial property can be represented as</w:t>
      </w:r>
    </w:p>
    <w:p>
      <w:pPr>
        <w:pStyle w:val="BodyText"/>
      </w:pPr>
      <m:oMathPara>
        <m:oMathParaPr>
          <m:jc m:val="center"/>
        </m:oMathParaPr>
        <m:oMath>
          <m:r>
            <m:t>A</m:t>
          </m:r>
          <m:r>
            <m:t>u</m:t>
          </m:r>
          <m:r>
            <m:t>t</m:t>
          </m:r>
          <m:r>
            <m:t>h</m:t>
          </m:r>
          <m:r>
            <m:t>o</m:t>
          </m:r>
          <m:r>
            <m:t>r</m:t>
          </m:r>
          <m:r>
            <m:t>i</m:t>
          </m:r>
          <m:r>
            <m:t>s</m:t>
          </m:r>
          <m:r>
            <m:t>e</m:t>
          </m:r>
          <m:r>
            <m:t>d</m:t>
          </m:r>
          <m:r>
            <m:rPr>
              <m:sty m:val="p"/>
            </m:rPr>
            <m:t>(</m:t>
          </m:r>
          <m:r>
            <m:t>s</m:t>
          </m:r>
          <m:r>
            <m:rPr>
              <m:sty m:val="p"/>
            </m:rPr>
            <m:t>)</m:t>
          </m:r>
          <m:r>
            <m:rPr>
              <m:sty m:val="p"/>
            </m:rPr>
            <m:t>=</m:t>
          </m:r>
          <m:r>
            <m:t>F</m:t>
          </m:r>
          <m:r>
            <m:t>A</m:t>
          </m:r>
          <m:r>
            <m:t>L</m:t>
          </m:r>
          <m:r>
            <m:t>S</m:t>
          </m:r>
          <m:r>
            <m:t>E</m:t>
          </m:r>
          <m:r>
            <m:rPr>
              <m:sty m:val="p"/>
            </m:rPr>
            <m:t>⇒</m:t>
          </m:r>
          <m:sSub>
            <m:e>
              <m:r>
                <m:t>D</m:t>
              </m:r>
            </m:e>
            <m:sub>
              <m:r>
                <m:t>o</m:t>
              </m:r>
              <m:r>
                <m:t>b</m:t>
              </m:r>
              <m:r>
                <m:t>s</m:t>
              </m:r>
            </m:sub>
          </m:sSub>
          <m:r>
            <m:rPr>
              <m:sty m:val="p"/>
            </m:rPr>
            <m:t>(</m:t>
          </m:r>
          <m:r>
            <m:t>s</m:t>
          </m:r>
          <m:r>
            <m:rPr>
              <m:sty m:val="p"/>
            </m:rPr>
            <m:t>)</m:t>
          </m:r>
          <m:r>
            <m:rPr>
              <m:sty m:val="p"/>
            </m:rPr>
            <m:t>≠</m:t>
          </m:r>
          <m:r>
            <m:t>A</m:t>
          </m:r>
          <m:r>
            <m:t>L</m:t>
          </m:r>
          <m:r>
            <m:t>L</m:t>
          </m:r>
          <m:r>
            <m:t>O</m:t>
          </m:r>
          <m:r>
            <m:t>W</m:t>
          </m:r>
          <m:r>
            <m:rPr>
              <m:sty m:val="p"/>
            </m:rPr>
            <m:t>.</m:t>
          </m:r>
        </m:oMath>
      </m:oMathPara>
    </w:p>
    <w:p>
      <w:pPr>
        <w:pStyle w:val="FirstParagraph"/>
      </w:pPr>
      <w:r>
        <w:t xml:space="preserve">This evaluation is particularly important for negative and adversarial scenarios because successful operation under valid conditions alone cannot demonstrate that unauthorised access is reliably prevented.</w:t>
      </w:r>
    </w:p>
    <w:p>
      <w:pPr>
        <w:pStyle w:val="Compact"/>
        <w:numPr>
          <w:ilvl w:val="0"/>
          <w:numId w:val="1071"/>
        </w:numPr>
      </w:pPr>
      <w:r>
        <w:rPr>
          <w:b/>
          <w:bCs/>
        </w:rPr>
        <w:t xml:space="preserve">Step 13 – Evaluate Threshold Correctness.</w:t>
      </w:r>
    </w:p>
    <w:p>
      <w:pPr>
        <w:pStyle w:val="FirstParagraph"/>
      </w:pPr>
      <w:r>
        <w:t xml:space="preserve">The system evaluates whether multi-party authorisation is activated only when the required threshold condition is satisfied.</w:t>
      </w:r>
    </w:p>
    <w:p>
      <w:pPr>
        <w:pStyle w:val="BodyText"/>
      </w:pPr>
      <w:r>
        <w:t xml:space="preserve">The expected threshold property is</w:t>
      </w:r>
    </w:p>
    <w:p>
      <w:pPr>
        <w:pStyle w:val="BodyText"/>
      </w:pPr>
      <m:oMathPara>
        <m:oMathParaPr>
          <m:jc m:val="center"/>
        </m:oMathParaPr>
        <m:oMath>
          <m:r>
            <m:t>A</m:t>
          </m:r>
          <m:r>
            <m:t>u</m:t>
          </m:r>
          <m:r>
            <m:t>t</m:t>
          </m:r>
          <m:r>
            <m:t>h</m:t>
          </m:r>
          <m:r>
            <m:t>o</m:t>
          </m:r>
          <m:r>
            <m:t>r</m:t>
          </m:r>
          <m:r>
            <m:t>i</m:t>
          </m:r>
          <m:r>
            <m:t>s</m:t>
          </m:r>
          <m:r>
            <m:t>a</m:t>
          </m:r>
          <m:r>
            <m:t>t</m:t>
          </m:r>
          <m:r>
            <m:t>i</m:t>
          </m:r>
          <m:r>
            <m:t>o</m:t>
          </m:r>
          <m:r>
            <m:t>n</m:t>
          </m:r>
          <m:r>
            <m:rPr>
              <m:sty m:val="p"/>
            </m:rPr>
            <m:t>(</m:t>
          </m:r>
          <m:r>
            <m:t>C</m:t>
          </m:r>
          <m:r>
            <m:rPr>
              <m:sty m:val="p"/>
            </m:rPr>
            <m:t>)</m:t>
          </m:r>
          <m:r>
            <m:rPr>
              <m:sty m:val="p"/>
            </m:rPr>
            <m:t>=</m:t>
          </m:r>
          <m:r>
            <m:t>A</m:t>
          </m:r>
          <m:r>
            <m:t>L</m:t>
          </m:r>
          <m:r>
            <m:t>L</m:t>
          </m:r>
          <m:r>
            <m:t>O</m:t>
          </m:r>
          <m:r>
            <m:t>W</m:t>
          </m:r>
          <m:r>
            <m:rPr>
              <m:sty m:val="p"/>
            </m:rPr>
            <m:t>⇒</m:t>
          </m:r>
          <m:d>
            <m:dPr>
              <m:begChr m:val="|"/>
              <m:sepChr m:val=""/>
              <m:endChr m:val="|"/>
              <m:grow/>
            </m:dPr>
            <m:e>
              <m:sSub>
                <m:e>
                  <m:r>
                    <m:t>A</m:t>
                  </m:r>
                </m:e>
                <m:sub>
                  <m:r>
                    <m:t>v</m:t>
                  </m:r>
                </m:sub>
              </m:sSub>
            </m:e>
          </m:d>
          <m:r>
            <m:rPr>
              <m:sty m:val="p"/>
            </m:rPr>
            <m:t>≥</m:t>
          </m:r>
          <m:r>
            <m:t>N</m:t>
          </m:r>
          <m:r>
            <m:rPr>
              <m:sty m:val="p"/>
            </m:rPr>
            <m:t>.</m:t>
          </m:r>
        </m:oMath>
      </m:oMathPara>
    </w:p>
    <w:p>
      <w:pPr>
        <w:pStyle w:val="FirstParagraph"/>
      </w:pPr>
      <w:r>
        <w:t xml:space="preserve">The evaluation should also verify that invalid, duplicate, or unauthorised approvals do not contribute to</w:t>
      </w:r>
      <w:r>
        <w:t xml:space="preserve"> </w:t>
      </w:r>
      <w:r>
        <w:rPr>
          <w:i/>
          <w:iCs/>
        </w:rPr>
        <w:t xml:space="preserve">A</w:t>
      </w:r>
      <w:r>
        <w:rPr>
          <w:vertAlign w:val="subscript"/>
        </w:rPr>
        <w:t xml:space="preserve">v</w:t>
      </w:r>
      <w:r>
        <w:t xml:space="preserve">. This ensures that the threshold cannot be artificially satisfied by repeated or illegitimate approval submissions.</w:t>
      </w:r>
    </w:p>
    <w:p>
      <w:pPr>
        <w:pStyle w:val="Compact"/>
        <w:numPr>
          <w:ilvl w:val="0"/>
          <w:numId w:val="1072"/>
        </w:numPr>
      </w:pPr>
      <w:r>
        <w:rPr>
          <w:b/>
          <w:bCs/>
        </w:rPr>
        <w:t xml:space="preserve">Step 14 – Evaluate Policy and Scope Enforcement.</w:t>
      </w:r>
    </w:p>
    <w:p>
      <w:pPr>
        <w:pStyle w:val="FirstParagraph"/>
      </w:pPr>
      <w:r>
        <w:t xml:space="preserve">The system evaluates whether every granted request satisfies the consent-defined policy and data-scope constraints.</w:t>
      </w:r>
    </w:p>
    <w:p>
      <w:pPr>
        <w:pStyle w:val="BodyText"/>
      </w:pPr>
      <w:r>
        <w:t xml:space="preserve">In particular, the scope enforcement property is</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S</m:t>
              </m:r>
            </m:e>
            <m:sub>
              <m:r>
                <m:t>R</m:t>
              </m:r>
            </m:sub>
          </m:sSub>
          <m:r>
            <m:rPr>
              <m:sty m:val="p"/>
            </m:rPr>
            <m:t>⊆</m:t>
          </m:r>
          <m:sSub>
            <m:e>
              <m:r>
                <m:t>S</m:t>
              </m:r>
            </m:e>
            <m:sub>
              <m:r>
                <m:t>C</m:t>
              </m:r>
            </m:sub>
          </m:sSub>
          <m:r>
            <m:rPr>
              <m:sty m:val="p"/>
            </m:rPr>
            <m:t>.</m:t>
          </m:r>
        </m:oMath>
      </m:oMathPara>
    </w:p>
    <w:p>
      <w:pPr>
        <w:pStyle w:val="FirstParagraph"/>
      </w:pPr>
      <w:r>
        <w:t xml:space="preserve">The evaluation should verify that a participant cannot obtain healthcare resources outside the scope authorised by the patient’s consent, even when the participant possesses a valid identity and authority credential.</w:t>
      </w:r>
    </w:p>
    <w:p>
      <w:pPr>
        <w:pStyle w:val="BodyText"/>
      </w:pPr>
      <w:r>
        <w:t xml:space="preserve">Purpose compatibility is evaluated similarly:</w:t>
      </w:r>
    </w:p>
    <w:p>
      <w:pPr>
        <w:pStyle w:val="BodyText"/>
      </w:pPr>
      <m:oMathPara>
        <m:oMathParaPr>
          <m:jc m:val="center"/>
        </m:oMathParaPr>
        <m:oMath>
          <m:sSub>
            <m:e>
              <m:r>
                <m:t>D</m:t>
              </m:r>
            </m:e>
            <m:sub>
              <m:r>
                <m:t>o</m:t>
              </m:r>
              <m:r>
                <m:t>b</m:t>
              </m:r>
              <m:r>
                <m:t>s</m:t>
              </m:r>
            </m:sub>
          </m:sSub>
          <m:r>
            <m:rPr>
              <m:sty m:val="p"/>
            </m:rPr>
            <m:t>(</m:t>
          </m:r>
          <m:r>
            <m:t>s</m:t>
          </m:r>
          <m:r>
            <m:rPr>
              <m:sty m:val="p"/>
            </m:rPr>
            <m:t>)</m:t>
          </m:r>
          <m:r>
            <m:rPr>
              <m:sty m:val="p"/>
            </m:rPr>
            <m:t>=</m:t>
          </m:r>
          <m:r>
            <m:t>A</m:t>
          </m:r>
          <m:r>
            <m:t>L</m:t>
          </m:r>
          <m:r>
            <m:t>L</m:t>
          </m:r>
          <m:r>
            <m:t>O</m:t>
          </m:r>
          <m:r>
            <m:t>W</m:t>
          </m:r>
          <m:r>
            <m:rPr>
              <m:sty m:val="p"/>
            </m:rPr>
            <m:t>⇒</m:t>
          </m:r>
          <m:sSub>
            <m:e>
              <m:r>
                <m:t>P</m:t>
              </m:r>
            </m:e>
            <m:sub>
              <m:r>
                <m:t>R</m:t>
              </m:r>
            </m:sub>
          </m:sSub>
          <m:r>
            <m:rPr>
              <m:sty m:val="p"/>
            </m:rPr>
            <m:t>⊨</m:t>
          </m:r>
          <m:sSub>
            <m:e>
              <m:r>
                <m:t>P</m:t>
              </m:r>
            </m:e>
            <m:sub>
              <m:r>
                <m:t>C</m:t>
              </m:r>
            </m:sub>
          </m:sSub>
          <m:r>
            <m:rPr>
              <m:sty m:val="p"/>
            </m:rPr>
            <m:t>.</m:t>
          </m:r>
        </m:oMath>
      </m:oMathPara>
    </w:p>
    <w:p>
      <w:pPr>
        <w:pStyle w:val="Compact"/>
        <w:numPr>
          <w:ilvl w:val="0"/>
          <w:numId w:val="1073"/>
        </w:numPr>
      </w:pPr>
      <w:r>
        <w:rPr>
          <w:b/>
          <w:bCs/>
        </w:rPr>
        <w:t xml:space="preserve">Step 15 – Evaluate Audit Consistency.</w:t>
      </w:r>
    </w:p>
    <w:p>
      <w:pPr>
        <w:pStyle w:val="FirstParagraph"/>
      </w:pPr>
      <w:r>
        <w:t xml:space="preserve">The system evaluates whether the recorded audit evidence is consistent with the actual authorisation decision and the underlying verification events.</w:t>
      </w:r>
    </w:p>
    <w:p>
      <w:pPr>
        <w:pStyle w:val="BodyText"/>
      </w:pPr>
      <w:r>
        <w:t xml:space="preserve">For an access event</w:t>
      </w:r>
      <w:r>
        <w:t xml:space="preserve"> </w:t>
      </w:r>
      <w:r>
        <w:rPr>
          <w:i/>
          <w:iCs/>
        </w:rPr>
        <w:t xml:space="preserve">e</w:t>
      </w:r>
      <w:r>
        <w:t xml:space="preserve">, the audit record should provide sufficient evidence to establish a relationship between the request, requester, consent, policy evaluation, authorisation result, and timestamp.</w:t>
      </w:r>
    </w:p>
    <w:p>
      <w:pPr>
        <w:pStyle w:val="BodyText"/>
      </w:pPr>
      <w:r>
        <w:t xml:space="preserve">Therefore,</w:t>
      </w:r>
    </w:p>
    <w:p>
      <w:pPr>
        <w:pStyle w:val="BodyText"/>
      </w:pPr>
      <m:oMathPara>
        <m:oMathParaPr>
          <m:jc m:val="center"/>
        </m:oMathParaPr>
        <m:oMath>
          <m:r>
            <m:t>A</m:t>
          </m:r>
          <m:r>
            <m:t>u</m:t>
          </m:r>
          <m:r>
            <m:t>d</m:t>
          </m:r>
          <m:r>
            <m:t>i</m:t>
          </m:r>
          <m:r>
            <m:t>t</m:t>
          </m:r>
          <m:r>
            <m:rPr>
              <m:sty m:val="p"/>
            </m:rPr>
            <m:t>(</m:t>
          </m:r>
          <m:r>
            <m:t>e</m:t>
          </m:r>
          <m:r>
            <m:rPr>
              <m:sty m:val="p"/>
            </m:rPr>
            <m:t>)</m:t>
          </m:r>
          <m:r>
            <m:rPr>
              <m:sty m:val="p"/>
            </m:rPr>
            <m:t>⊨</m:t>
          </m:r>
          <m:r>
            <m:t>D</m:t>
          </m:r>
          <m:r>
            <m:t>e</m:t>
          </m:r>
          <m:r>
            <m:t>c</m:t>
          </m:r>
          <m:r>
            <m:t>i</m:t>
          </m:r>
          <m:r>
            <m:t>s</m:t>
          </m:r>
          <m:r>
            <m:t>i</m:t>
          </m:r>
          <m:r>
            <m:t>o</m:t>
          </m:r>
          <m:r>
            <m:t>n</m:t>
          </m:r>
          <m:r>
            <m:rPr>
              <m:sty m:val="p"/>
            </m:rPr>
            <m:t>(</m:t>
          </m:r>
          <m:r>
            <m:t>e</m:t>
          </m:r>
          <m:r>
            <m:rPr>
              <m:sty m:val="p"/>
            </m:rPr>
            <m:t>)</m:t>
          </m:r>
          <m:r>
            <m:rPr>
              <m:sty m:val="p"/>
            </m:rPr>
            <m:t>.</m:t>
          </m:r>
        </m:oMath>
      </m:oMathPara>
    </w:p>
    <w:p>
      <w:pPr>
        <w:pStyle w:val="FirstParagraph"/>
      </w:pPr>
      <w:r>
        <w:t xml:space="preserve">An audit inconsistency occurs when the recorded evidence does not correspond to the actual system decision or when critical authorisation evidence is missing.</w:t>
      </w:r>
    </w:p>
    <w:p>
      <w:pPr>
        <w:pStyle w:val="Compact"/>
        <w:numPr>
          <w:ilvl w:val="0"/>
          <w:numId w:val="1074"/>
        </w:numPr>
      </w:pPr>
      <w:r>
        <w:rPr>
          <w:b/>
          <w:bCs/>
        </w:rPr>
        <w:t xml:space="preserve">Step 16 – Analyse Failures and Limitations.</w:t>
      </w:r>
    </w:p>
    <w:p>
      <w:pPr>
        <w:pStyle w:val="FirstParagraph"/>
      </w:pPr>
      <w:r>
        <w:t xml:space="preserve">Any failed scenario is analysed to determine the source and significance of the failure. The analysis distinguishes between implementation defects, policy-definition errors, integration problems, incomplete security controls, and limitations of the experimental environment.</w:t>
      </w:r>
    </w:p>
    <w:p>
      <w:pPr>
        <w:pStyle w:val="BodyText"/>
      </w:pPr>
      <w:r>
        <w:t xml:space="preserve">The purpose of this step is not to conceal unsuccessful cases but to determine whether observed failures represent violations of the intended security properties or limitations that should be addressed in future work.</w:t>
      </w:r>
    </w:p>
    <w:p>
      <w:pPr>
        <w:pStyle w:val="Compact"/>
        <w:numPr>
          <w:ilvl w:val="0"/>
          <w:numId w:val="1075"/>
        </w:numPr>
      </w:pPr>
      <w:r>
        <w:rPr>
          <w:b/>
          <w:bCs/>
        </w:rPr>
        <w:t xml:space="preserve">Step 17 – Consolidate the Validation Results.</w:t>
      </w:r>
    </w:p>
    <w:p>
      <w:pPr>
        <w:pStyle w:val="FirstParagraph"/>
      </w:pPr>
      <w:r>
        <w:t xml:space="preserve">Finally, the individual scenario results and property-level evaluations are consolidated into an overall validation result.</w:t>
      </w:r>
    </w:p>
    <w:p>
      <w:pPr>
        <w:pStyle w:val="BodyText"/>
      </w:pPr>
      <w:r>
        <w:t xml:space="preserve">The resulting evidence includes:</w:t>
      </w:r>
    </w:p>
    <w:p>
      <w:pPr>
        <w:pStyle w:val="BodyText"/>
      </w:pPr>
      <m:oMathPara>
        <m:oMathParaPr>
          <m:jc m:val="center"/>
        </m:oMathParaPr>
        <m:oMath>
          <m:r>
            <m:t>V</m:t>
          </m:r>
          <m:r>
            <m:rPr>
              <m:sty m:val="p"/>
            </m:rPr>
            <m:t>=</m:t>
          </m:r>
          <m:r>
            <m:rPr>
              <m:sty m:val="p"/>
            </m:rPr>
            <m:t>{</m:t>
          </m:r>
          <m:sSub>
            <m:e>
              <m:r>
                <m:t>R</m:t>
              </m:r>
            </m:e>
            <m:sub>
              <m:r>
                <m:t>s</m:t>
              </m:r>
              <m:r>
                <m:t>c</m:t>
              </m:r>
              <m:r>
                <m:t>e</m:t>
              </m:r>
              <m:r>
                <m:t>n</m:t>
              </m:r>
              <m:r>
                <m:t>a</m:t>
              </m:r>
              <m:r>
                <m:t>r</m:t>
              </m:r>
              <m:r>
                <m:t>i</m:t>
              </m:r>
              <m:r>
                <m:t>o</m:t>
              </m:r>
            </m:sub>
          </m:sSub>
          <m:r>
            <m:rPr>
              <m:sty m:val="p"/>
            </m:rPr>
            <m:t>,</m:t>
          </m:r>
          <m:sSub>
            <m:e>
              <m:r>
                <m:t>R</m:t>
              </m:r>
            </m:e>
            <m:sub>
              <m:r>
                <m:t>s</m:t>
              </m:r>
              <m:r>
                <m:t>o</m:t>
              </m:r>
              <m:r>
                <m:t>u</m:t>
              </m:r>
              <m:r>
                <m:t>n</m:t>
              </m:r>
              <m:r>
                <m:t>d</m:t>
              </m:r>
            </m:sub>
          </m:sSub>
          <m:r>
            <m:rPr>
              <m:sty m:val="p"/>
            </m:rPr>
            <m:t>,</m:t>
          </m:r>
          <m:sSub>
            <m:e>
              <m:r>
                <m:t>R</m:t>
              </m:r>
            </m:e>
            <m:sub>
              <m:r>
                <m:t>d</m:t>
              </m:r>
              <m:r>
                <m:t>e</m:t>
              </m:r>
              <m:r>
                <m:t>n</m:t>
              </m:r>
              <m:r>
                <m:t>y</m:t>
              </m:r>
            </m:sub>
          </m:sSub>
          <m:r>
            <m:rPr>
              <m:sty m:val="p"/>
            </m:rPr>
            <m:t>,</m:t>
          </m:r>
          <m:sSub>
            <m:e>
              <m:r>
                <m:t>R</m:t>
              </m:r>
            </m:e>
            <m:sub>
              <m:r>
                <m:t>t</m:t>
              </m:r>
              <m:r>
                <m:t>h</m:t>
              </m:r>
              <m:r>
                <m:t>r</m:t>
              </m:r>
              <m:r>
                <m:t>e</m:t>
              </m:r>
              <m:r>
                <m:t>s</m:t>
              </m:r>
              <m:r>
                <m:t>h</m:t>
              </m:r>
              <m:r>
                <m:t>o</m:t>
              </m:r>
              <m:r>
                <m:t>l</m:t>
              </m:r>
              <m:r>
                <m:t>d</m:t>
              </m:r>
            </m:sub>
          </m:sSub>
          <m:r>
            <m:rPr>
              <m:sty m:val="p"/>
            </m:rPr>
            <m:t>,</m:t>
          </m:r>
          <m:sSub>
            <m:e>
              <m:r>
                <m:t>R</m:t>
              </m:r>
            </m:e>
            <m:sub>
              <m:r>
                <m:t>p</m:t>
              </m:r>
              <m:r>
                <m:t>o</m:t>
              </m:r>
              <m:r>
                <m:t>l</m:t>
              </m:r>
              <m:r>
                <m:t>i</m:t>
              </m:r>
              <m:r>
                <m:t>c</m:t>
              </m:r>
              <m:r>
                <m:t>y</m:t>
              </m:r>
            </m:sub>
          </m:sSub>
          <m:r>
            <m:rPr>
              <m:sty m:val="p"/>
            </m:rPr>
            <m:t>,</m:t>
          </m:r>
          <m:sSub>
            <m:e>
              <m:r>
                <m:t>R</m:t>
              </m:r>
            </m:e>
            <m:sub>
              <m:r>
                <m:t>s</m:t>
              </m:r>
              <m:r>
                <m:t>c</m:t>
              </m:r>
              <m:r>
                <m:t>o</m:t>
              </m:r>
              <m:r>
                <m:t>p</m:t>
              </m:r>
              <m:r>
                <m:t>e</m:t>
              </m:r>
            </m:sub>
          </m:sSub>
          <m:r>
            <m:rPr>
              <m:sty m:val="p"/>
            </m:rPr>
            <m:t>,</m:t>
          </m:r>
          <m:sSub>
            <m:e>
              <m:r>
                <m:t>R</m:t>
              </m:r>
            </m:e>
            <m:sub>
              <m:r>
                <m:t>a</m:t>
              </m:r>
              <m:r>
                <m:t>u</m:t>
              </m:r>
              <m:r>
                <m:t>d</m:t>
              </m:r>
              <m:r>
                <m:t>i</m:t>
              </m:r>
              <m:r>
                <m:t>t</m:t>
              </m:r>
            </m:sub>
          </m:sSub>
          <m:r>
            <m:rPr>
              <m:sty m:val="p"/>
            </m:rPr>
            <m:t>}</m:t>
          </m:r>
          <m:r>
            <m:rPr>
              <m:sty m:val="p"/>
            </m:rPr>
            <m:t>.</m:t>
          </m:r>
        </m:oMath>
      </m:oMathPara>
    </w:p>
    <w:p>
      <w:pPr>
        <w:pStyle w:val="FirstParagraph"/>
      </w:pPr>
      <w:r>
        <w:t xml:space="preserve">The framework is considered empirically consistent with the specified authorisation model when the observed decisions satisfy the expected outcomes across the defined validation scenarios and no critical security property is violated.</w:t>
      </w:r>
    </w:p>
    <w:p>
      <w:pPr>
        <w:pStyle w:val="BodyText"/>
      </w:pPr>
      <w:r>
        <w:t xml:space="preserve">The overall validation process can therefore be represented as</w:t>
      </w:r>
    </w:p>
    <w:p>
      <w:pPr>
        <w:pStyle w:val="BodyText"/>
      </w:pPr>
      <m:oMathPara>
        <m:oMathParaPr>
          <m:jc m:val="center"/>
        </m:oMathParaPr>
        <m:oMath>
          <m:m>
            <m:mPr>
              <m:baseJc m:val="center"/>
              <m:plcHide m:val="on"/>
              <m:mcs>
                <m:mc>
                  <m:mcPr>
                    <m:count m:val="1"/>
                    <m:mcJc m:val="left"/>
                  </m:mcPr>
                </m:mc>
              </m:mcs>
            </m:mPr>
            <m:mr>
              <m:e>
                <m:r>
                  <m:t>P</m:t>
                </m:r>
                <m:r>
                  <m:rPr>
                    <m:sty m:val="p"/>
                  </m:rPr>
                  <m:t>→</m:t>
                </m:r>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r>
                  <m:rPr>
                    <m:sty m:val="p"/>
                  </m:rPr>
                  <m:t>→</m:t>
                </m:r>
                <m:r>
                  <m:t>F</m:t>
                </m:r>
                <m:r>
                  <m:rPr>
                    <m:sty m:val="p"/>
                  </m:rPr>
                  <m:t>(</m:t>
                </m:r>
                <m:r>
                  <m:t>s</m:t>
                </m:r>
                <m:r>
                  <m:rPr>
                    <m:sty m:val="p"/>
                  </m:rPr>
                  <m:t>)</m:t>
                </m:r>
                <m:r>
                  <m:rPr>
                    <m:sty m:val="p"/>
                  </m:rPr>
                  <m:t>→</m:t>
                </m:r>
                <m:sSub>
                  <m:e>
                    <m:r>
                      <m:t>D</m:t>
                    </m:r>
                  </m:e>
                  <m:sub>
                    <m:r>
                      <m:t>o</m:t>
                    </m:r>
                    <m:r>
                      <m:t>b</m:t>
                    </m:r>
                    <m:r>
                      <m:t>s</m:t>
                    </m:r>
                  </m:sub>
                </m:sSub>
                <m:r>
                  <m:rPr>
                    <m:sty m:val="p"/>
                  </m:rPr>
                  <m:t>→</m:t>
                </m:r>
                <m:sSub>
                  <m:e>
                    <m:r>
                      <m:t>E</m:t>
                    </m:r>
                  </m:e>
                  <m:sub>
                    <m:r>
                      <m:t>s</m:t>
                    </m:r>
                  </m:sub>
                </m:sSub>
              </m:e>
            </m:mr>
            <m:mr>
              <m:e>
                <m:r>
                  <m:rPr>
                    <m:sty m:val="p"/>
                  </m:rPr>
                  <m:t>→</m:t>
                </m:r>
                <m:sSub>
                  <m:e>
                    <m:r>
                      <m:t>D</m:t>
                    </m:r>
                  </m:e>
                  <m:sub>
                    <m:r>
                      <m:t>o</m:t>
                    </m:r>
                    <m:r>
                      <m:t>b</m:t>
                    </m:r>
                    <m:r>
                      <m:t>s</m:t>
                    </m:r>
                  </m:sub>
                </m:sSub>
                <m:limUpp>
                  <m:e>
                    <m:r>
                      <m:rPr>
                        <m:sty m:val="p"/>
                      </m:rPr>
                      <m:t>=</m:t>
                    </m:r>
                  </m:e>
                  <m:lim>
                    <m:r>
                      <m:rPr>
                        <m:sty m:val="p"/>
                      </m:rPr>
                      <m:t>?</m:t>
                    </m:r>
                  </m:lim>
                </m:limUpp>
                <m:sSub>
                  <m:e>
                    <m:r>
                      <m:t>D</m:t>
                    </m:r>
                  </m:e>
                  <m:sub>
                    <m:r>
                      <m:t>e</m:t>
                    </m:r>
                    <m:r>
                      <m:t>x</m:t>
                    </m:r>
                    <m:r>
                      <m:t>p</m:t>
                    </m:r>
                  </m:sub>
                </m:sSub>
                <m:r>
                  <m:rPr>
                    <m:sty m:val="p"/>
                  </m:rPr>
                  <m:t>→</m:t>
                </m:r>
                <m:r>
                  <m:t>P</m:t>
                </m:r>
                <m:r>
                  <m:t>r</m:t>
                </m:r>
                <m:r>
                  <m:t>o</m:t>
                </m:r>
                <m:r>
                  <m:t>p</m:t>
                </m:r>
                <m:r>
                  <m:t>e</m:t>
                </m:r>
                <m:r>
                  <m:t>r</m:t>
                </m:r>
                <m:r>
                  <m:t>t</m:t>
                </m:r>
                <m:r>
                  <m:t>y</m:t>
                </m:r>
                <m:r>
                  <m:t> </m:t>
                </m:r>
                <m:r>
                  <m:t>E</m:t>
                </m:r>
                <m:r>
                  <m:t>v</m:t>
                </m:r>
                <m:r>
                  <m:t>a</m:t>
                </m:r>
                <m:r>
                  <m:t>l</m:t>
                </m:r>
                <m:r>
                  <m:t>u</m:t>
                </m:r>
                <m:r>
                  <m:t>a</m:t>
                </m:r>
                <m:r>
                  <m:t>t</m:t>
                </m:r>
                <m:r>
                  <m:t>i</m:t>
                </m:r>
                <m:r>
                  <m:t>o</m:t>
                </m:r>
                <m:r>
                  <m:t>n</m:t>
                </m:r>
                <m:r>
                  <m:rPr>
                    <m:sty m:val="p"/>
                  </m:rPr>
                  <m:t>→</m:t>
                </m:r>
                <m:r>
                  <m:t>F</m:t>
                </m:r>
                <m:r>
                  <m:t>a</m:t>
                </m:r>
                <m:r>
                  <m:t>i</m:t>
                </m:r>
                <m:r>
                  <m:t>l</m:t>
                </m:r>
                <m:r>
                  <m:t>u</m:t>
                </m:r>
                <m:r>
                  <m:t>r</m:t>
                </m:r>
                <m:r>
                  <m:t>e</m:t>
                </m:r>
                <m:r>
                  <m:t> </m:t>
                </m:r>
                <m:r>
                  <m:t>A</m:t>
                </m:r>
                <m:r>
                  <m:t>n</m:t>
                </m:r>
                <m:r>
                  <m:t>a</m:t>
                </m:r>
                <m:r>
                  <m:t>l</m:t>
                </m:r>
                <m:r>
                  <m:t>y</m:t>
                </m:r>
                <m:r>
                  <m:t>s</m:t>
                </m:r>
                <m:r>
                  <m:t>i</m:t>
                </m:r>
                <m:r>
                  <m:t>s</m:t>
                </m:r>
                <m:r>
                  <m:rPr>
                    <m:sty m:val="p"/>
                  </m:rPr>
                  <m:t>→</m:t>
                </m:r>
                <m:r>
                  <m:t>V</m:t>
                </m:r>
                <m:r>
                  <m:t>a</m:t>
                </m:r>
                <m:r>
                  <m:t>l</m:t>
                </m:r>
                <m:r>
                  <m:t>i</m:t>
                </m:r>
                <m:r>
                  <m:t>d</m:t>
                </m:r>
                <m:r>
                  <m:t>a</m:t>
                </m:r>
                <m:r>
                  <m:t>t</m:t>
                </m:r>
                <m:r>
                  <m:t>i</m:t>
                </m:r>
                <m:r>
                  <m:t>o</m:t>
                </m:r>
                <m:r>
                  <m:t>n</m:t>
                </m:r>
                <m:r>
                  <m:t> </m:t>
                </m:r>
                <m:r>
                  <m:t>E</m:t>
                </m:r>
                <m:r>
                  <m:t>v</m:t>
                </m:r>
                <m:r>
                  <m:t>i</m:t>
                </m:r>
                <m:r>
                  <m:t>d</m:t>
                </m:r>
                <m:r>
                  <m:t>e</m:t>
                </m:r>
                <m:r>
                  <m:t>n</m:t>
                </m:r>
                <m:r>
                  <m:t>c</m:t>
                </m:r>
                <m:r>
                  <m:t>e</m:t>
                </m:r>
              </m:e>
            </m:mr>
          </m:m>
        </m:oMath>
      </m:oMathPara>
    </w:p>
    <w:p>
      <w:pPr>
        <w:pStyle w:val="FirstParagraph"/>
      </w:pPr>
      <w:r>
        <w:t xml:space="preserve">The fundamental scenario-level validation criterion is</w:t>
      </w:r>
    </w:p>
    <w:p>
      <w:pPr>
        <w:pStyle w:val="BodyText"/>
      </w:pPr>
      <m:oMathPara>
        <m:oMathParaPr>
          <m:jc m:val="center"/>
        </m:oMathParaPr>
        <m:oMath>
          <m:r>
            <m:t>P</m:t>
          </m:r>
          <m:r>
            <m:t>a</m:t>
          </m:r>
          <m:r>
            <m:t>s</m:t>
          </m:r>
          <m:r>
            <m:t>s</m:t>
          </m:r>
          <m:r>
            <m:rPr>
              <m:sty m:val="p"/>
            </m:rPr>
            <m:t>(</m:t>
          </m:r>
          <m:r>
            <m:t>s</m:t>
          </m:r>
          <m:r>
            <m:rPr>
              <m:sty m:val="p"/>
            </m:rPr>
            <m:t>)</m:t>
          </m:r>
          <m:r>
            <m:rPr>
              <m:sty m:val="p"/>
            </m:rPr>
            <m:t>⇔</m:t>
          </m:r>
          <m:sSub>
            <m:e>
              <m:r>
                <m:t>D</m:t>
              </m:r>
            </m:e>
            <m:sub>
              <m:r>
                <m:t>o</m:t>
              </m:r>
              <m:r>
                <m:t>b</m:t>
              </m:r>
              <m:r>
                <m:t>s</m:t>
              </m:r>
            </m:sub>
          </m:sSub>
          <m:r>
            <m:rPr>
              <m:sty m:val="p"/>
            </m:rPr>
            <m:t>(</m:t>
          </m:r>
          <m:r>
            <m:t>s</m:t>
          </m:r>
          <m:r>
            <m:rPr>
              <m:sty m:val="p"/>
            </m:rPr>
            <m:t>)</m:t>
          </m:r>
          <m:r>
            <m:rPr>
              <m:sty m:val="p"/>
            </m:rPr>
            <m:t>=</m:t>
          </m:r>
          <m:sSub>
            <m:e>
              <m:r>
                <m:t>D</m:t>
              </m:r>
            </m:e>
            <m:sub>
              <m:r>
                <m:t>e</m:t>
              </m:r>
              <m:r>
                <m:t>x</m:t>
              </m:r>
              <m:r>
                <m:t>p</m:t>
              </m:r>
            </m:sub>
          </m:sSub>
          <m:r>
            <m:rPr>
              <m:sty m:val="p"/>
            </m:rPr>
            <m:t>(</m:t>
          </m:r>
          <m:r>
            <m:t>s</m:t>
          </m:r>
          <m:r>
            <m:rPr>
              <m:sty m:val="p"/>
            </m:rPr>
            <m:t>)</m:t>
          </m:r>
        </m:oMath>
      </m:oMathPara>
    </w:p>
    <w:p>
      <w:pPr>
        <w:pStyle w:val="FirstParagraph"/>
      </w:pPr>
      <w:r>
        <w:t xml:space="preserve">while the framework-level validation can be expressed as:</w:t>
      </w:r>
    </w:p>
    <w:p>
      <w:pPr>
        <w:pStyle w:val="BodyText"/>
      </w:pPr>
      <m:oMathPara>
        <m:oMathParaPr>
          <m:jc m:val="center"/>
        </m:oMathParaPr>
        <m:oMath>
          <m:r>
            <m:t>V</m:t>
          </m:r>
          <m:r>
            <m:t>a</m:t>
          </m:r>
          <m:r>
            <m:t>l</m:t>
          </m:r>
          <m:r>
            <m:t>i</m:t>
          </m:r>
          <m:r>
            <m:t>d</m:t>
          </m:r>
          <m:r>
            <m:rPr>
              <m:sty m:val="p"/>
            </m:rPr>
            <m:t>(</m:t>
          </m:r>
          <m:r>
            <m:t>F</m:t>
          </m:r>
          <m:r>
            <m:rPr>
              <m:sty m:val="p"/>
            </m:rPr>
            <m:t>)</m:t>
          </m:r>
          <m:r>
            <m:rPr>
              <m:sty m:val="p"/>
            </m:rPr>
            <m:t>⇒</m:t>
          </m:r>
          <m:sSub>
            <m:e>
              <m:r>
                <m:t>P</m:t>
              </m:r>
            </m:e>
            <m:sub>
              <m:r>
                <m:t>s</m:t>
              </m:r>
              <m:r>
                <m:t>o</m:t>
              </m:r>
              <m:r>
                <m:t>u</m:t>
              </m:r>
              <m:r>
                <m:t>n</m:t>
              </m:r>
              <m:r>
                <m:t>d</m:t>
              </m:r>
            </m:sub>
          </m:sSub>
          <m:r>
            <m:rPr>
              <m:sty m:val="p"/>
            </m:rPr>
            <m:t>∧</m:t>
          </m:r>
          <m:sSub>
            <m:e>
              <m:r>
                <m:t>P</m:t>
              </m:r>
            </m:e>
            <m:sub>
              <m:r>
                <m:t>d</m:t>
              </m:r>
              <m:r>
                <m:t>e</m:t>
              </m:r>
              <m:r>
                <m:t>n</m:t>
              </m:r>
              <m:r>
                <m:t>y</m:t>
              </m:r>
            </m:sub>
          </m:sSub>
          <m:r>
            <m:rPr>
              <m:sty m:val="p"/>
            </m:rPr>
            <m:t>∧</m:t>
          </m:r>
          <m:sSub>
            <m:e>
              <m:r>
                <m:t>P</m:t>
              </m:r>
            </m:e>
            <m:sub>
              <m:r>
                <m:t>t</m:t>
              </m:r>
              <m:r>
                <m:t>h</m:t>
              </m:r>
              <m:r>
                <m:t>r</m:t>
              </m:r>
              <m:r>
                <m:t>e</m:t>
              </m:r>
              <m:r>
                <m:t>s</m:t>
              </m:r>
              <m:r>
                <m:t>h</m:t>
              </m:r>
              <m:r>
                <m:t>o</m:t>
              </m:r>
              <m:r>
                <m:t>l</m:t>
              </m:r>
              <m:r>
                <m:t>d</m:t>
              </m:r>
            </m:sub>
          </m:sSub>
          <m:r>
            <m:rPr>
              <m:sty m:val="p"/>
            </m:rPr>
            <m:t>∧</m:t>
          </m:r>
          <m:sSub>
            <m:e>
              <m:r>
                <m:t>P</m:t>
              </m:r>
            </m:e>
            <m:sub>
              <m:r>
                <m:t>p</m:t>
              </m:r>
              <m:r>
                <m:t>o</m:t>
              </m:r>
              <m:r>
                <m:t>l</m:t>
              </m:r>
              <m:r>
                <m:t>i</m:t>
              </m:r>
              <m:r>
                <m:t>c</m:t>
              </m:r>
              <m:r>
                <m:t>y</m:t>
              </m:r>
            </m:sub>
          </m:sSub>
          <m:r>
            <m:rPr>
              <m:sty m:val="p"/>
            </m:rPr>
            <m:t>∧</m:t>
          </m:r>
          <m:sSub>
            <m:e>
              <m:r>
                <m:t>P</m:t>
              </m:r>
            </m:e>
            <m:sub>
              <m:r>
                <m:t>s</m:t>
              </m:r>
              <m:r>
                <m:t>c</m:t>
              </m:r>
              <m:r>
                <m:t>o</m:t>
              </m:r>
              <m:r>
                <m:t>p</m:t>
              </m:r>
              <m:r>
                <m:t>e</m:t>
              </m:r>
            </m:sub>
          </m:sSub>
          <m:r>
            <m:rPr>
              <m:sty m:val="p"/>
            </m:rPr>
            <m:t>∧</m:t>
          </m:r>
          <m:sSub>
            <m:e>
              <m:r>
                <m:t>P</m:t>
              </m:r>
            </m:e>
            <m:sub>
              <m:r>
                <m:t>a</m:t>
              </m:r>
              <m:r>
                <m:t>u</m:t>
              </m:r>
              <m:r>
                <m:t>d</m:t>
              </m:r>
              <m:r>
                <m:t>i</m:t>
              </m:r>
              <m:r>
                <m:t>t</m:t>
              </m:r>
            </m:sub>
          </m:sSub>
        </m:oMath>
      </m:oMathPara>
    </w:p>
    <w:p>
      <w:pPr>
        <w:pStyle w:val="FirstParagraph"/>
      </w:pPr>
      <w:r>
        <w:t xml:space="preserve">This procedure establishes a distinction between</w:t>
      </w:r>
      <w:r>
        <w:t xml:space="preserve"> </w:t>
      </w:r>
      <w:r>
        <w:rPr>
          <w:i/>
          <w:iCs/>
        </w:rPr>
        <w:t xml:space="preserve">functional correctness</w:t>
      </w:r>
      <w:r>
        <w:t xml:space="preserve"> </w:t>
      </w:r>
      <w:r>
        <w:t xml:space="preserve">and</w:t>
      </w:r>
      <w:r>
        <w:t xml:space="preserve"> </w:t>
      </w:r>
      <w:r>
        <w:rPr>
          <w:i/>
          <w:iCs/>
        </w:rPr>
        <w:t xml:space="preserve">security correctness</w:t>
      </w:r>
      <w:r>
        <w:t xml:space="preserve">.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w:t>
      </w:r>
    </w:p>
    <w:p>
      <w:pPr>
        <w:pStyle w:val="BodyText"/>
      </w:pPr>
      <w:r>
        <w:t xml:space="preserve">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w:t>
      </w:r>
      <w:r>
        <w:t xml:space="preserve"> </w:t>
      </w:r>
      <w:r>
        <w:rPr>
          <w:i/>
          <w:iCs/>
        </w:rPr>
        <w:t xml:space="preserve">positive security property</w:t>
      </w:r>
      <w:r>
        <w:t xml:space="preserve"> </w:t>
      </w:r>
      <w:r>
        <w:t xml:space="preserve">of granting legitimate access and the</w:t>
      </w:r>
      <w:r>
        <w:t xml:space="preserve"> </w:t>
      </w:r>
      <w:r>
        <w:rPr>
          <w:i/>
          <w:iCs/>
        </w:rPr>
        <w:t xml:space="preserve">negative security property</w:t>
      </w:r>
      <w:r>
        <w:t xml:space="preserve"> </w:t>
      </w:r>
      <w:r>
        <w:t xml:space="preserve">of preventing illegitimate access.</w:t>
      </w:r>
    </w:p>
    <w:p>
      <w:pPr>
        <w:pStyle w:val="BodyText"/>
      </w:pPr>
      <w:r>
        <w:t xml:space="preserve">The validation procedure also provides traceability between the final access decision and its supporting evidence. For each scenario, the decision can be interpreted as:</w:t>
      </w:r>
    </w:p>
    <w:p>
      <w:pPr>
        <w:pStyle w:val="BodyText"/>
      </w:pPr>
      <m:oMathPara>
        <m:oMathParaPr>
          <m:jc m:val="center"/>
        </m:oMathParaPr>
        <m:oMath>
          <m:m>
            <m:mPr>
              <m:baseJc m:val="center"/>
              <m:plcHide m:val="on"/>
              <m:mcs>
                <m:mc>
                  <m:mcPr>
                    <m:count m:val="1"/>
                    <m:mcJc m:val="left"/>
                  </m:mcPr>
                </m:mc>
              </m:mcs>
            </m:mPr>
            <m:mr>
              <m:e>
                <m:r>
                  <m:t>D</m:t>
                </m:r>
                <m:r>
                  <m:t>e</m:t>
                </m:r>
                <m:r>
                  <m:t>c</m:t>
                </m:r>
                <m:r>
                  <m:t>i</m:t>
                </m:r>
                <m:r>
                  <m:t>s</m:t>
                </m:r>
                <m:r>
                  <m:t>i</m:t>
                </m:r>
                <m:r>
                  <m:t>o</m:t>
                </m:r>
                <m:r>
                  <m:t>n</m:t>
                </m:r>
                <m:r>
                  <m:rPr>
                    <m:sty m:val="p"/>
                  </m:rPr>
                  <m:t>(</m:t>
                </m:r>
                <m:r>
                  <m:t>s</m:t>
                </m:r>
                <m:r>
                  <m:rPr>
                    <m:sty m:val="p"/>
                  </m:rPr>
                  <m:t>)</m:t>
                </m:r>
                <m:r>
                  <m:rPr>
                    <m:sty m:val="p"/>
                  </m:rPr>
                  <m:t>=</m:t>
                </m:r>
                <m:r>
                  <m:t>f</m:t>
                </m:r>
                <m:r>
                  <m:rPr>
                    <m:sty m:val="p"/>
                  </m:rPr>
                  <m:t>(</m:t>
                </m:r>
                <m:r>
                  <m:t>I</m:t>
                </m:r>
                <m:r>
                  <m:t>d</m:t>
                </m:r>
                <m:r>
                  <m:t>e</m:t>
                </m:r>
                <m:r>
                  <m:t>n</m:t>
                </m:r>
                <m:r>
                  <m:t>t</m:t>
                </m:r>
                <m:r>
                  <m:t>i</m:t>
                </m:r>
                <m:r>
                  <m:t>t</m:t>
                </m:r>
                <m:r>
                  <m:t>y</m:t>
                </m:r>
                <m:r>
                  <m:rPr>
                    <m:sty m:val="p"/>
                  </m:rPr>
                  <m:t>,</m:t>
                </m:r>
                <m:r>
                  <m:t>A</m:t>
                </m:r>
                <m:r>
                  <m:t>u</m:t>
                </m:r>
                <m:r>
                  <m:t>t</m:t>
                </m:r>
                <m:r>
                  <m:t>h</m:t>
                </m:r>
                <m:r>
                  <m:t>o</m:t>
                </m:r>
                <m:r>
                  <m:t>r</m:t>
                </m:r>
                <m:r>
                  <m:t>i</m:t>
                </m:r>
                <m:r>
                  <m:t>t</m:t>
                </m:r>
                <m:r>
                  <m:t>y</m:t>
                </m:r>
                <m:r>
                  <m:rPr>
                    <m:sty m:val="p"/>
                  </m:rPr>
                  <m:t>,</m:t>
                </m:r>
                <m:r>
                  <m:t>C</m:t>
                </m:r>
                <m:r>
                  <m:t>o</m:t>
                </m:r>
                <m:r>
                  <m:t>n</m:t>
                </m:r>
                <m:r>
                  <m:t>s</m:t>
                </m:r>
                <m:r>
                  <m:t>e</m:t>
                </m:r>
                <m:r>
                  <m:t>n</m:t>
                </m:r>
                <m:r>
                  <m:t>t</m:t>
                </m:r>
                <m:r>
                  <m:rPr>
                    <m:sty m:val="p"/>
                  </m:rPr>
                  <m:t>,</m:t>
                </m:r>
                <m:r>
                  <m:t>T</m:t>
                </m:r>
                <m:r>
                  <m:t>h</m:t>
                </m:r>
                <m:r>
                  <m:t>r</m:t>
                </m:r>
                <m:r>
                  <m:t>e</m:t>
                </m:r>
                <m:r>
                  <m:t>s</m:t>
                </m:r>
                <m:r>
                  <m:t>h</m:t>
                </m:r>
                <m:r>
                  <m:t>o</m:t>
                </m:r>
                <m:r>
                  <m:t>l</m:t>
                </m:r>
                <m:r>
                  <m:t>d</m:t>
                </m:r>
                <m:r>
                  <m:rPr>
                    <m:sty m:val="p"/>
                  </m:rPr>
                  <m:t>,</m:t>
                </m:r>
              </m:e>
            </m:mr>
            <m:mr>
              <m:e>
                <m:r>
                  <m:t>P</m:t>
                </m:r>
                <m:r>
                  <m:t>u</m:t>
                </m:r>
                <m:r>
                  <m:t>r</m:t>
                </m:r>
                <m:r>
                  <m:t>p</m:t>
                </m:r>
                <m:r>
                  <m:t>o</m:t>
                </m:r>
                <m:r>
                  <m:t>s</m:t>
                </m:r>
                <m:r>
                  <m:t>e</m:t>
                </m:r>
                <m:r>
                  <m:rPr>
                    <m:sty m:val="p"/>
                  </m:rPr>
                  <m:t>,</m:t>
                </m:r>
                <m:r>
                  <m:t>S</m:t>
                </m:r>
                <m:r>
                  <m:t>c</m:t>
                </m:r>
                <m:r>
                  <m:t>o</m:t>
                </m:r>
                <m:r>
                  <m:t>p</m:t>
                </m:r>
                <m:r>
                  <m:t>e</m:t>
                </m:r>
                <m:r>
                  <m:rPr>
                    <m:sty m:val="p"/>
                  </m:rPr>
                  <m:t>,</m:t>
                </m:r>
                <m:r>
                  <m:t>L</m:t>
                </m:r>
                <m:r>
                  <m:t>i</m:t>
                </m:r>
                <m:r>
                  <m:t>f</m:t>
                </m:r>
                <m:r>
                  <m:t>e</m:t>
                </m:r>
                <m:r>
                  <m:t>c</m:t>
                </m:r>
                <m:r>
                  <m:t>y</m:t>
                </m:r>
                <m:r>
                  <m:t>c</m:t>
                </m:r>
                <m:r>
                  <m:t>l</m:t>
                </m:r>
                <m:r>
                  <m:t>e</m:t>
                </m:r>
                <m:r>
                  <m:rPr>
                    <m:sty m:val="p"/>
                  </m:rPr>
                  <m:t>,</m:t>
                </m:r>
                <m:r>
                  <m:t>E</m:t>
                </m:r>
                <m:r>
                  <m:t>v</m:t>
                </m:r>
                <m:r>
                  <m:t>i</m:t>
                </m:r>
                <m:r>
                  <m:t>d</m:t>
                </m:r>
                <m:r>
                  <m:t>e</m:t>
                </m:r>
                <m:r>
                  <m:t>n</m:t>
                </m:r>
                <m:r>
                  <m:t>c</m:t>
                </m:r>
                <m:r>
                  <m:t>e</m:t>
                </m:r>
                <m:r>
                  <m:rPr>
                    <m:sty m:val="p"/>
                  </m:rPr>
                  <m:t>)</m:t>
                </m:r>
                <m:r>
                  <m:rPr>
                    <m:sty m:val="p"/>
                  </m:rPr>
                  <m:t>.</m:t>
                </m:r>
              </m:e>
            </m:mr>
          </m:m>
        </m:oMath>
      </m:oMathPara>
    </w:p>
    <w:p>
      <w:pPr>
        <w:pStyle w:val="FirstParagraph"/>
      </w:pPr>
      <w:r>
        <w:t xml:space="preserve">Consequently, validation does not merely determine whether the final output is</w:t>
      </w:r>
      <w:r>
        <w:t xml:space="preserve"> </w:t>
      </w:r>
      <w:r>
        <w:rPr>
          <w:i/>
          <w:iCs/>
        </w:rPr>
        <w:t xml:space="preserve">ALLOW</w:t>
      </w:r>
      <w:r>
        <w:t xml:space="preserve"> </w:t>
      </w:r>
      <w:r>
        <w:t xml:space="preserve">or</w:t>
      </w:r>
      <w:r>
        <w:t xml:space="preserve"> </w:t>
      </w:r>
      <w:r>
        <w:rPr>
          <w:i/>
          <w:iCs/>
        </w:rPr>
        <w:t xml:space="preserve">DENY</w:t>
      </w:r>
      <w:r>
        <w:t xml:space="preserve">; it also determines whether the underlying evidence is consistent with the decision. This is particularly important for a trust-aware framework because a correct decision without sufficient supporting evidence cannot provide strong assurance regarding how the decision was reached.</w:t>
      </w:r>
    </w:p>
    <w:p>
      <w:pPr>
        <w:pStyle w:val="BodyText"/>
      </w:pPr>
      <w:r>
        <w:t xml:space="preserve">The relationship between the six algorithms can therefore be represented as</w:t>
      </w:r>
    </w:p>
    <w:p>
      <w:pPr>
        <w:pStyle w:val="BodyText"/>
      </w:pPr>
      <w:r>
        <w:t xml:space="preserve">Algorithm 1: Create Consent</w:t>
      </w:r>
    </w:p>
    <w:p>
      <w:pPr>
        <w:pStyle w:val="BodyText"/>
      </w:pPr>
      <w:r>
        <w:t xml:space="preserve">Algorithm 2: Verify Identity and Authority</w:t>
      </w:r>
    </w:p>
    <w:p>
      <w:pPr>
        <w:pStyle w:val="BodyText"/>
      </w:pPr>
      <w:r>
        <w:t xml:space="preserve">Algorithm 3: Establish Multi-Party Authorisation</w:t>
      </w:r>
    </w:p>
    <w:p>
      <w:pPr>
        <w:pStyle w:val="BodyText"/>
      </w:pPr>
      <w:r>
        <w:t xml:space="preserve">Algorithm 4: Evaluate Access Request</w:t>
      </w:r>
    </w:p>
    <w:p>
      <w:pPr>
        <w:pStyle w:val="BodyText"/>
      </w:pPr>
      <w:r>
        <w:t xml:space="preserve">Algorithm 5: Validate Temporal and Lifecycle State</w:t>
      </w:r>
    </w:p>
    <w:p>
      <w:pPr>
        <w:pStyle w:val="BodyText"/>
      </w:pPr>
      <w:r>
        <w:t xml:space="preserve">Algorithm 6: Validate the Complete Framework</w:t>
      </w:r>
    </w:p>
    <w:p>
      <w:pPr>
        <w:pStyle w:val="BodyText"/>
      </w:pPr>
      <w:r>
        <w:t xml:space="preserve">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w:t>
      </w:r>
    </w:p>
    <w:p>
      <w:pPr>
        <w:pStyle w:val="BodyText"/>
      </w:pPr>
      <m:oMathPara>
        <m:oMathParaPr>
          <m:jc m:val="center"/>
        </m:oMathParaPr>
        <m:oMath>
          <m:m>
            <m:mPr>
              <m:baseJc m:val="center"/>
              <m:plcHide m:val="on"/>
              <m:mcs>
                <m:mc>
                  <m:mcPr>
                    <m:count m:val="1"/>
                    <m:mcJc m:val="left"/>
                  </m:mcPr>
                </m:mc>
              </m:mcs>
            </m:mPr>
            <m:mr>
              <m:e>
                <m:r>
                  <m:t>D</m:t>
                </m:r>
                <m:r>
                  <m:t>e</m:t>
                </m:r>
                <m:r>
                  <m:t>s</m:t>
                </m:r>
                <m:r>
                  <m:t>i</m:t>
                </m:r>
                <m:r>
                  <m:t>g</m:t>
                </m:r>
                <m:r>
                  <m:t>n</m:t>
                </m:r>
                <m:r>
                  <m:rPr>
                    <m:sty m:val="p"/>
                  </m:rPr>
                  <m:t>→</m:t>
                </m:r>
                <m:r>
                  <m:t>I</m:t>
                </m:r>
                <m:r>
                  <m:t>m</m:t>
                </m:r>
                <m:r>
                  <m:t>p</m:t>
                </m:r>
                <m:r>
                  <m:t>l</m:t>
                </m:r>
                <m:r>
                  <m:t>e</m:t>
                </m:r>
                <m:r>
                  <m:t>m</m:t>
                </m:r>
                <m:r>
                  <m:t>e</m:t>
                </m:r>
                <m:r>
                  <m:t>n</m:t>
                </m:r>
                <m:r>
                  <m:t>t</m:t>
                </m:r>
                <m:r>
                  <m:t>a</m:t>
                </m:r>
                <m:r>
                  <m:t>t</m:t>
                </m:r>
                <m:r>
                  <m:t>i</m:t>
                </m:r>
                <m:r>
                  <m:t>o</m:t>
                </m:r>
                <m:r>
                  <m:t>n</m:t>
                </m:r>
                <m:r>
                  <m:rPr>
                    <m:sty m:val="p"/>
                  </m:rPr>
                  <m:t>→</m:t>
                </m:r>
                <m:r>
                  <m:t>E</m:t>
                </m:r>
                <m:r>
                  <m:t>x</m:t>
                </m:r>
                <m:r>
                  <m:t>e</m:t>
                </m:r>
                <m:r>
                  <m:t>c</m:t>
                </m:r>
                <m:r>
                  <m:t>u</m:t>
                </m:r>
                <m:r>
                  <m:t>t</m:t>
                </m:r>
                <m:r>
                  <m:t>i</m:t>
                </m:r>
                <m:r>
                  <m:t>o</m:t>
                </m:r>
                <m:r>
                  <m:t>n</m:t>
                </m:r>
              </m:e>
            </m:mr>
            <m:mr>
              <m:e>
                <m:r>
                  <m:rPr>
                    <m:sty m:val="p"/>
                  </m:rPr>
                  <m:t>→</m:t>
                </m:r>
                <m:r>
                  <m:t>O</m:t>
                </m:r>
                <m:r>
                  <m:t>b</m:t>
                </m:r>
                <m:r>
                  <m:t>s</m:t>
                </m:r>
                <m:r>
                  <m:t>e</m:t>
                </m:r>
                <m:r>
                  <m:t>r</m:t>
                </m:r>
                <m:r>
                  <m:t>v</m:t>
                </m:r>
                <m:r>
                  <m:t>a</m:t>
                </m:r>
                <m:r>
                  <m:t>t</m:t>
                </m:r>
                <m:r>
                  <m:t>i</m:t>
                </m:r>
                <m:r>
                  <m:t>o</m:t>
                </m:r>
                <m:r>
                  <m:t>n</m:t>
                </m:r>
                <m:r>
                  <m:rPr>
                    <m:sty m:val="p"/>
                  </m:rPr>
                  <m:t>→</m:t>
                </m:r>
                <m:r>
                  <m:t>V</m:t>
                </m:r>
                <m:r>
                  <m:t>e</m:t>
                </m:r>
                <m:r>
                  <m:t>r</m:t>
                </m:r>
                <m:r>
                  <m:t>i</m:t>
                </m:r>
                <m:r>
                  <m:t>f</m:t>
                </m:r>
                <m:r>
                  <m:t>i</m:t>
                </m:r>
                <m:r>
                  <m:t>c</m:t>
                </m:r>
                <m:r>
                  <m:t>a</m:t>
                </m:r>
                <m:r>
                  <m:t>t</m:t>
                </m:r>
                <m:r>
                  <m:t>i</m:t>
                </m:r>
                <m:r>
                  <m:t>o</m:t>
                </m:r>
                <m:r>
                  <m:t>n</m:t>
                </m:r>
                <m:r>
                  <m:rPr>
                    <m:sty m:val="p"/>
                  </m:rPr>
                  <m:t>→</m:t>
                </m:r>
                <m:r>
                  <m:t>V</m:t>
                </m:r>
                <m:r>
                  <m:t>a</m:t>
                </m:r>
                <m:r>
                  <m:t>l</m:t>
                </m:r>
                <m:r>
                  <m:t>i</m:t>
                </m:r>
                <m:r>
                  <m:t>d</m:t>
                </m:r>
                <m:r>
                  <m:t>a</m:t>
                </m:r>
                <m:r>
                  <m:t>t</m:t>
                </m:r>
                <m:r>
                  <m:t>i</m:t>
                </m:r>
                <m:r>
                  <m:t>o</m:t>
                </m:r>
                <m:r>
                  <m:t>n</m:t>
                </m:r>
              </m:e>
            </m:mr>
          </m:m>
        </m:oMath>
      </m:oMathPara>
    </w:p>
    <w:p>
      <w:pPr>
        <w:pStyle w:val="FirstParagraph"/>
      </w:pPr>
      <w:r>
        <w:t xml:space="preserve">The resulting validation methodology provides empirical evidence that the proposed authorisation model is not merely conceptually defined but is operationally enforceable and testable under legitimate, invalid, and adversarial conditions.</w:t>
      </w:r>
    </w:p>
    <w:p>
      <w:pPr>
        <w:pStyle w:val="Algorithm"/>
      </w:pPr>
      <w:r>
        <w:rPr>
          <w:b/>
          <w:bCs/>
        </w:rPr>
        <w:t xml:space="preserve">Algorithm 6</w:t>
      </w:r>
      <w:r>
        <w:t xml:space="preserve"> </w:t>
      </w:r>
      <w:r>
        <w:t xml:space="preserve">Formal and Empirical Authorisation Validation</w:t>
      </w:r>
      <w:r>
        <w:br/>
      </w:r>
      <w:r>
        <w:rPr>
          <w:b/>
          <w:bCs/>
        </w:rPr>
        <w:t xml:space="preserve">Require:</w:t>
      </w:r>
      <w:r>
        <w:t xml:space="preserve"> </w:t>
      </w:r>
      <w:r>
        <w:t xml:space="preserve">Framework implementation</w:t>
      </w:r>
      <w:r>
        <w:t xml:space="preserve"> </w:t>
      </w:r>
      <m:oMath>
        <m:r>
          <m:t>F</m:t>
        </m:r>
      </m:oMath>
      <w:r>
        <w:t xml:space="preserve">, validation scenarios</w:t>
      </w:r>
      <w:r>
        <w:t xml:space="preserve"> </w:t>
      </w:r>
      <m:oMath>
        <m:r>
          <m:t>S</m:t>
        </m:r>
      </m:oMath>
      <w:r>
        <w:t xml:space="preserve">, security properties</w:t>
      </w:r>
      <w:r>
        <w:t xml:space="preserve"> </w:t>
      </w:r>
      <m:oMath>
        <m:r>
          <m:t>P</m:t>
        </m:r>
      </m:oMath>
      <w:r>
        <w:br/>
      </w:r>
      <w:r>
        <w:rPr>
          <w:b/>
          <w:bCs/>
        </w:rPr>
        <w:t xml:space="preserve">Ensure:</w:t>
      </w:r>
      <w:r>
        <w:t xml:space="preserve"> </w:t>
      </w:r>
      <w:r>
        <w:t xml:space="preserve">Validation evidence and evaluation results</w:t>
      </w:r>
      <w:r>
        <w:br/>
      </w:r>
      <w:r>
        <w:t xml:space="preserve">1: Define expected authorisation properties</w:t>
      </w:r>
      <w:r>
        <w:t xml:space="preserve"> </w:t>
      </w:r>
      <m:oMath>
        <m:r>
          <m:t>P</m:t>
        </m:r>
      </m:oMath>
      <w:r>
        <w:br/>
      </w:r>
      <w:r>
        <w:t xml:space="preserve">2: Define valid scenarios</w:t>
      </w:r>
      <w:r>
        <w:t xml:space="preserve"> </w:t>
      </w:r>
      <m:oMath>
        <m:sSub>
          <m:e>
            <m:r>
              <m:t>S</m:t>
            </m:r>
          </m:e>
          <m:sub>
            <m:r>
              <m:t>v</m:t>
            </m:r>
            <m:r>
              <m:t>a</m:t>
            </m:r>
            <m:r>
              <m:t>l</m:t>
            </m:r>
            <m:r>
              <m:t>i</m:t>
            </m:r>
            <m:r>
              <m:t>d</m:t>
            </m:r>
          </m:sub>
        </m:sSub>
      </m:oMath>
      <w:r>
        <w:br/>
      </w:r>
      <w:r>
        <w:t xml:space="preserve">3: Define negative scenarios</w:t>
      </w:r>
      <w:r>
        <w:t xml:space="preserve"> </w:t>
      </w:r>
      <m:oMath>
        <m:sSub>
          <m:e>
            <m:r>
              <m:t>S</m:t>
            </m:r>
          </m:e>
          <m:sub>
            <m:r>
              <m:t>n</m:t>
            </m:r>
            <m:r>
              <m:t>e</m:t>
            </m:r>
            <m:r>
              <m:t>g</m:t>
            </m:r>
            <m:r>
              <m:t>a</m:t>
            </m:r>
            <m:r>
              <m:t>t</m:t>
            </m:r>
            <m:r>
              <m:t>i</m:t>
            </m:r>
            <m:r>
              <m:t>v</m:t>
            </m:r>
            <m:r>
              <m:t>e</m:t>
            </m:r>
          </m:sub>
        </m:sSub>
      </m:oMath>
      <w:r>
        <w:br/>
      </w:r>
      <w:r>
        <w:t xml:space="preserve">4: Define adversarial scenarios</w:t>
      </w:r>
      <w:r>
        <w:t xml:space="preserve"> </w:t>
      </w:r>
      <m:oMath>
        <m:sSub>
          <m:e>
            <m:r>
              <m:t>S</m:t>
            </m:r>
          </m:e>
          <m:sub>
            <m:r>
              <m:t>a</m:t>
            </m:r>
            <m:r>
              <m:t>d</m:t>
            </m:r>
            <m:r>
              <m:t>v</m:t>
            </m:r>
          </m:sub>
        </m:sSub>
      </m:oMath>
      <w:r>
        <w:br/>
      </w:r>
      <w:r>
        <w:t xml:space="preserve">5:</w:t>
      </w:r>
      <w:r>
        <w:t xml:space="preserve"> </w:t>
      </w:r>
      <w:r>
        <w:rPr>
          <w:b/>
          <w:bCs/>
        </w:rPr>
        <w:t xml:space="preserve">for</w:t>
      </w:r>
      <w:r>
        <w:t xml:space="preserve"> </w:t>
      </w:r>
      <w:r>
        <w:t xml:space="preserve">each scenario</w:t>
      </w:r>
      <w:r>
        <w:t xml:space="preserve"> </w:t>
      </w:r>
      <m:oMath>
        <m:r>
          <m:t>s</m:t>
        </m:r>
      </m:oMath>
      <w:r>
        <w:t xml:space="preserve"> </w:t>
      </w:r>
      <w:r>
        <w:t xml:space="preserve">in</w:t>
      </w:r>
      <w:r>
        <w:t xml:space="preserve"> </w:t>
      </w:r>
      <m:oMath>
        <m:sSub>
          <m:e>
            <m:r>
              <m:t>S</m:t>
            </m:r>
          </m:e>
          <m:sub>
            <m:r>
              <m:t>v</m:t>
            </m:r>
            <m:r>
              <m:t>a</m:t>
            </m:r>
            <m:r>
              <m:t>l</m:t>
            </m:r>
            <m:r>
              <m:t>i</m:t>
            </m:r>
            <m:r>
              <m:t>d</m:t>
            </m:r>
          </m:sub>
        </m:sSub>
        <m:r>
          <m:rPr>
            <m:sty m:val="p"/>
          </m:rPr>
          <m:t>∪</m:t>
        </m:r>
        <m:sSub>
          <m:e>
            <m:r>
              <m:t>S</m:t>
            </m:r>
          </m:e>
          <m:sub>
            <m:r>
              <m:t>n</m:t>
            </m:r>
            <m:r>
              <m:t>e</m:t>
            </m:r>
            <m:r>
              <m:t>g</m:t>
            </m:r>
            <m:r>
              <m:t>a</m:t>
            </m:r>
            <m:r>
              <m:t>t</m:t>
            </m:r>
            <m:r>
              <m:t>i</m:t>
            </m:r>
            <m:r>
              <m:t>v</m:t>
            </m:r>
            <m:r>
              <m:t>e</m:t>
            </m:r>
          </m:sub>
        </m:sSub>
        <m:r>
          <m:rPr>
            <m:sty m:val="p"/>
          </m:rPr>
          <m:t>∪</m:t>
        </m:r>
        <m:sSub>
          <m:e>
            <m:r>
              <m:t>S</m:t>
            </m:r>
          </m:e>
          <m:sub>
            <m:r>
              <m:t>a</m:t>
            </m:r>
            <m:r>
              <m:t>d</m:t>
            </m:r>
            <m:r>
              <m:t>v</m:t>
            </m:r>
          </m:sub>
        </m:sSub>
      </m:oMath>
      <w:r>
        <w:t xml:space="preserve"> </w:t>
      </w:r>
      <w:r>
        <w:rPr>
          <w:b/>
          <w:bCs/>
        </w:rPr>
        <w:t xml:space="preserve">do</w:t>
      </w:r>
      <w:r>
        <w:br/>
      </w:r>
      <w:r>
        <w:t xml:space="preserve">    6: Execute</w:t>
      </w:r>
      <w:r>
        <w:t xml:space="preserve"> </w:t>
      </w:r>
      <m:oMath>
        <m:r>
          <m:t>s</m:t>
        </m:r>
      </m:oMath>
      <w:r>
        <w:t xml:space="preserve"> </w:t>
      </w:r>
      <w:r>
        <w:t xml:space="preserve">using framework</w:t>
      </w:r>
      <w:r>
        <w:t xml:space="preserve"> </w:t>
      </w:r>
      <m:oMath>
        <m:r>
          <m:t>F</m:t>
        </m:r>
      </m:oMath>
      <w:r>
        <w:br/>
      </w:r>
      <w:r>
        <w:t xml:space="preserve">    7: Collect authorisation decision</w:t>
      </w:r>
      <w:r>
        <w:br/>
      </w:r>
      <w:r>
        <w:t xml:space="preserve">    8: Collect identity, approval, policy, and audit evidence</w:t>
      </w:r>
      <w:r>
        <w:br/>
      </w:r>
      <w:r>
        <w:t xml:space="preserve">    9: Compare observed decision with expected decision</w:t>
      </w:r>
      <w:r>
        <w:br/>
      </w:r>
      <w:r>
        <w:t xml:space="preserve">    10: Record pass or failure result</w:t>
      </w:r>
      <w:r>
        <w:br/>
      </w:r>
      <w:r>
        <w:t xml:space="preserve">11:</w:t>
      </w:r>
      <w:r>
        <w:t xml:space="preserve"> </w:t>
      </w:r>
      <w:r>
        <w:rPr>
          <w:b/>
          <w:bCs/>
        </w:rPr>
        <w:t xml:space="preserve">end for</w:t>
      </w:r>
      <w:r>
        <w:br/>
      </w:r>
      <w:r>
        <w:t xml:space="preserve">12: Evaluate soundness property</w:t>
      </w:r>
      <w:r>
        <w:br/>
      </w:r>
      <w:r>
        <w:t xml:space="preserve">13: Evaluate denial property</w:t>
      </w:r>
      <w:r>
        <w:br/>
      </w:r>
      <w:r>
        <w:t xml:space="preserve">14: Evaluate threshold correctness</w:t>
      </w:r>
      <w:r>
        <w:br/>
      </w:r>
      <w:r>
        <w:t xml:space="preserve">15: Evaluate policy-scope enforcement</w:t>
      </w:r>
      <w:r>
        <w:br/>
      </w:r>
      <w:r>
        <w:t xml:space="preserve">16: Evaluate audit consistency</w:t>
      </w:r>
      <w:r>
        <w:br/>
      </w:r>
      <w:r>
        <w:t xml:space="preserve">17: Analyse failures and limitations</w:t>
      </w:r>
      <w:r>
        <w:br/>
      </w:r>
      <w:r>
        <w:t xml:space="preserve">18:</w:t>
      </w:r>
      <w:r>
        <w:t xml:space="preserve"> </w:t>
      </w:r>
      <w:r>
        <w:rPr>
          <w:b/>
          <w:bCs/>
        </w:rPr>
        <w:t xml:space="preserve">return</w:t>
      </w:r>
      <w:r>
        <w:t xml:space="preserve"> </w:t>
      </w:r>
      <w:r>
        <w:t xml:space="preserve">Validation results</w:t>
      </w:r>
    </w:p>
    <w:bookmarkEnd w:id="132"/>
    <w:bookmarkStart w:id="133" w:name="Xb697f75e4cb43d67a9074b27c380a0731d6d029"/>
    <w:p>
      <w:pPr>
        <w:pStyle w:val="Heading3"/>
      </w:pPr>
      <w:r>
        <w:t xml:space="preserve">6.6.3 Algorithm 6: Formal and Empirical Authorisation Validation</w:t>
      </w:r>
    </w:p>
    <w:p>
      <w:pPr>
        <w:pStyle w:val="FirstParagraph"/>
      </w:pPr>
      <w: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w:t>
      </w:r>
    </w:p>
    <w:p>
      <w:pPr>
        <w:pStyle w:val="BodyText"/>
      </w:pPr>
      <w:r>
        <w:t xml:space="preserve">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bookmarkEnd w:id="133"/>
    <w:bookmarkEnd w:id="134"/>
    <w:bookmarkStart w:id="135" w:name="algorithms-and-the-research-objectives"/>
    <w:p>
      <w:pPr>
        <w:pStyle w:val="Heading2"/>
      </w:pPr>
      <w:r>
        <w:t xml:space="preserve">6.7 Algorithms and the Research Objectives</w:t>
      </w:r>
    </w:p>
    <w:p>
      <w:pPr>
        <w:pStyle w:val="FirstParagraph"/>
      </w:pPr>
      <w: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w:t>
      </w:r>
    </w:p>
    <w:p>
      <w:pPr>
        <w:pStyle w:val="BodyText"/>
      </w:pPr>
      <w:r>
        <w:t xml:space="preserve">The final two algorithms extend this foundational mechanism. Algorithm 5 introduces temporal and lifecycle validity, while Algorithm 6 provides formal and empirical assurance of the complete framework. This structure reflects the staged research design in which current stage establishes the foundational authorisation mechanisms and CA3 investigates their dynamic validity, security assurance, and comprehensive practical effectiveness.</w:t>
      </w:r>
    </w:p>
    <w:p>
      <w:pPr>
        <w:pStyle w:val="BodyText"/>
      </w:pPr>
      <w:r>
        <w:t xml:space="preserve">The overall trust-oriented authorisation process can therefore be summarised as Trustworthy Access with 1) Identity and Authority Trust, 2) Collective Authorisation, 3) Policy Compliance, 4) Temporal and Lifecycle Trust. For the current stage implementation, the operational decision is based on Eq. (6).</w:t>
      </w:r>
    </w:p>
    <w:p>
      <w:pPr>
        <w:pStyle w:val="BodyText"/>
      </w:pPr>
      <w:r>
        <w:t xml:space="preserve">The CA3 extension incorporates temporal and lifecycle conditions, as in Eq. (24).</w:t>
      </w:r>
    </w:p>
    <w:p>
      <w:pPr>
        <w:pStyle w:val="BodyText"/>
      </w:pPr>
      <w:r>
        <w:t xml:space="preserve">These equations demonstrate that trust is not provided by blockchain alone. Blockchain contributes integrity, tamper resistance, persistence, and auditability.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bookmarkEnd w:id="135"/>
    <w:bookmarkEnd w:id="136"/>
    <w:bookmarkStart w:id="168" w:name="halah-system-and-workflow"/>
    <w:p>
      <w:pPr>
        <w:pStyle w:val="Heading1"/>
      </w:pPr>
      <w:r>
        <w:t xml:space="preserve">7 HALAH System and Workflow</w:t>
      </w:r>
    </w:p>
    <w:p>
      <w:pPr>
        <w:pStyle w:val="FirstParagraph"/>
      </w:pPr>
      <w:r>
        <w:t xml:space="preserve">The HALAH implementation provides a role-based patient consent management environment that operationalises the proposed multi-party healthcare data-sharing framework. The subsystem is organised around four principal actors and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cryptographically activated, continuously checked for validity, and subsequently used to control access to specific electronic medical record (EMR) modules.</w:t>
      </w:r>
    </w:p>
    <w:p>
      <w:pPr>
        <w:pStyle w:val="BodyText"/>
      </w:pPr>
      <w:r>
        <w:t xml:space="preserve">The overall workflow implemented by the implementation is therefore consistent with the proposed authorisation model as</w:t>
      </w:r>
    </w:p>
    <w:p>
      <w:pPr>
        <w:pStyle w:val="BodyText"/>
      </w:pPr>
      <m:oMathPara>
        <m:oMathParaPr>
          <m:jc m:val="center"/>
        </m:oMathParaPr>
        <m:oMath>
          <m:m>
            <m:mPr>
              <m:baseJc m:val="center"/>
              <m:plcHide m:val="on"/>
              <m:mcs>
                <m:mc>
                  <m:mcPr>
                    <m:count m:val="1"/>
                    <m:mcJc m:val="left"/>
                  </m:mcPr>
                </m:mc>
              </m:mcs>
            </m:mPr>
            <m:mr>
              <m:e>
                <m:r>
                  <m:rPr>
                    <m:nor/>
                  </m:rPr>
                  <m:t>Create Consent</m:t>
                </m:r>
                <m:r>
                  <m:rPr>
                    <m:sty m:val="p"/>
                  </m:rPr>
                  <m:t>→</m:t>
                </m:r>
                <m:r>
                  <m:rPr>
                    <m:nor/>
                  </m:rPr>
                  <m:t>Guardian Approval</m:t>
                </m:r>
                <m:r>
                  <m:rPr>
                    <m:sty m:val="p"/>
                  </m:rPr>
                  <m:t>→</m:t>
                </m:r>
                <m:r>
                  <m:rPr>
                    <m:nor/>
                  </m:rPr>
                  <m:t>Multi-signature Validation</m:t>
                </m:r>
              </m:e>
            </m:mr>
            <m:mr>
              <m:e>
                <m:r>
                  <m:rPr>
                    <m:sty m:val="p"/>
                  </m:rPr>
                  <m:t>→</m:t>
                </m:r>
                <m:r>
                  <m:rPr>
                    <m:nor/>
                  </m:rPr>
                  <m:t>Consent Activation</m:t>
                </m:r>
                <m:r>
                  <m:rPr>
                    <m:sty m:val="p"/>
                  </m:rPr>
                  <m:t>→</m:t>
                </m:r>
                <m:r>
                  <m:rPr>
                    <m:nor/>
                  </m:rPr>
                  <m:t>Doctor Access</m:t>
                </m:r>
                <m:r>
                  <m:rPr>
                    <m:sty m:val="p"/>
                  </m:rPr>
                  <m:t>→</m:t>
                </m:r>
                <m:r>
                  <m:rPr>
                    <m:nor/>
                  </m:rPr>
                  <m:t>Audit</m:t>
                </m:r>
              </m:e>
            </m:mr>
          </m:m>
        </m:oMath>
      </m:oMathPara>
    </w:p>
    <w:p>
      <w:pPr>
        <w:pStyle w:val="FirstParagraph"/>
      </w:pPr>
      <w:r>
        <w:t xml:space="preserve">This sequence provides an end-to-end demonstration of how the conceptual consent model is translated into an operational healthcare data-sharing process.</w:t>
      </w:r>
    </w:p>
    <w:bookmarkStart w:id="137" w:name="halah-system"/>
    <w:p>
      <w:pPr>
        <w:pStyle w:val="Heading2"/>
      </w:pPr>
      <w:r>
        <w:t xml:space="preserve">7.1 HALAH System</w:t>
      </w:r>
    </w:p>
    <w:p>
      <w:pPr>
        <w:pStyle w:val="FirstParagraph"/>
      </w:pPr>
      <w:r>
        <w:t xml:space="preserve">The main HALAH subsystem presents the system as a</w:t>
      </w:r>
      <w:r>
        <w:t xml:space="preserve"> </w:t>
      </w:r>
      <w:r>
        <w:rPr>
          <w:b/>
          <w:bCs/>
        </w:rPr>
        <w:t xml:space="preserve">Patient Consent Management Platform for History Access by Authorised Healthcare Providers</w:t>
      </w:r>
      <w:r>
        <w:t xml:space="preserve">. The subsystem provides a role-oriented environment in which different participants interact with the same consent lifecycle according to their respective authorisation responsibilities.</w:t>
      </w:r>
    </w:p>
    <w:p>
      <w:pPr>
        <w:pStyle w:val="BodyText"/>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and audit recording.</w:t>
      </w:r>
    </w:p>
    <w:p>
      <w:pPr>
        <w:pStyle w:val="BodyText"/>
      </w:pPr>
      <w:r>
        <w:t xml:space="preserve">This design corresponds to the overall HALAH architecture, in which</w:t>
      </w:r>
      <w:r>
        <w:t xml:space="preserve"> </w:t>
      </w:r>
      <w:r>
        <w:rPr>
          <w:b/>
          <w:bCs/>
        </w:rPr>
        <w:t xml:space="preserve">decentralised identifiers (DIDs)</w:t>
      </w:r>
      <w:r>
        <w:t xml:space="preserve"> </w:t>
      </w:r>
      <w:r>
        <w:t xml:space="preserve">provide identity pointers, the consent object defines the authorisation conditions, cryptographic signatures provide evidence of approval, and the blockchain-based ledger provides lifecycle traceability.</w:t>
      </w:r>
    </w:p>
    <w:p>
      <w:pPr>
        <w:pStyle w:val="BodyText"/>
      </w:pPr>
      <w:r>
        <w:t xml:space="preserve">The subsystem therefore serves as the entry point for demonstrating the complete authorisation process rather than functioning merely as a conventional patient-record application.</w:t>
      </w:r>
    </w:p>
    <w:bookmarkEnd w:id="137"/>
    <w:bookmarkStart w:id="141" w:name="X858cfcdf50eeab536ac64fcc0cad8eb3398a81c"/>
    <w:p>
      <w:pPr>
        <w:pStyle w:val="Heading2"/>
      </w:pPr>
      <w:r>
        <w:t xml:space="preserve">7.2 Create Smart Consent Contract: Patient Subsystem</w:t>
      </w:r>
    </w:p>
    <w:p>
      <w:pPr>
        <w:pStyle w:val="FirstParagraph"/>
      </w:pPr>
      <w:r>
        <w:t xml:space="preserve">The first functional subsystem is the</w:t>
      </w:r>
      <w:r>
        <w:t xml:space="preserve"> </w:t>
      </w:r>
      <w:r>
        <w:rPr>
          <w:b/>
          <w:bCs/>
        </w:rPr>
        <w:t xml:space="preserve">Create Smart Consent Contract</w:t>
      </w:r>
      <w:r>
        <w:t xml:space="preserve"> </w:t>
      </w:r>
      <w:r>
        <w:t xml:space="preserve">module. This module represents the patient-side initiation of a consent transaction and corresponds directly to the construction of the proposed consent object.</w:t>
      </w:r>
    </w:p>
    <w:p>
      <w:pPr>
        <w:pStyle w:val="BodyText"/>
      </w:pPr>
      <w:r>
        <w:t xml:space="preserve">The subsystem requires the patient to specify the</w:t>
      </w:r>
      <w:r>
        <w:t xml:space="preserve"> </w:t>
      </w:r>
      <w:r>
        <w:rPr>
          <w:b/>
          <w:bCs/>
        </w:rPr>
        <w:t xml:space="preserve">Patient DID</w:t>
      </w:r>
      <w:r>
        <w:t xml:space="preserve">,</w:t>
      </w:r>
      <w:r>
        <w:t xml:space="preserve"> </w:t>
      </w:r>
      <w:r>
        <w:rPr>
          <w:b/>
          <w:bCs/>
        </w:rPr>
        <w:t xml:space="preserve">Authorised Doctor DID</w:t>
      </w:r>
      <w:r>
        <w:t xml:space="preserve">,</w:t>
      </w:r>
      <w:r>
        <w:t xml:space="preserve"> </w:t>
      </w:r>
      <w:r>
        <w:rPr>
          <w:b/>
          <w:bCs/>
        </w:rPr>
        <w:t xml:space="preserve">Data Access Scope</w:t>
      </w:r>
      <w:r>
        <w:t xml:space="preserve">,</w:t>
      </w:r>
      <w:r>
        <w:t xml:space="preserve"> </w:t>
      </w:r>
      <w:r>
        <w:rPr>
          <w:b/>
          <w:bCs/>
        </w:rPr>
        <w:t xml:space="preserve">Designated Guardian DIDs</w:t>
      </w:r>
      <w:r>
        <w:t xml:space="preserve">, and the</w:t>
      </w:r>
      <w:r>
        <w:t xml:space="preserve"> </w:t>
      </w:r>
      <w:r>
        <w:rPr>
          <w:b/>
          <w:bCs/>
        </w:rPr>
        <w:t xml:space="preserve">temporal validity of the consent</w:t>
      </w:r>
      <w:r>
        <w:t xml:space="preserve">. These fields collectively operationalise the proposed consent representation:</w:t>
      </w:r>
    </w:p>
    <w:p>
      <w:pPr>
        <w:pStyle w:val="BodyText"/>
      </w:pPr>
      <m:oMathPara>
        <m:oMathParaPr>
          <m:jc m:val="center"/>
        </m:oMathParaPr>
        <m:oMath>
          <m:r>
            <m:t>C</m:t>
          </m:r>
          <m:r>
            <m:rPr>
              <m:sty m:val="p"/>
            </m:rPr>
            <m:t>=</m:t>
          </m:r>
          <m:d>
            <m:dPr>
              <m:begChr m:val="("/>
              <m:sepChr m:val=""/>
              <m:endChr m:val=")"/>
              <m:grow/>
            </m:dPr>
            <m:e>
              <m:r>
                <m:t>I</m:t>
              </m:r>
              <m:r>
                <m:rPr>
                  <m:sty m:val="p"/>
                </m:rPr>
                <m:t>,</m:t>
              </m:r>
              <m:r>
                <m:t>A</m:t>
              </m:r>
              <m:r>
                <m:rPr>
                  <m:sty m:val="p"/>
                </m:rPr>
                <m:t>,</m:t>
              </m:r>
              <m:r>
                <m:t>P</m:t>
              </m:r>
              <m:r>
                <m:rPr>
                  <m:sty m:val="p"/>
                </m:rPr>
                <m:t>,</m:t>
              </m:r>
              <m:r>
                <m:t>T</m:t>
              </m:r>
              <m:r>
                <m:rPr>
                  <m:sty m:val="p"/>
                </m:rPr>
                <m:t>,</m:t>
              </m:r>
              <m:r>
                <m:t>L</m:t>
              </m:r>
              <m:r>
                <m:rPr>
                  <m:sty m:val="p"/>
                </m:rPr>
                <m:t>,</m:t>
              </m:r>
              <m:r>
                <m:t>E</m:t>
              </m:r>
            </m:e>
          </m:d>
        </m:oMath>
      </m:oMathPara>
    </w:p>
    <w:p>
      <w:pPr>
        <w:pStyle w:val="FirstParagraph"/>
      </w:pPr>
      <w:r>
        <w:t xml:space="preserve">where the identity of the patient is represented through a DID, the authorised actor is explicitly specified, the permitted data scope is constrained to selected EMR modules, and the temporal fields define when the authorisation becomes valid and when it expires.</w:t>
      </w:r>
    </w:p>
    <w:p>
      <w:pPr>
        <w:pStyle w:val="CaptionedFigure"/>
      </w:pPr>
      <w:r>
        <w:drawing>
          <wp:inline>
            <wp:extent cx="5465445" cy="2746127"/>
            <wp:effectExtent b="0" l="0" r="0" t="0"/>
            <wp:docPr descr="Figure 7.1: HALAH patient subsystem – Create Smart Consent Contract" title="" id="139" name="Picture"/>
            <a:graphic>
              <a:graphicData uri="http://schemas.openxmlformats.org/drawingml/2006/picture">
                <pic:pic>
                  <pic:nvPicPr>
                    <pic:cNvPr descr="halah_media/media/image1.png" id="140" name="Picture"/>
                    <pic:cNvPicPr>
                      <a:picLocks noChangeArrowheads="1" noChangeAspect="1"/>
                    </pic:cNvPicPr>
                  </pic:nvPicPr>
                  <pic:blipFill>
                    <a:blip r:embed="rId138"/>
                    <a:stretch>
                      <a:fillRect/>
                    </a:stretch>
                  </pic:blipFill>
                  <pic:spPr bwMode="auto">
                    <a:xfrm>
                      <a:off x="0" y="0"/>
                      <a:ext cx="5465445" cy="2746127"/>
                    </a:xfrm>
                    <a:prstGeom prst="rect">
                      <a:avLst/>
                    </a:prstGeom>
                    <a:noFill/>
                    <a:ln w="9525">
                      <a:noFill/>
                      <a:headEnd/>
                      <a:tailEnd/>
                    </a:ln>
                  </pic:spPr>
                </pic:pic>
              </a:graphicData>
            </a:graphic>
          </wp:inline>
        </w:drawing>
      </w:r>
    </w:p>
    <w:p>
      <w:pPr>
        <w:pStyle w:val="ImageCaption"/>
      </w:pPr>
      <w:r>
        <w:t xml:space="preserve">Figure 7.1: HALAH patient subsystem – Create Smart Consent Contract</w:t>
      </w:r>
    </w:p>
    <w:p>
      <w:pPr>
        <w:pStyle w:val="BodyText"/>
      </w:pPr>
      <w:r>
        <w:t xml:space="preserve">As shown in the figure above, the</w:t>
      </w:r>
      <w:r>
        <w:t xml:space="preserve"> </w:t>
      </w:r>
      <w:r>
        <w:rPr>
          <w:b/>
          <w:bCs/>
        </w:rPr>
        <w:t xml:space="preserve">Patient DID</w:t>
      </w:r>
      <w:r>
        <w:t xml:space="preserve"> </w:t>
      </w:r>
      <w:r>
        <w:t xml:space="preserve">provides the identity pointer for the data subject, while the</w:t>
      </w:r>
      <w:r>
        <w:t xml:space="preserve"> </w:t>
      </w:r>
      <w:r>
        <w:rPr>
          <w:b/>
          <w:bCs/>
        </w:rPr>
        <w:t xml:space="preserve">Authorised Doctor DID</w:t>
      </w:r>
      <w:r>
        <w:t xml:space="preserve"> </w:t>
      </w:r>
      <w:r>
        <w:t xml:space="preserve">limits the intended healthcare recipient. This is important because the implementation does not implement consent as a general permission to access a patient's medical information. Instead, the authorisation is bound to a specific identity and therefore supports</w:t>
      </w:r>
      <w:r>
        <w:t xml:space="preserve"> </w:t>
      </w:r>
      <w:r>
        <w:rPr>
          <w:b/>
          <w:bCs/>
        </w:rPr>
        <w:t xml:space="preserve">subject-specific and actor-specific access control</w:t>
      </w:r>
      <w:r>
        <w:t xml:space="preserve">.</w:t>
      </w:r>
    </w:p>
    <w:p>
      <w:pPr>
        <w:pStyle w:val="BodyText"/>
      </w:pPr>
      <w:r>
        <w:t xml:space="preserve">The</w:t>
      </w:r>
      <w:r>
        <w:t xml:space="preserve"> </w:t>
      </w:r>
      <w:r>
        <w:rPr>
          <w:b/>
          <w:bCs/>
        </w:rPr>
        <w:t xml:space="preserve">Data Access Scope</w:t>
      </w:r>
      <w:r>
        <w:t xml:space="preserve"> </w:t>
      </w:r>
      <w:r>
        <w:t xml:space="preserve">is particularly important to the proposed framework. Instead of granting access to the complete EMR, the patient can select particular modules, such as medication or procedure information. This implements the principle of</w:t>
      </w:r>
      <w:r>
        <w:t xml:space="preserve"> </w:t>
      </w:r>
      <w:r>
        <w:rPr>
          <w:b/>
          <w:bCs/>
        </w:rPr>
        <w:t xml:space="preserve">purpose- and scope-limited consent</w:t>
      </w:r>
      <w:r>
        <w:t xml:space="preserve"> </w:t>
      </w:r>
      <w:r>
        <w:t xml:space="preserve">and corresponds to the</w:t>
      </w:r>
      <w:r>
        <w:t xml:space="preserve"> </w:t>
      </w:r>
      <m:oMath>
        <m:r>
          <m:t>P</m:t>
        </m:r>
      </m:oMath>
      <w:r>
        <w:t xml:space="preserve"> </w:t>
      </w:r>
      <w:r>
        <w:t xml:space="preserve">component of the consent object.</w:t>
      </w:r>
    </w:p>
    <w:p>
      <w:pPr>
        <w:pStyle w:val="BodyText"/>
      </w:pPr>
      <w:r>
        <w:t xml:space="preserve">The</w:t>
      </w:r>
      <w:r>
        <w:t xml:space="preserve"> </w:t>
      </w:r>
      <w:r>
        <w:rPr>
          <w:b/>
          <w:bCs/>
        </w:rPr>
        <w:t xml:space="preserve">Designated Guardian DIDs</w:t>
      </w:r>
      <w:r>
        <w:t xml:space="preserve"> </w:t>
      </w:r>
      <w:r>
        <w:t xml:space="preserve">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pStyle w:val="BodyText"/>
      </w:pPr>
      <w:r>
        <w:t xml:space="preserve">Finally, the</w:t>
      </w:r>
      <w:r>
        <w:t xml:space="preserve"> </w:t>
      </w:r>
      <w:r>
        <w:rPr>
          <w:b/>
          <w:bCs/>
        </w:rPr>
        <w:t xml:space="preserve">Start Time</w:t>
      </w:r>
      <w:r>
        <w:t xml:space="preserve"> </w:t>
      </w:r>
      <w:r>
        <w:t xml:space="preserve">and</w:t>
      </w:r>
      <w:r>
        <w:t xml:space="preserve"> </w:t>
      </w:r>
      <w:r>
        <w:rPr>
          <w:b/>
          <w:bCs/>
        </w:rPr>
        <w:t xml:space="preserve">Expiry Time</w:t>
      </w:r>
      <w:r>
        <w:t xml:space="preserve"> </w:t>
      </w:r>
      <w:r>
        <w:t xml:space="preserve">implement temporal constraints on the consent. Consequently, authorisation is not represented as a permanent permission. Instead, the consent has a defined lifecycle and can subsequently be evaluated by the Consent Engine according to its temporal validity.</w:t>
      </w:r>
    </w:p>
    <w:p>
      <w:pPr>
        <w:pStyle w:val="BodyText"/>
      </w:pPr>
      <w:r>
        <w:t xml:space="preserve">From a system perspective, this module therefore corresponds primarily to</w:t>
      </w:r>
      <w:r>
        <w:t xml:space="preserve"> </w:t>
      </w:r>
      <w:r>
        <w:rPr>
          <w:b/>
          <w:bCs/>
        </w:rPr>
        <w:t xml:space="preserve">Consent Object Construction and Patient Initiation</w:t>
      </w:r>
      <w:r>
        <w:t xml:space="preserve">.</w:t>
      </w:r>
    </w:p>
    <w:bookmarkEnd w:id="141"/>
    <w:bookmarkStart w:id="145" w:name="guardian-cryptographic-approval"/>
    <w:p>
      <w:pPr>
        <w:pStyle w:val="Heading2"/>
      </w:pPr>
      <w:r>
        <w:t xml:space="preserve">7.3 Guardian Cryptographic Approval</w:t>
      </w:r>
    </w:p>
    <w:p>
      <w:pPr>
        <w:pStyle w:val="FirstParagraph"/>
      </w:pPr>
      <w:r>
        <w:t xml:space="preserve">The second part is the</w:t>
      </w:r>
      <w:r>
        <w:t xml:space="preserve"> </w:t>
      </w:r>
      <w:r>
        <w:rPr>
          <w:b/>
          <w:bCs/>
        </w:rPr>
        <w:t xml:space="preserve">Guardian Cryptographic Approval</w:t>
      </w:r>
      <w:r>
        <w:t xml:space="preserve">. As shown in the figure below, operationalises the multi-party authorisation component of the proposed framework.</w:t>
      </w:r>
    </w:p>
    <w:p>
      <w:pPr>
        <w:pStyle w:val="CaptionedFigure"/>
      </w:pPr>
      <w:r>
        <w:drawing>
          <wp:inline>
            <wp:extent cx="5465445" cy="2225799"/>
            <wp:effectExtent b="0" l="0" r="0" t="0"/>
            <wp:docPr descr="Figure 7.2: HALAH guardian subsystem – Guardian Cryptographic Approval" title="" id="143" name="Picture"/>
            <a:graphic>
              <a:graphicData uri="http://schemas.openxmlformats.org/drawingml/2006/picture">
                <pic:pic>
                  <pic:nvPicPr>
                    <pic:cNvPr descr="halah_media/media/image2.png" id="144" name="Picture"/>
                    <pic:cNvPicPr>
                      <a:picLocks noChangeArrowheads="1" noChangeAspect="1"/>
                    </pic:cNvPicPr>
                  </pic:nvPicPr>
                  <pic:blipFill>
                    <a:blip r:embed="rId142"/>
                    <a:stretch>
                      <a:fillRect/>
                    </a:stretch>
                  </pic:blipFill>
                  <pic:spPr bwMode="auto">
                    <a:xfrm>
                      <a:off x="0" y="0"/>
                      <a:ext cx="5465445" cy="2225799"/>
                    </a:xfrm>
                    <a:prstGeom prst="rect">
                      <a:avLst/>
                    </a:prstGeom>
                    <a:noFill/>
                    <a:ln w="9525">
                      <a:noFill/>
                      <a:headEnd/>
                      <a:tailEnd/>
                    </a:ln>
                  </pic:spPr>
                </pic:pic>
              </a:graphicData>
            </a:graphic>
          </wp:inline>
        </w:drawing>
      </w:r>
    </w:p>
    <w:p>
      <w:pPr>
        <w:pStyle w:val="ImageCaption"/>
      </w:pPr>
      <w:r>
        <w:t xml:space="preserve">Figure 7.2: HALAH guardian subsystem – Guardian Cryptographic Approval</w:t>
      </w:r>
    </w:p>
    <w:p>
      <w:pPr>
        <w:pStyle w:val="BodyText"/>
      </w:pPr>
      <w:r>
        <w:t xml:space="preserve">The guardian first enters the target</w:t>
      </w:r>
      <w:r>
        <w:t xml:space="preserve"> </w:t>
      </w:r>
      <w:r>
        <w:rPr>
          <w:b/>
          <w:bCs/>
        </w:rPr>
        <w:t xml:space="preserve">Consent ID</w:t>
      </w:r>
      <w:r>
        <w:t xml:space="preserve">, after which the system retrieves the corresponding active transaction and displays the associated patient DID. The guardian then selects and verifies their own Guardian DID identity.</w:t>
      </w:r>
    </w:p>
    <w:p>
      <w:pPr>
        <w:pStyle w:val="BodyText"/>
      </w:pPr>
      <w:r>
        <w:t xml:space="preserve">The subsystem subsequently reports:</w:t>
      </w:r>
    </w:p>
    <w:p>
      <w:pPr>
        <w:pStyle w:val="BodyText"/>
      </w:pPr>
      <w:r>
        <w:t xml:space="preserve">Identity verified. Multi-sig added: (2/2)</w:t>
      </w:r>
    </w:p>
    <w:p>
      <w:pPr>
        <w:pStyle w:val="BodyText"/>
      </w:pPr>
      <w:r>
        <w:t xml:space="preserve">This is an important implementation-level demonstration because the consent is not activated merely because the patient created it. Instead, the system requires the predefined guardian approval condition to be satisfied.</w:t>
      </w:r>
    </w:p>
    <w:p>
      <w:pPr>
        <w:pStyle w:val="BodyText"/>
      </w:pPr>
      <w:r>
        <w:t xml:space="preserve">The implementation therefore implements the logical authorisation rule:</w:t>
      </w:r>
    </w:p>
    <w:p>
      <w:pPr>
        <w:pStyle w:val="BodyText"/>
      </w:pPr>
      <m:oMathPara>
        <m:oMathParaPr>
          <m:jc m:val="center"/>
        </m:oMathParaPr>
        <m:oMath>
          <m:r>
            <m:t>D</m:t>
          </m:r>
          <m:r>
            <m:t>e</m:t>
          </m:r>
          <m:r>
            <m:t>c</m:t>
          </m:r>
          <m:r>
            <m:t>i</m:t>
          </m:r>
          <m:r>
            <m:t>s</m:t>
          </m:r>
          <m:r>
            <m:t>i</m:t>
          </m:r>
          <m:r>
            <m:t>o</m:t>
          </m:r>
          <m:r>
            <m:t>n</m:t>
          </m:r>
          <m:r>
            <m:rPr>
              <m:sty m:val="p"/>
            </m:rPr>
            <m:t>=</m:t>
          </m:r>
          <m:sSub>
            <m:e>
              <m:r>
                <m:t>V</m:t>
              </m:r>
            </m:e>
            <m:sub>
              <m:r>
                <m:t>I</m:t>
              </m:r>
            </m:sub>
          </m:sSub>
          <m:r>
            <m:rPr>
              <m:sty m:val="p"/>
            </m:rPr>
            <m:t>∧</m:t>
          </m:r>
          <m:sSub>
            <m:e>
              <m:r>
                <m:t>V</m:t>
              </m:r>
            </m:e>
            <m:sub>
              <m:r>
                <m:t>A</m:t>
              </m:r>
            </m:sub>
          </m:sSub>
          <m:r>
            <m:rPr>
              <m:sty m:val="p"/>
            </m:rPr>
            <m:t>∧</m:t>
          </m:r>
          <m:sSub>
            <m:e>
              <m:r>
                <m:t>V</m:t>
              </m:r>
            </m:e>
            <m:sub>
              <m:r>
                <m:t>P</m:t>
              </m:r>
            </m:sub>
          </m:sSub>
        </m:oMath>
      </m:oMathPara>
    </w:p>
    <w:p>
      <w:pPr>
        <w:pStyle w:val="FirstParagraph"/>
      </w:pPr>
      <w:r>
        <w:t xml:space="preserve">where identity verification, authorisation verification, and permission/scope verification must all be satisfied before access can be granted.</w:t>
      </w:r>
    </w:p>
    <w:p>
      <w:pPr>
        <w:pStyle w:val="BodyText"/>
      </w:pPr>
      <w:r>
        <w:t xml:space="preserve">For the demonstrated two-party guardian configuration, the approval process can also be represented as:</w:t>
      </w:r>
    </w:p>
    <w:p>
      <w:pPr>
        <w:pStyle w:val="BodyText"/>
      </w:pPr>
      <m:oMathPara>
        <m:oMathParaPr>
          <m:jc m:val="center"/>
        </m:oMathParaPr>
        <m:oMath>
          <m:nary>
            <m:naryPr>
              <m:chr m:val="∑"/>
              <m:limLoc m:val="undOvr"/>
              <m:subHide m:val="off"/>
              <m:supHide m:val="on"/>
            </m:naryPr>
            <m:sub>
              <m:r>
                <m:t>g</m:t>
              </m:r>
              <m:r>
                <m:rPr>
                  <m:sty m:val="p"/>
                </m:rPr>
                <m:t>∈</m:t>
              </m:r>
              <m:r>
                <m:t>G</m:t>
              </m:r>
            </m:sub>
            <m:sup>
              <m:r>
                <m:t>​</m:t>
              </m:r>
            </m:sup>
            <m:e>
              <m:r>
                <m:t>S</m:t>
              </m:r>
            </m:e>
          </m:nary>
          <m:r>
            <m:t>i</m:t>
          </m:r>
          <m:r>
            <m:t>g</m:t>
          </m:r>
          <m:r>
            <m:t>n</m:t>
          </m:r>
          <m:d>
            <m:dPr>
              <m:begChr m:val="("/>
              <m:sepChr m:val=""/>
              <m:endChr m:val=")"/>
              <m:grow/>
            </m:dPr>
            <m:e>
              <m:r>
                <m:t>g</m:t>
              </m:r>
              <m:r>
                <m:rPr>
                  <m:sty m:val="p"/>
                </m:rPr>
                <m:t>,</m:t>
              </m:r>
              <m:r>
                <m:t>C</m:t>
              </m:r>
            </m:e>
          </m:d>
          <m:r>
            <m:rPr>
              <m:sty m:val="p"/>
            </m:rPr>
            <m:t>≥</m:t>
          </m:r>
          <m:r>
            <m:t>2</m:t>
          </m:r>
        </m:oMath>
      </m:oMathPara>
    </w:p>
    <w:p>
      <w:pPr>
        <w:pStyle w:val="FirstParagraph"/>
      </w:pPr>
      <w:r>
        <w:t xml:space="preserve">where</w:t>
      </w:r>
      <w:r>
        <w:t xml:space="preserve"> </w:t>
      </w:r>
      <m:oMath>
        <m:r>
          <m:t>G</m:t>
        </m:r>
      </m:oMath>
      <w:r>
        <w:t xml:space="preserve"> </w:t>
      </w:r>
      <w:r>
        <w:t xml:space="preserve">represents the designated guardians and two valid signatures are required for activation. Once the required signatures have been obtained, the subsystem displays</w:t>
      </w:r>
      <w:r>
        <w:t xml:space="preserve"> </w:t>
      </w:r>
      <w:r>
        <w:rPr>
          <w:b/>
          <w:bCs/>
        </w:rPr>
        <w:t xml:space="preserve">SBT MINTED SUCCESS</w:t>
      </w:r>
      <w:r>
        <w:t xml:space="preserve"> </w:t>
      </w:r>
      <w:r>
        <w:t xml:space="preserve">together with the Soulbound Token identifier and the status as Consent Fully Activated. This provides a visible representation of the transition from a</w:t>
      </w:r>
      <w:r>
        <w:t xml:space="preserve"> </w:t>
      </w:r>
      <w:r>
        <w:rPr>
          <w:b/>
          <w:bCs/>
        </w:rPr>
        <w:t xml:space="preserve">pending consent transaction</w:t>
      </w:r>
      <w:r>
        <w:t xml:space="preserve"> </w:t>
      </w:r>
      <w:r>
        <w:t xml:space="preserve">to an</w:t>
      </w:r>
      <w:r>
        <w:t xml:space="preserve"> </w:t>
      </w:r>
      <w:r>
        <w:rPr>
          <w:b/>
          <w:bCs/>
        </w:rPr>
        <w:t xml:space="preserve">activated consent state</w:t>
      </w:r>
      <w:r>
        <w:t xml:space="preserve">. The SBT therefore functions in the implementation as a persistent cryptographic representation of the completed consent authorisation rather than as a transferable asset.</w:t>
      </w:r>
    </w:p>
    <w:p>
      <w:pPr>
        <w:pStyle w:val="BodyText"/>
      </w:pPr>
      <w:r>
        <w:t xml:space="preserve">The guardian subsystem consequently corresponds to</w:t>
      </w:r>
      <w:r>
        <w:t xml:space="preserve"> </w:t>
      </w:r>
      <w:r>
        <w:rPr>
          <w:b/>
          <w:bCs/>
        </w:rPr>
        <w:t xml:space="preserve">Multi-Party Approval, Cryptographic Verification and Consent Activation</w:t>
      </w:r>
      <w:r>
        <w:t xml:space="preserve"> </w:t>
      </w:r>
      <w:r>
        <w:t xml:space="preserve">in the proposed architecture.</w:t>
      </w:r>
    </w:p>
    <w:bookmarkEnd w:id="145"/>
    <w:bookmarkStart w:id="152" w:name="secure-patient-data-access-for-doctor"/>
    <w:p>
      <w:pPr>
        <w:pStyle w:val="Heading2"/>
      </w:pPr>
      <w:r>
        <w:t xml:space="preserve">7.4 Secure Patient Data Access for Doctor</w:t>
      </w:r>
    </w:p>
    <w:p>
      <w:pPr>
        <w:pStyle w:val="FirstParagraph"/>
      </w:pPr>
      <w:r>
        <w:t xml:space="preserve">The third module is the</w:t>
      </w:r>
      <w:r>
        <w:t xml:space="preserve"> </w:t>
      </w:r>
      <w:r>
        <w:rPr>
          <w:b/>
          <w:bCs/>
        </w:rPr>
        <w:t xml:space="preserve">Secure Patient Data Access</w:t>
      </w:r>
      <w:r>
        <w:t xml:space="preserve"> </w:t>
      </w:r>
      <w:r>
        <w:t xml:space="preserve">module and represents the healthcare-provider side of the authorisation process.</w:t>
      </w:r>
    </w:p>
    <w:p>
      <w:pPr>
        <w:pStyle w:val="BodyText"/>
      </w:pPr>
      <w:r>
        <w:t xml:space="preserve">The doctor enters an authorised Consent ID, after which the system retrieves and displays the associated consent information. The subsystem shows the patient DID, Consent ID, purpose, and current consent state:</w:t>
      </w:r>
    </w:p>
    <w:p>
      <w:pPr>
        <w:pStyle w:val="BodyText"/>
      </w:pPr>
      <m:oMathPara>
        <m:oMathParaPr>
          <m:jc m:val="center"/>
        </m:oMathParaPr>
        <m:oMath>
          <m:r>
            <m:t>S</m:t>
          </m:r>
          <m:r>
            <m:t>t</m:t>
          </m:r>
          <m:r>
            <m:t>a</m:t>
          </m:r>
          <m:r>
            <m:t>t</m:t>
          </m:r>
          <m:r>
            <m:t>e</m:t>
          </m:r>
          <m:r>
            <m:rPr>
              <m:sty m:val="p"/>
            </m:rPr>
            <m:t>=</m:t>
          </m:r>
          <m:r>
            <m:t>A</m:t>
          </m:r>
          <m:r>
            <m:t>C</m:t>
          </m:r>
          <m:r>
            <m:t>T</m:t>
          </m:r>
          <m:r>
            <m:t>I</m:t>
          </m:r>
          <m:r>
            <m:t>V</m:t>
          </m:r>
          <m:r>
            <m:t>E</m:t>
          </m:r>
        </m:oMath>
      </m:oMathPara>
    </w:p>
    <w:p>
      <w:pPr>
        <w:pStyle w:val="FirstParagraph"/>
      </w:pPr>
      <w:r>
        <w:t xml:space="preserve">This is important because the doctor does not directly access patient data based solely on possession of a Consent ID. The system first evaluates whether the underlying authorisation remains valid.</w:t>
      </w:r>
    </w:p>
    <w:p>
      <w:pPr>
        <w:pStyle w:val="CaptionedFigure"/>
      </w:pPr>
      <w:r>
        <w:drawing>
          <wp:inline>
            <wp:extent cx="5465445" cy="3388081"/>
            <wp:effectExtent b="0" l="0" r="0" t="0"/>
            <wp:docPr descr="Figure 7.3: HALAH doctor subsystem – consent information, state and authorised data scope" title="" id="147" name="Picture"/>
            <a:graphic>
              <a:graphicData uri="http://schemas.openxmlformats.org/drawingml/2006/picture">
                <pic:pic>
                  <pic:nvPicPr>
                    <pic:cNvPr descr="halah_media/media/image3.png" id="148" name="Picture"/>
                    <pic:cNvPicPr>
                      <a:picLocks noChangeArrowheads="1" noChangeAspect="1"/>
                    </pic:cNvPicPr>
                  </pic:nvPicPr>
                  <pic:blipFill>
                    <a:blip r:embed="rId146"/>
                    <a:stretch>
                      <a:fillRect/>
                    </a:stretch>
                  </pic:blipFill>
                  <pic:spPr bwMode="auto">
                    <a:xfrm>
                      <a:off x="0" y="0"/>
                      <a:ext cx="5465445" cy="3388081"/>
                    </a:xfrm>
                    <a:prstGeom prst="rect">
                      <a:avLst/>
                    </a:prstGeom>
                    <a:noFill/>
                    <a:ln w="9525">
                      <a:noFill/>
                      <a:headEnd/>
                      <a:tailEnd/>
                    </a:ln>
                  </pic:spPr>
                </pic:pic>
              </a:graphicData>
            </a:graphic>
          </wp:inline>
        </w:drawing>
      </w:r>
    </w:p>
    <w:p>
      <w:pPr>
        <w:pStyle w:val="ImageCaption"/>
      </w:pPr>
      <w:r>
        <w:t xml:space="preserve">Figure 7.3: HALAH doctor subsystem – consent information, state and authorised data scope</w:t>
      </w:r>
    </w:p>
    <w:p>
      <w:pPr>
        <w:pStyle w:val="BodyText"/>
      </w:pPr>
      <w:r>
        <w:t xml:space="preserve">The subsystem then presents the</w:t>
      </w:r>
      <w:r>
        <w:t xml:space="preserve"> </w:t>
      </w:r>
      <w:r>
        <w:rPr>
          <w:b/>
          <w:bCs/>
        </w:rPr>
        <w:t xml:space="preserve">Authorised Data Scope</w:t>
      </w:r>
      <w:r>
        <w:t xml:space="preserve">, showing that only the EMR modules specified in the original consent are available. In the demonstrated transaction, the authorised modules are:</w:t>
      </w:r>
    </w:p>
    <w:p>
      <w:pPr>
        <w:pStyle w:val="BodyText"/>
      </w:pPr>
      <m:oMathPara>
        <m:oMathParaPr>
          <m:jc m:val="center"/>
        </m:oMathParaPr>
        <m:oMath>
          <m:r>
            <m:t>S</m:t>
          </m:r>
          <m:r>
            <m:t>c</m:t>
          </m:r>
          <m:r>
            <m:t>o</m:t>
          </m:r>
          <m:r>
            <m:t>p</m:t>
          </m:r>
          <m:r>
            <m:t>e</m:t>
          </m:r>
          <m:r>
            <m:rPr>
              <m:sty m:val="p"/>
            </m:rPr>
            <m:t>=</m:t>
          </m:r>
          <m:d>
            <m:dPr>
              <m:begChr m:val="{"/>
              <m:sepChr m:val=""/>
              <m:endChr m:val="}"/>
              <m:grow/>
            </m:dPr>
            <m:e>
              <m:r>
                <m:rPr>
                  <m:nor/>
                </m:rPr>
                <m:t>Medication</m:t>
              </m:r>
              <m:r>
                <m:rPr>
                  <m:sty m:val="p"/>
                </m:rPr>
                <m:t>,</m:t>
              </m:r>
              <m:r>
                <m:rPr>
                  <m:nor/>
                </m:rPr>
                <m:t>Procedure</m:t>
              </m:r>
            </m:e>
          </m:d>
        </m:oMath>
      </m:oMathPara>
    </w:p>
    <w:p>
      <w:pPr>
        <w:pStyle w:val="FirstParagraph"/>
      </w:pPr>
      <w:r>
        <w:t xml:space="preserve">The doctor must subsequently select the modules to request. The system displays the requested modules and performs cryptographic verification before granting access.</w:t>
      </w:r>
    </w:p>
    <w:p>
      <w:pPr>
        <w:pStyle w:val="BodyText"/>
      </w:pPr>
      <w:r>
        <w:t xml:space="preserve">The message shows Cryptographic Verification Successful — Access Granted.</w:t>
      </w:r>
    </w:p>
    <w:p>
      <w:pPr>
        <w:pStyle w:val="BodyText"/>
      </w:pPr>
      <w:r>
        <w:t xml:space="preserve">demonstrates the transition from</w:t>
      </w:r>
      <w:r>
        <w:t xml:space="preserve"> </w:t>
      </w:r>
      <w:r>
        <w:rPr>
          <w:b/>
          <w:bCs/>
        </w:rPr>
        <w:t xml:space="preserve">consent verification</w:t>
      </w:r>
      <w:r>
        <w:t xml:space="preserve"> </w:t>
      </w:r>
      <w:r>
        <w:t xml:space="preserve">to</w:t>
      </w:r>
      <w:r>
        <w:t xml:space="preserve"> </w:t>
      </w:r>
      <w:r>
        <w:rPr>
          <w:b/>
          <w:bCs/>
        </w:rPr>
        <w:t xml:space="preserve">data-access authorisation</w:t>
      </w:r>
      <w:r>
        <w:t xml:space="preserve">.</w:t>
      </w:r>
    </w:p>
    <w:p>
      <w:pPr>
        <w:pStyle w:val="CaptionedFigure"/>
      </w:pPr>
      <w:r>
        <w:drawing>
          <wp:inline>
            <wp:extent cx="5465445" cy="3048937"/>
            <wp:effectExtent b="0" l="0" r="0" t="0"/>
            <wp:docPr descr="Figure 7.4: HALAH doctor subsystem – requested modules, access decision and authorised medical records" title="" id="150" name="Picture"/>
            <a:graphic>
              <a:graphicData uri="http://schemas.openxmlformats.org/drawingml/2006/picture">
                <pic:pic>
                  <pic:nvPicPr>
                    <pic:cNvPr descr="halah_media/media/image4.png" id="151" name="Picture"/>
                    <pic:cNvPicPr>
                      <a:picLocks noChangeArrowheads="1" noChangeAspect="1"/>
                    </pic:cNvPicPr>
                  </pic:nvPicPr>
                  <pic:blipFill>
                    <a:blip r:embed="rId149"/>
                    <a:stretch>
                      <a:fillRect/>
                    </a:stretch>
                  </pic:blipFill>
                  <pic:spPr bwMode="auto">
                    <a:xfrm>
                      <a:off x="0" y="0"/>
                      <a:ext cx="5465445" cy="3048937"/>
                    </a:xfrm>
                    <a:prstGeom prst="rect">
                      <a:avLst/>
                    </a:prstGeom>
                    <a:noFill/>
                    <a:ln w="9525">
                      <a:noFill/>
                      <a:headEnd/>
                      <a:tailEnd/>
                    </a:ln>
                  </pic:spPr>
                </pic:pic>
              </a:graphicData>
            </a:graphic>
          </wp:inline>
        </w:drawing>
      </w:r>
    </w:p>
    <w:p>
      <w:pPr>
        <w:pStyle w:val="ImageCaption"/>
      </w:pPr>
      <w:r>
        <w:t xml:space="preserve">Figure 7.4: HALAH doctor subsystem – requested modules, access decision and authorised medical records</w:t>
      </w:r>
    </w:p>
    <w:p>
      <w:pPr>
        <w:pStyle w:val="BodyText"/>
      </w:pPr>
      <w:r>
        <w:t xml:space="preserve">This distinction is central to the HALAH design. Consent and data access are not treated as identical events. Instead, it goes the flow as below</w:t>
      </w:r>
    </w:p>
    <w:p>
      <w:pPr>
        <w:pStyle w:val="BodyText"/>
      </w:pPr>
      <m:oMathPara>
        <m:oMathParaPr>
          <m:jc m:val="center"/>
        </m:oMathParaPr>
        <m:oMath>
          <m:r>
            <m:t>C</m:t>
          </m:r>
          <m:r>
            <m:t>o</m:t>
          </m:r>
          <m:r>
            <m:t>n</m:t>
          </m:r>
          <m:r>
            <m:t>s</m:t>
          </m:r>
          <m:r>
            <m:t>e</m:t>
          </m:r>
          <m:r>
            <m:t>n</m:t>
          </m:r>
          <m:r>
            <m:t>t</m:t>
          </m:r>
          <m:r>
            <m:rPr>
              <m:sty m:val="p"/>
            </m:rPr>
            <m:t>→</m:t>
          </m:r>
          <m:r>
            <m:t>V</m:t>
          </m:r>
          <m:r>
            <m:t>e</m:t>
          </m:r>
          <m:r>
            <m:t>r</m:t>
          </m:r>
          <m:r>
            <m:t>i</m:t>
          </m:r>
          <m:r>
            <m:t>f</m:t>
          </m:r>
          <m:r>
            <m:t>i</m:t>
          </m:r>
          <m:r>
            <m:t>c</m:t>
          </m:r>
          <m:r>
            <m:t>a</m:t>
          </m:r>
          <m:r>
            <m:t>t</m:t>
          </m:r>
          <m:r>
            <m:t>i</m:t>
          </m:r>
          <m:r>
            <m:t>o</m:t>
          </m:r>
          <m:r>
            <m:t>n</m:t>
          </m:r>
          <m:r>
            <m:rPr>
              <m:sty m:val="p"/>
            </m:rPr>
            <m:t>→</m:t>
          </m:r>
          <m:r>
            <m:t>A</m:t>
          </m:r>
          <m:r>
            <m:t>c</m:t>
          </m:r>
          <m:r>
            <m:t>c</m:t>
          </m:r>
          <m:r>
            <m:t>e</m:t>
          </m:r>
          <m:r>
            <m:t>s</m:t>
          </m:r>
          <m:r>
            <m:t>s</m:t>
          </m:r>
          <m:r>
            <m:t>D</m:t>
          </m:r>
          <m:r>
            <m:t>e</m:t>
          </m:r>
          <m:r>
            <m:t>c</m:t>
          </m:r>
          <m:r>
            <m:t>i</m:t>
          </m:r>
          <m:r>
            <m:t>s</m:t>
          </m:r>
          <m:r>
            <m:t>i</m:t>
          </m:r>
          <m:r>
            <m:t>o</m:t>
          </m:r>
          <m:r>
            <m:t>n</m:t>
          </m:r>
        </m:oMath>
      </m:oMathPara>
    </w:p>
    <w:p>
      <w:pPr>
        <w:pStyle w:val="FirstParagraph"/>
      </w:pPr>
      <w:r>
        <w:t xml:space="preserve">The doctor is therefore authorised only when the requested resources are consistent with the consent object and the consent remains active.</w:t>
      </w:r>
    </w:p>
    <w:p>
      <w:pPr>
        <w:pStyle w:val="BodyText"/>
      </w:pPr>
      <w:r>
        <w:t xml:space="preserve">The final</w:t>
      </w:r>
      <w:r>
        <w:t xml:space="preserve"> </w:t>
      </w:r>
      <w:r>
        <w:rPr>
          <w:b/>
          <w:bCs/>
        </w:rPr>
        <w:t xml:space="preserve">Authorised Medical Records</w:t>
      </w:r>
      <w:r>
        <w:t xml:space="preserve"> </w:t>
      </w:r>
      <w:r>
        <w:t xml:space="preserve">section presents the actual data modules available to the doctor. Because the subsystem separates MEDICATION and PROCEDURE modules, it provides a direct visual demonstration of</w:t>
      </w:r>
      <w:r>
        <w:t xml:space="preserve"> </w:t>
      </w:r>
      <w:r>
        <w:rPr>
          <w:b/>
          <w:bCs/>
        </w:rPr>
        <w:t xml:space="preserve">fine-grained EMR access control</w:t>
      </w:r>
      <w:r>
        <w:t xml:space="preserve">.</w:t>
      </w:r>
    </w:p>
    <w:p>
      <w:pPr>
        <w:pStyle w:val="BodyText"/>
      </w:pPr>
      <w:r>
        <w:t xml:space="preserve">Thus, the doctor subsystem corresponds to</w:t>
      </w:r>
      <w:r>
        <w:t xml:space="preserve"> </w:t>
      </w:r>
      <w:r>
        <w:rPr>
          <w:b/>
          <w:bCs/>
        </w:rPr>
        <w:t xml:space="preserve">Consent-State Validation, Scope Enforcement and Authorised Data Access</w:t>
      </w:r>
      <w:r>
        <w:t xml:space="preserve">.</w:t>
      </w:r>
    </w:p>
    <w:bookmarkEnd w:id="152"/>
    <w:bookmarkStart w:id="156" w:name="X57c96dacccf675fd0ab00cb69daa4402dc4878a"/>
    <w:p>
      <w:pPr>
        <w:pStyle w:val="Heading2"/>
      </w:pPr>
      <w:r>
        <w:t xml:space="preserve">7.5 Blockchain Audit &amp; Consent Lifecycle for Auditor</w:t>
      </w:r>
    </w:p>
    <w:p>
      <w:pPr>
        <w:pStyle w:val="FirstParagraph"/>
      </w:pPr>
      <w:r>
        <w:t xml:space="preserve">The fourth major module is the</w:t>
      </w:r>
      <w:r>
        <w:t xml:space="preserve"> </w:t>
      </w:r>
      <w:r>
        <w:rPr>
          <w:b/>
          <w:bCs/>
        </w:rPr>
        <w:t xml:space="preserve">Blockchain Audit &amp; Consent Lifecycle</w:t>
      </w:r>
      <w:r>
        <w:t xml:space="preserve"> </w:t>
      </w:r>
      <w:r>
        <w:t xml:space="preserve">module. This subsystem provides an independent view of the complete consent process and corresponds to the auditability and accountability component of the HALAH framework.</w:t>
      </w:r>
    </w:p>
    <w:p>
      <w:pPr>
        <w:pStyle w:val="CaptionedFigure"/>
      </w:pPr>
      <w:r>
        <w:drawing>
          <wp:inline>
            <wp:extent cx="5465445" cy="2905354"/>
            <wp:effectExtent b="0" l="0" r="0" t="0"/>
            <wp:docPr descr="Figure 7.5: HALAH auditor subsystem – Blockchain Audit &amp; Consent Lifecycle" title="" id="154" name="Picture"/>
            <a:graphic>
              <a:graphicData uri="http://schemas.openxmlformats.org/drawingml/2006/picture">
                <pic:pic>
                  <pic:nvPicPr>
                    <pic:cNvPr descr="halah_media/media/image5.png" id="155" name="Picture"/>
                    <pic:cNvPicPr>
                      <a:picLocks noChangeArrowheads="1" noChangeAspect="1"/>
                    </pic:cNvPicPr>
                  </pic:nvPicPr>
                  <pic:blipFill>
                    <a:blip r:embed="rId153"/>
                    <a:stretch>
                      <a:fillRect/>
                    </a:stretch>
                  </pic:blipFill>
                  <pic:spPr bwMode="auto">
                    <a:xfrm>
                      <a:off x="0" y="0"/>
                      <a:ext cx="5465445" cy="2905354"/>
                    </a:xfrm>
                    <a:prstGeom prst="rect">
                      <a:avLst/>
                    </a:prstGeom>
                    <a:noFill/>
                    <a:ln w="9525">
                      <a:noFill/>
                      <a:headEnd/>
                      <a:tailEnd/>
                    </a:ln>
                  </pic:spPr>
                </pic:pic>
              </a:graphicData>
            </a:graphic>
          </wp:inline>
        </w:drawing>
      </w:r>
    </w:p>
    <w:p>
      <w:pPr>
        <w:pStyle w:val="ImageCaption"/>
      </w:pPr>
      <w:r>
        <w:t xml:space="preserve">Figure 7.5: HALAH auditor subsystem – Blockchain Audit &amp; Consent Lifecycle</w:t>
      </w:r>
    </w:p>
    <w:p>
      <w:pPr>
        <w:pStyle w:val="BodyText"/>
      </w:pPr>
      <w:r>
        <w:t xml:space="preserve">As shown in the figure above, the system first provides aggregate indicators including:</w:t>
      </w:r>
    </w:p>
    <w:p>
      <w:pPr>
        <w:pStyle w:val="BodyText"/>
      </w:pPr>
      <m:oMathPara>
        <m:oMathParaPr>
          <m:jc m:val="center"/>
        </m:oMathParaPr>
        <m:oMath>
          <m:m>
            <m:mPr>
              <m:baseJc m:val="center"/>
              <m:plcHide m:val="on"/>
              <m:mcs>
                <m:mc>
                  <m:mcPr>
                    <m:count m:val="1"/>
                    <m:mcJc m:val="left"/>
                  </m:mcPr>
                </m:mc>
              </m:mcs>
            </m:mPr>
            <m:mr>
              <m:e>
                <m:r>
                  <m:rPr>
                    <m:nor/>
                  </m:rPr>
                  <m:t>Total Events</m:t>
                </m:r>
                <m:r>
                  <m:rPr>
                    <m:sty m:val="p"/>
                  </m:rPr>
                  <m:t>=</m:t>
                </m:r>
                <m:r>
                  <m:t>21</m:t>
                </m:r>
              </m:e>
            </m:mr>
            <m:mr>
              <m:e>
                <m:r>
                  <m:rPr>
                    <m:nor/>
                  </m:rPr>
                  <m:t>Consent Events</m:t>
                </m:r>
                <m:r>
                  <m:rPr>
                    <m:sty m:val="p"/>
                  </m:rPr>
                  <m:t>=</m:t>
                </m:r>
                <m:r>
                  <m:t>3</m:t>
                </m:r>
              </m:e>
            </m:mr>
            <m:mr>
              <m:e>
                <m:r>
                  <m:rPr>
                    <m:nor/>
                  </m:rPr>
                  <m:t>Access Requests</m:t>
                </m:r>
                <m:r>
                  <m:rPr>
                    <m:sty m:val="p"/>
                  </m:rPr>
                  <m:t>=</m:t>
                </m:r>
                <m:r>
                  <m:t>3</m:t>
                </m:r>
              </m:e>
            </m:mr>
          </m:m>
        </m:oMath>
      </m:oMathPara>
    </w:p>
    <w:p>
      <w:pPr>
        <w:pStyle w:val="FirstParagraph"/>
      </w:pPr>
      <w:r>
        <w:t xml:space="preserve">and:</w:t>
      </w:r>
    </w:p>
    <w:p>
      <w:pPr>
        <w:pStyle w:val="BodyText"/>
      </w:pPr>
      <m:oMathPara>
        <m:oMathParaPr>
          <m:jc m:val="center"/>
        </m:oMathParaPr>
        <m:oMath>
          <m:r>
            <m:rPr>
              <m:nor/>
            </m:rPr>
            <m:t>Blockchain Integrity</m:t>
          </m:r>
          <m:r>
            <m:rPr>
              <m:sty m:val="p"/>
            </m:rPr>
            <m:t>=</m:t>
          </m:r>
          <m:r>
            <m:rPr>
              <m:nor/>
            </m:rPr>
            <m:t>VERIFIED</m:t>
          </m:r>
        </m:oMath>
      </m:oMathPara>
    </w:p>
    <w:p>
      <w:pPr>
        <w:pStyle w:val="FirstParagraph"/>
      </w:pPr>
      <w:r>
        <w:t xml:space="preserve">These indicators give the auditor an immediate overview of the recorded system activity and the integrity status of the underlying ledger.</w:t>
      </w:r>
    </w:p>
    <w:p>
      <w:pPr>
        <w:pStyle w:val="BodyText"/>
      </w:pPr>
      <w:r>
        <w:t xml:space="preserve">More importantly, the</w:t>
      </w:r>
      <w:r>
        <w:t xml:space="preserve"> </w:t>
      </w:r>
      <w:r>
        <w:rPr>
          <w:b/>
          <w:bCs/>
        </w:rPr>
        <w:t xml:space="preserve">Consent Lifecycle</w:t>
      </w:r>
      <w:r>
        <w:t xml:space="preserve"> </w:t>
      </w:r>
      <w:r>
        <w:t xml:space="preserve">section reconstructs the sequence of events associated with a particular consent. The displayed records include:</w:t>
      </w:r>
      <w:r>
        <w:t xml:space="preserve"> </w:t>
      </w:r>
      <m:oMath>
        <m:r>
          <m:t>C</m:t>
        </m:r>
        <m:r>
          <m:t>R</m:t>
        </m:r>
        <m:r>
          <m:t>E</m:t>
        </m:r>
        <m:r>
          <m:t>A</m:t>
        </m:r>
        <m:r>
          <m:t>T</m:t>
        </m:r>
        <m:r>
          <m:t>E</m:t>
        </m:r>
        <m:r>
          <m:rPr>
            <m:nor/>
          </m:rPr>
          <m:t>_</m:t>
        </m:r>
        <m:r>
          <m:t>C</m:t>
        </m:r>
        <m:r>
          <m:t>O</m:t>
        </m:r>
        <m:r>
          <m:t>N</m:t>
        </m:r>
        <m:r>
          <m:t>S</m:t>
        </m:r>
        <m:r>
          <m:t>E</m:t>
        </m:r>
        <m:r>
          <m:t>N</m:t>
        </m:r>
        <m:r>
          <m:t>T</m:t>
        </m:r>
      </m:oMath>
    </w:p>
    <w:p>
      <w:pPr>
        <w:pStyle w:val="BodyText"/>
      </w:pPr>
      <w:r>
        <w:t xml:space="preserve">performed by the patient, followed by:</w:t>
      </w:r>
      <w:r>
        <w:t xml:space="preserve"> </w:t>
      </w:r>
      <m:oMath>
        <m:r>
          <m:t>S</m:t>
        </m:r>
        <m:r>
          <m:t>I</m:t>
        </m:r>
        <m:r>
          <m:t>G</m:t>
        </m:r>
        <m:r>
          <m:t>N</m:t>
        </m:r>
        <m:r>
          <m:rPr>
            <m:nor/>
          </m:rPr>
          <m:t>_</m:t>
        </m:r>
        <m:r>
          <m:t>C</m:t>
        </m:r>
        <m:r>
          <m:t>O</m:t>
        </m:r>
        <m:r>
          <m:t>N</m:t>
        </m:r>
        <m:r>
          <m:t>S</m:t>
        </m:r>
        <m:r>
          <m:t>E</m:t>
        </m:r>
        <m:r>
          <m:t>N</m:t>
        </m:r>
        <m:r>
          <m:t>T</m:t>
        </m:r>
      </m:oMath>
    </w:p>
    <w:p>
      <w:pPr>
        <w:pStyle w:val="BodyText"/>
      </w:pPr>
      <w:r>
        <w:t xml:space="preserve">performed by the guardians, followed by:</w:t>
      </w:r>
      <w:r>
        <w:t xml:space="preserve"> </w:t>
      </w:r>
      <m:oMath>
        <m:r>
          <m:t>M</m:t>
        </m:r>
        <m:r>
          <m:t>I</m:t>
        </m:r>
        <m:r>
          <m:t>N</m:t>
        </m:r>
        <m:r>
          <m:t>T</m:t>
        </m:r>
        <m:r>
          <m:rPr>
            <m:nor/>
          </m:rPr>
          <m:t>_</m:t>
        </m:r>
        <m:r>
          <m:t>S</m:t>
        </m:r>
        <m:r>
          <m:t>B</m:t>
        </m:r>
        <m:r>
          <m:t>T</m:t>
        </m:r>
      </m:oMath>
    </w:p>
    <w:p>
      <w:pPr>
        <w:pStyle w:val="BodyText"/>
      </w:pPr>
      <w:r>
        <w:t xml:space="preserve">performed by the smart contract.</w:t>
      </w:r>
    </w:p>
    <w:p>
      <w:pPr>
        <w:pStyle w:val="BodyText"/>
      </w:pPr>
      <w:r>
        <w:t xml:space="preserve">The subsequent system events:</w:t>
      </w:r>
      <w:r>
        <w:t xml:space="preserve"> </w:t>
      </w:r>
      <m:oMath>
        <m:r>
          <m:t>S</m:t>
        </m:r>
        <m:r>
          <m:t>T</m:t>
        </m:r>
        <m:r>
          <m:t>A</m:t>
        </m:r>
        <m:r>
          <m:t>T</m:t>
        </m:r>
        <m:r>
          <m:t>E</m:t>
        </m:r>
        <m:r>
          <m:rPr>
            <m:nor/>
          </m:rPr>
          <m:t>_</m:t>
        </m:r>
        <m:r>
          <m:t>C</m:t>
        </m:r>
        <m:r>
          <m:t>H</m:t>
        </m:r>
        <m:r>
          <m:t>E</m:t>
        </m:r>
        <m:r>
          <m:t>C</m:t>
        </m:r>
        <m:r>
          <m:t>K</m:t>
        </m:r>
      </m:oMath>
    </w:p>
    <w:p>
      <w:pPr>
        <w:pStyle w:val="BodyText"/>
      </w:pPr>
      <w:r>
        <w:t xml:space="preserve">demonstrate that the Consent Engine continuously evaluates the state of the authorisation. Finally, the doctor generates:</w:t>
      </w:r>
      <w:r>
        <w:t xml:space="preserve"> </w:t>
      </w:r>
      <m:oMath>
        <m:r>
          <m:t>D</m:t>
        </m:r>
        <m:r>
          <m:t>A</m:t>
        </m:r>
        <m:r>
          <m:t>T</m:t>
        </m:r>
        <m:r>
          <m:t>A</m:t>
        </m:r>
        <m:r>
          <m:rPr>
            <m:nor/>
          </m:rPr>
          <m:t>_</m:t>
        </m:r>
        <m:r>
          <m:t>A</m:t>
        </m:r>
        <m:r>
          <m:t>C</m:t>
        </m:r>
        <m:r>
          <m:t>C</m:t>
        </m:r>
        <m:r>
          <m:t>E</m:t>
        </m:r>
        <m:r>
          <m:t>S</m:t>
        </m:r>
        <m:r>
          <m:t>S</m:t>
        </m:r>
      </m:oMath>
    </w:p>
    <w:p>
      <w:pPr>
        <w:pStyle w:val="BodyText"/>
      </w:pPr>
      <w:r>
        <w:t xml:space="preserve">with the result:</w:t>
      </w:r>
      <w:r>
        <w:t xml:space="preserve"> </w:t>
      </w:r>
      <m:oMath>
        <m:r>
          <m:t>G</m:t>
        </m:r>
        <m:r>
          <m:t>R</m:t>
        </m:r>
        <m:r>
          <m:t>A</m:t>
        </m:r>
        <m:r>
          <m:t>N</m:t>
        </m:r>
        <m:r>
          <m:t>T</m:t>
        </m:r>
        <m:r>
          <m:t>E</m:t>
        </m:r>
        <m:r>
          <m:t>D</m:t>
        </m:r>
      </m:oMath>
    </w:p>
    <w:p>
      <w:pPr>
        <w:pStyle w:val="BodyText"/>
      </w:pPr>
      <w:r>
        <w:t xml:space="preserve">This produces an explicit chain of evidence as</w:t>
      </w:r>
    </w:p>
    <w:p>
      <w:pPr>
        <w:pStyle w:val="BodyText"/>
      </w:pPr>
      <m:oMathPara>
        <m:oMathParaPr>
          <m:jc m:val="center"/>
        </m:oMathParaPr>
        <m:oMath>
          <m:m>
            <m:mPr>
              <m:baseJc m:val="center"/>
              <m:plcHide m:val="on"/>
              <m:mcs>
                <m:mc>
                  <m:mcPr>
                    <m:count m:val="1"/>
                    <m:mcJc m:val="left"/>
                  </m:mcPr>
                </m:mc>
              </m:mcs>
            </m:mPr>
            <m:mr>
              <m:e>
                <m:r>
                  <m:t>P</m:t>
                </m:r>
                <m:r>
                  <m:t>a</m:t>
                </m:r>
                <m:r>
                  <m:t>t</m:t>
                </m:r>
                <m:r>
                  <m:t>i</m:t>
                </m:r>
                <m:r>
                  <m:t>e</m:t>
                </m:r>
                <m:r>
                  <m:t>n</m:t>
                </m:r>
                <m:r>
                  <m:t>t</m:t>
                </m:r>
                <m:r>
                  <m:rPr>
                    <m:sty m:val="p"/>
                  </m:rPr>
                  <m:t>→</m:t>
                </m:r>
                <m:r>
                  <m:t>G</m:t>
                </m:r>
                <m:r>
                  <m:t>u</m:t>
                </m:r>
                <m:r>
                  <m:t>a</m:t>
                </m:r>
                <m:r>
                  <m:t>r</m:t>
                </m:r>
                <m:r>
                  <m:t>d</m:t>
                </m:r>
                <m:r>
                  <m:t>i</m:t>
                </m:r>
                <m:r>
                  <m:t>a</m:t>
                </m:r>
                <m:sSub>
                  <m:e>
                    <m:r>
                      <m:t>n</m:t>
                    </m:r>
                  </m:e>
                  <m:sub>
                    <m:r>
                      <m:t>A</m:t>
                    </m:r>
                  </m:sub>
                </m:sSub>
                <m:r>
                  <m:rPr>
                    <m:sty m:val="p"/>
                  </m:rPr>
                  <m:t>→</m:t>
                </m:r>
                <m:r>
                  <m:t>G</m:t>
                </m:r>
                <m:r>
                  <m:t>u</m:t>
                </m:r>
                <m:r>
                  <m:t>a</m:t>
                </m:r>
                <m:r>
                  <m:t>r</m:t>
                </m:r>
                <m:r>
                  <m:t>d</m:t>
                </m:r>
                <m:r>
                  <m:t>i</m:t>
                </m:r>
                <m:r>
                  <m:t>a</m:t>
                </m:r>
                <m:sSub>
                  <m:e>
                    <m:r>
                      <m:t>n</m:t>
                    </m:r>
                  </m:e>
                  <m:sub>
                    <m:r>
                      <m:t>B</m:t>
                    </m:r>
                  </m:sub>
                </m:sSub>
              </m:e>
            </m:mr>
            <m:mr>
              <m:e>
                <m:r>
                  <m:rPr>
                    <m:sty m:val="p"/>
                  </m:rPr>
                  <m:t>→</m:t>
                </m:r>
                <m:r>
                  <m:t>S</m:t>
                </m:r>
                <m:r>
                  <m:t>m</m:t>
                </m:r>
                <m:r>
                  <m:t>a</m:t>
                </m:r>
                <m:r>
                  <m:t>r</m:t>
                </m:r>
                <m:r>
                  <m:t>t</m:t>
                </m:r>
                <m:r>
                  <m:t>C</m:t>
                </m:r>
                <m:r>
                  <m:t>o</m:t>
                </m:r>
                <m:r>
                  <m:t>n</m:t>
                </m:r>
                <m:r>
                  <m:t>t</m:t>
                </m:r>
                <m:r>
                  <m:t>r</m:t>
                </m:r>
                <m:r>
                  <m:t>a</m:t>
                </m:r>
                <m:r>
                  <m:t>c</m:t>
                </m:r>
                <m:r>
                  <m:t>t</m:t>
                </m:r>
                <m:r>
                  <m:rPr>
                    <m:sty m:val="p"/>
                  </m:rPr>
                  <m:t>→</m:t>
                </m:r>
                <m:r>
                  <m:t>C</m:t>
                </m:r>
                <m:r>
                  <m:t>o</m:t>
                </m:r>
                <m:r>
                  <m:t>n</m:t>
                </m:r>
                <m:r>
                  <m:t>s</m:t>
                </m:r>
                <m:r>
                  <m:t>e</m:t>
                </m:r>
                <m:r>
                  <m:t>n</m:t>
                </m:r>
                <m:r>
                  <m:t>t</m:t>
                </m:r>
                <m:r>
                  <m:t>E</m:t>
                </m:r>
                <m:r>
                  <m:t>n</m:t>
                </m:r>
                <m:r>
                  <m:t>g</m:t>
                </m:r>
                <m:r>
                  <m:t>i</m:t>
                </m:r>
                <m:r>
                  <m:t>n</m:t>
                </m:r>
                <m:r>
                  <m:t>e</m:t>
                </m:r>
                <m:r>
                  <m:rPr>
                    <m:sty m:val="p"/>
                  </m:rPr>
                  <m:t>→</m:t>
                </m:r>
                <m:r>
                  <m:t>D</m:t>
                </m:r>
                <m:r>
                  <m:t>o</m:t>
                </m:r>
                <m:r>
                  <m:t>c</m:t>
                </m:r>
                <m:r>
                  <m:t>t</m:t>
                </m:r>
                <m:r>
                  <m:t>o</m:t>
                </m:r>
                <m:r>
                  <m:t>r</m:t>
                </m:r>
              </m:e>
            </m:mr>
          </m:m>
        </m:oMath>
      </m:oMathPara>
    </w:p>
    <w:p>
      <w:pPr>
        <w:pStyle w:val="FirstParagraph"/>
      </w:pPr>
      <w:r>
        <w:t xml:space="preserve">The audit subsystem therefore allows an auditor to reconstruct not only</w:t>
      </w:r>
      <w:r>
        <w:t xml:space="preserve"> </w:t>
      </w:r>
      <w:r>
        <w:rPr>
          <w:b/>
          <w:bCs/>
        </w:rPr>
        <w:t xml:space="preserve">who accessed the data</w:t>
      </w:r>
      <w:r>
        <w:t xml:space="preserve">, but also</w:t>
      </w:r>
      <w:r>
        <w:t xml:space="preserve"> </w:t>
      </w:r>
      <w:r>
        <w:rPr>
          <w:b/>
          <w:bCs/>
        </w:rPr>
        <w:t xml:space="preserve">why that access was permitted</w:t>
      </w:r>
      <w:r>
        <w:t xml:space="preserve">, because the access event can be associated with the preceding consent creation, guardian approvals, consent activation, and state checks.</w:t>
      </w:r>
    </w:p>
    <w:p>
      <w:pPr>
        <w:pStyle w:val="BodyText"/>
      </w:pPr>
      <w:r>
        <w:t xml:space="preserve">This corresponds to the proposed requirement for</w:t>
      </w:r>
      <w:r>
        <w:t xml:space="preserve"> </w:t>
      </w:r>
      <w:r>
        <w:rPr>
          <w:b/>
          <w:bCs/>
        </w:rPr>
        <w:t xml:space="preserve">traceability, accountability and non-repudiable consent evidence</w:t>
      </w:r>
      <w:r>
        <w:t xml:space="preserve">.</w:t>
      </w:r>
    </w:p>
    <w:bookmarkEnd w:id="156"/>
    <w:bookmarkStart w:id="157" w:name="detailed-audit-records"/>
    <w:p>
      <w:pPr>
        <w:pStyle w:val="Heading2"/>
      </w:pPr>
      <w:r>
        <w:t xml:space="preserve">7.6 Detailed Audit Records</w:t>
      </w:r>
    </w:p>
    <w:p>
      <w:pPr>
        <w:pStyle w:val="FirstParagraph"/>
      </w:pPr>
      <w:r>
        <w:t xml:space="preserve">The</w:t>
      </w:r>
      <w:r>
        <w:t xml:space="preserve"> </w:t>
      </w:r>
      <w:r>
        <w:rPr>
          <w:b/>
          <w:bCs/>
        </w:rPr>
        <w:t xml:space="preserve">Detailed Audit Records</w:t>
      </w:r>
      <w:r>
        <w:t xml:space="preserve"> </w:t>
      </w:r>
      <w:r>
        <w:t xml:space="preserve">component provides a lower-level view of the events represented in the lifecycle subsystem.</w:t>
      </w:r>
    </w:p>
    <w:p>
      <w:pPr>
        <w:pStyle w:val="BodyText"/>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and consent context.</w:t>
      </w:r>
    </w:p>
    <w:p>
      <w:pPr>
        <w:pStyle w:val="BodyText"/>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pStyle w:val="BodyText"/>
      </w:pPr>
      <w:r>
        <w:t xml:space="preserve">The subsystem therefore implements the distinction between</w:t>
      </w:r>
      <w:r>
        <w:t xml:space="preserve"> </w:t>
      </w:r>
      <w:r>
        <w:rPr>
          <w:b/>
          <w:bCs/>
        </w:rPr>
        <w:t xml:space="preserve">operational access information</w:t>
      </w:r>
      <w:r>
        <w:t xml:space="preserve"> </w:t>
      </w:r>
      <w:r>
        <w:t xml:space="preserve">and</w:t>
      </w:r>
      <w:r>
        <w:t xml:space="preserve"> </w:t>
      </w:r>
      <w:r>
        <w:rPr>
          <w:b/>
          <w:bCs/>
        </w:rPr>
        <w:t xml:space="preserve">forensic/audit information</w:t>
      </w:r>
      <w:r>
        <w:t xml:space="preserve">.</w:t>
      </w:r>
    </w:p>
    <w:p>
      <w:pPr>
        <w:pStyle w:val="BodyText"/>
      </w:pPr>
      <w:r>
        <w:rPr>
          <w:b/>
          <w:bCs/>
        </w:rPr>
        <w:t xml:space="preserve">CA 3 Discussion</w:t>
      </w:r>
    </w:p>
    <w:bookmarkEnd w:id="157"/>
    <w:bookmarkStart w:id="158" w:name="complete-blockchain-audit-ledger"/>
    <w:p>
      <w:pPr>
        <w:pStyle w:val="Heading2"/>
      </w:pPr>
      <w:r>
        <w:t xml:space="preserve">7.7 Complete Blockchain Audit Ledger</w:t>
      </w:r>
    </w:p>
    <w:p>
      <w:pPr>
        <w:pStyle w:val="FirstParagraph"/>
      </w:pPr>
      <w:r>
        <w:t xml:space="preserve">The</w:t>
      </w:r>
      <w:r>
        <w:t xml:space="preserve"> </w:t>
      </w:r>
      <w:r>
        <w:rPr>
          <w:b/>
          <w:bCs/>
        </w:rPr>
        <w:t xml:space="preserve">Complete Blockchain Audit Ledger</w:t>
      </w:r>
      <w:r>
        <w:t xml:space="preserve"> </w:t>
      </w:r>
      <w:r>
        <w:t xml:space="preserve">provides the most comprehensive representation of the recorded consent history.</w:t>
      </w:r>
    </w:p>
    <w:p>
      <w:pPr>
        <w:pStyle w:val="BodyText"/>
      </w:pPr>
      <w:r>
        <w:t xml:space="preserve">This component demonstrates that the audit mechanism is not limited to successful data-access events. Instead, the system records the broader lifecycle of the consent, including creation, signatures, state validation, smart-contract actions and data-access decisions.</w:t>
      </w:r>
    </w:p>
    <w:p>
      <w:pPr>
        <w:pStyle w:val="BodyText"/>
      </w:pPr>
      <w:r>
        <w:t xml:space="preserve">Consequently, the ledger provides the evidentiary foundation for evaluating several properties of the proposed framework:</w:t>
      </w:r>
    </w:p>
    <w:p>
      <w:pPr>
        <w:pStyle w:val="BodyText"/>
      </w:pPr>
      <m:oMathPara>
        <m:oMathParaPr>
          <m:jc m:val="center"/>
        </m:oMathParaPr>
        <m:oMath>
          <m:r>
            <m:rPr>
              <m:nor/>
            </m:rPr>
            <m:t>Accountability</m:t>
          </m:r>
          <m:r>
            <m:rPr>
              <m:sty m:val="p"/>
            </m:rPr>
            <m:t>+</m:t>
          </m:r>
          <m:r>
            <m:rPr>
              <m:nor/>
            </m:rPr>
            <m:t>Traceability</m:t>
          </m:r>
          <m:r>
            <m:rPr>
              <m:sty m:val="p"/>
            </m:rPr>
            <m:t>+</m:t>
          </m:r>
          <m:r>
            <m:rPr>
              <m:nor/>
            </m:rPr>
            <m:t>Integrity</m:t>
          </m:r>
          <m:r>
            <m:rPr>
              <m:sty m:val="p"/>
            </m:rPr>
            <m:t>+</m:t>
          </m:r>
          <m:r>
            <m:rPr>
              <m:nor/>
            </m:rPr>
            <m:t>Non-repudiation</m:t>
          </m:r>
        </m:oMath>
      </m:oMathPara>
    </w:p>
    <w:p>
      <w:pPr>
        <w:pStyle w:val="FirstParagraph"/>
      </w:pPr>
      <w:r>
        <w:t xml:space="preserve">The complete ledger also provides a mechanism for independently examining whether the observed access event is consistent with the original consent conditions.</w:t>
      </w:r>
    </w:p>
    <w:p>
      <w:pPr>
        <w:pStyle w:val="BodyText"/>
      </w:pPr>
      <w:r>
        <w:t xml:space="preserve">For example, the demonstrated sequence shows that the doctor receives a GRANTED result only after the consent has reached the ACTIVE state. This provides an implementation-level demonstration that access decisions are linked to the consent lifecycle rather than being independent application events.</w:t>
      </w:r>
    </w:p>
    <w:bookmarkEnd w:id="158"/>
    <w:bookmarkStart w:id="159" w:name="Xae142eb24e81642c0aa2124fc4bee8c550545ec"/>
    <w:p>
      <w:pPr>
        <w:pStyle w:val="Heading2"/>
      </w:pPr>
      <w:r>
        <w:t xml:space="preserve">7.8 Correspondence Between Subsystems and the HALAH Framework</w:t>
      </w:r>
    </w:p>
    <w:p>
      <w:pPr>
        <w:pStyle w:val="FirstParagraph"/>
      </w:pPr>
      <w:r>
        <w:t xml:space="preserve">The four subsystems collectively implement the principal stages of the proposed framework:</w:t>
      </w:r>
    </w:p>
    <w:p>
      <w:pPr>
        <w:pStyle w:val="TableCaption"/>
      </w:pPr>
      <w:r>
        <w:t xml:space="preserve">Table 7.1: Correspondence Between Subsystems and the HALAH Framework</w:t>
      </w:r>
    </w:p>
    <w:tbl>
      <w:tblPr>
        <w:tblStyle w:val="Table"/>
        <w:tblW w:type="pct" w:w="5000"/>
        <w:tblLayout w:type="fixed"/>
        <w:tblLook w:firstRow="1" w:lastRow="0" w:firstColumn="0" w:lastColumn="0" w:noHBand="0" w:noVBand="0" w:val="0020"/>
        <w:tblCaption w:val="Table 7.1: Correspondence Between Subsystems and the HALAH Framework"/>
      </w:tblPr>
      <w:tblGrid>
        <w:gridCol w:w="1947"/>
        <w:gridCol w:w="2661"/>
        <w:gridCol w:w="331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HALAH Framework Component</w:t>
            </w:r>
          </w:p>
        </w:tc>
        <w:tc>
          <w:tcPr>
            <w:tcBorders>
              <w:bottom w:val="single" w:sz="8" w:space="0" w:color="000000"/>
            </w:tcBorders>
            <w:shd w:val="clear" w:color="auto" w:fill="E7E6E6"/>
            <w:vAlign w:val="center"/>
          </w:tcPr>
          <w:p>
            <w:pPr>
              <w:pStyle w:val="Compact"/>
              <w:jc w:val="left"/>
            </w:pPr>
            <w:r>
              <w:rPr>
                <w:b/>
                <w:bCs/>
              </w:rPr>
              <w:t xml:space="preserve">Implementation Subsystem</w:t>
            </w:r>
          </w:p>
        </w:tc>
        <w:tc>
          <w:tcPr>
            <w:tcBorders>
              <w:bottom w:val="single" w:sz="8" w:space="0" w:color="000000"/>
            </w:tcBorders>
            <w:shd w:val="clear" w:color="auto" w:fill="E7E6E6"/>
            <w:vAlign w:val="center"/>
          </w:tcPr>
          <w:p>
            <w:pPr>
              <w:pStyle w:val="Compact"/>
              <w:jc w:val="left"/>
            </w:pPr>
            <w:r>
              <w:rPr>
                <w:b/>
                <w:bCs/>
              </w:rPr>
              <w:t xml:space="preserve">Main Function</w:t>
            </w:r>
          </w:p>
        </w:tc>
      </w:tr>
      <w:tr>
        <w:trPr>
          <w:cantSplit/>
        </w:trPr>
        <w:tc>
          <w:tcPr/>
          <w:p>
            <w:pPr>
              <w:pStyle w:val="Compact"/>
              <w:jc w:val="left"/>
            </w:pPr>
            <w:r>
              <w:t xml:space="preserve">Consent Object Construction</w:t>
            </w:r>
          </w:p>
        </w:tc>
        <w:tc>
          <w:tcPr/>
          <w:p>
            <w:pPr>
              <w:pStyle w:val="Compact"/>
              <w:jc w:val="left"/>
            </w:pPr>
            <w:r>
              <w:rPr>
                <w:b/>
                <w:bCs/>
              </w:rPr>
              <w:t xml:space="preserve">Create Smart Consent Contract</w:t>
            </w:r>
          </w:p>
        </w:tc>
        <w:tc>
          <w:tcPr/>
          <w:p>
            <w:pPr>
              <w:pStyle w:val="Compact"/>
              <w:jc w:val="left"/>
            </w:pPr>
            <w:r>
              <w:t xml:space="preserve">Defines patient, authorised doctor, data scope, guardians and temporal validity</w:t>
            </w:r>
          </w:p>
        </w:tc>
      </w:tr>
      <w:tr>
        <w:trPr>
          <w:cantSplit/>
        </w:trPr>
        <w:tc>
          <w:tcPr/>
          <w:p>
            <w:pPr>
              <w:pStyle w:val="Compact"/>
              <w:jc w:val="left"/>
            </w:pPr>
            <w:r>
              <w:t xml:space="preserve">Identity &amp; Authorisation</w:t>
            </w:r>
          </w:p>
        </w:tc>
        <w:tc>
          <w:tcPr/>
          <w:p>
            <w:pPr>
              <w:pStyle w:val="Compact"/>
              <w:jc w:val="left"/>
            </w:pPr>
            <w:r>
              <w:rPr>
                <w:b/>
                <w:bCs/>
              </w:rPr>
              <w:t xml:space="preserve">Guardian Cryptographic Approval</w:t>
            </w:r>
          </w:p>
        </w:tc>
        <w:tc>
          <w:tcPr/>
          <w:p>
            <w:pPr>
              <w:pStyle w:val="Compact"/>
              <w:jc w:val="left"/>
            </w:pPr>
            <w:r>
              <w:t xml:space="preserve">Verifies guardian identities and records required signatures</w:t>
            </w:r>
          </w:p>
        </w:tc>
      </w:tr>
      <w:tr>
        <w:trPr>
          <w:cantSplit/>
        </w:trPr>
        <w:tc>
          <w:tcPr/>
          <w:p>
            <w:pPr>
              <w:pStyle w:val="Compact"/>
              <w:jc w:val="left"/>
            </w:pPr>
            <w:r>
              <w:t xml:space="preserve">Multi-party Consent</w:t>
            </w:r>
          </w:p>
        </w:tc>
        <w:tc>
          <w:tcPr/>
          <w:p>
            <w:pPr>
              <w:pStyle w:val="Compact"/>
              <w:jc w:val="left"/>
            </w:pPr>
            <w:r>
              <w:rPr>
                <w:b/>
                <w:bCs/>
              </w:rPr>
              <w:t xml:space="preserve">Guardian Cryptographic Approval</w:t>
            </w:r>
          </w:p>
        </w:tc>
        <w:tc>
          <w:tcPr/>
          <w:p>
            <w:pPr>
              <w:pStyle w:val="Compact"/>
              <w:jc w:val="left"/>
            </w:pPr>
            <w:r>
              <w:t xml:space="preserve">Implements the 2-of-2 approval condition</w:t>
            </w:r>
          </w:p>
        </w:tc>
      </w:tr>
      <w:tr>
        <w:trPr>
          <w:cantSplit/>
        </w:trPr>
        <w:tc>
          <w:tcPr/>
          <w:p>
            <w:pPr>
              <w:pStyle w:val="Compact"/>
              <w:jc w:val="left"/>
            </w:pPr>
            <w:r>
              <w:t xml:space="preserve">Consent Activation</w:t>
            </w:r>
          </w:p>
        </w:tc>
        <w:tc>
          <w:tcPr/>
          <w:p>
            <w:pPr>
              <w:pStyle w:val="Compact"/>
              <w:jc w:val="left"/>
            </w:pPr>
            <w:r>
              <w:rPr>
                <w:b/>
                <w:bCs/>
              </w:rPr>
              <w:t xml:space="preserve">Guardian Cryptographic Approval</w:t>
            </w:r>
          </w:p>
        </w:tc>
        <w:tc>
          <w:tcPr/>
          <w:p>
            <w:pPr>
              <w:pStyle w:val="Compact"/>
              <w:jc w:val="left"/>
            </w:pPr>
            <w:r>
              <w:t xml:space="preserve">Generates the SBT and changes consent to fully activated</w:t>
            </w:r>
          </w:p>
        </w:tc>
      </w:tr>
      <w:tr>
        <w:trPr>
          <w:cantSplit/>
        </w:trPr>
        <w:tc>
          <w:tcPr/>
          <w:p>
            <w:pPr>
              <w:pStyle w:val="Compact"/>
              <w:jc w:val="left"/>
            </w:pPr>
            <w:r>
              <w:t xml:space="preserve">Consent-State Management</w:t>
            </w:r>
          </w:p>
        </w:tc>
        <w:tc>
          <w:tcPr/>
          <w:p>
            <w:pPr>
              <w:pStyle w:val="Compact"/>
              <w:jc w:val="left"/>
            </w:pPr>
            <w:r>
              <w:rPr>
                <w:b/>
                <w:bCs/>
              </w:rPr>
              <w:t xml:space="preserve">Secure Patient Data Access</w:t>
            </w:r>
          </w:p>
        </w:tc>
        <w:tc>
          <w:tcPr/>
          <w:p>
            <w:pPr>
              <w:pStyle w:val="Compact"/>
              <w:jc w:val="left"/>
            </w:pPr>
            <w:r>
              <w:t xml:space="preserve">Checks whether the consent is ACTIVE</w:t>
            </w:r>
          </w:p>
        </w:tc>
      </w:tr>
      <w:tr>
        <w:trPr>
          <w:cantSplit/>
        </w:trPr>
        <w:tc>
          <w:tcPr/>
          <w:p>
            <w:pPr>
              <w:pStyle w:val="Compact"/>
              <w:jc w:val="left"/>
            </w:pPr>
            <w:r>
              <w:t xml:space="preserve">Scope Enforcement</w:t>
            </w:r>
          </w:p>
        </w:tc>
        <w:tc>
          <w:tcPr/>
          <w:p>
            <w:pPr>
              <w:pStyle w:val="Compact"/>
              <w:jc w:val="left"/>
            </w:pPr>
            <w:r>
              <w:rPr>
                <w:b/>
                <w:bCs/>
              </w:rPr>
              <w:t xml:space="preserve">Secure Patient Data Access</w:t>
            </w:r>
          </w:p>
        </w:tc>
        <w:tc>
          <w:tcPr/>
          <w:p>
            <w:pPr>
              <w:pStyle w:val="Compact"/>
              <w:jc w:val="left"/>
            </w:pPr>
            <w:r>
              <w:t xml:space="preserve">Restricts access to authorised EMR modules</w:t>
            </w:r>
          </w:p>
        </w:tc>
      </w:tr>
      <w:tr>
        <w:trPr>
          <w:cantSplit/>
        </w:trPr>
        <w:tc>
          <w:tcPr/>
          <w:p>
            <w:pPr>
              <w:pStyle w:val="Compact"/>
              <w:jc w:val="left"/>
            </w:pPr>
            <w:r>
              <w:t xml:space="preserve">Cryptographic Access Control</w:t>
            </w:r>
          </w:p>
        </w:tc>
        <w:tc>
          <w:tcPr/>
          <w:p>
            <w:pPr>
              <w:pStyle w:val="Compact"/>
              <w:jc w:val="left"/>
            </w:pPr>
            <w:r>
              <w:rPr>
                <w:b/>
                <w:bCs/>
              </w:rPr>
              <w:t xml:space="preserve">Secure Patient Data Access</w:t>
            </w:r>
          </w:p>
        </w:tc>
        <w:tc>
          <w:tcPr/>
          <w:p>
            <w:pPr>
              <w:pStyle w:val="Compact"/>
              <w:jc w:val="left"/>
            </w:pPr>
            <w:r>
              <w:t xml:space="preserve">Verifies the access request before granting data</w:t>
            </w:r>
          </w:p>
        </w:tc>
      </w:tr>
      <w:tr>
        <w:trPr>
          <w:cantSplit/>
        </w:trPr>
        <w:tc>
          <w:tcPr/>
          <w:p>
            <w:pPr>
              <w:pStyle w:val="Compact"/>
              <w:jc w:val="left"/>
            </w:pPr>
            <w:r>
              <w:t xml:space="preserve">Healthcare Data Access</w:t>
            </w:r>
          </w:p>
        </w:tc>
        <w:tc>
          <w:tcPr/>
          <w:p>
            <w:pPr>
              <w:pStyle w:val="Compact"/>
              <w:jc w:val="left"/>
            </w:pPr>
            <w:r>
              <w:rPr>
                <w:b/>
                <w:bCs/>
              </w:rPr>
              <w:t xml:space="preserve">Secure Patient Data Access</w:t>
            </w:r>
          </w:p>
        </w:tc>
        <w:tc>
          <w:tcPr/>
          <w:p>
            <w:pPr>
              <w:pStyle w:val="Compact"/>
              <w:jc w:val="left"/>
            </w:pPr>
            <w:r>
              <w:t xml:space="preserve">Provides authorised Medication and Procedure records</w:t>
            </w:r>
          </w:p>
        </w:tc>
      </w:tr>
      <w:tr>
        <w:trPr>
          <w:cantSplit/>
        </w:trPr>
        <w:tc>
          <w:tcPr/>
          <w:p>
            <w:pPr>
              <w:pStyle w:val="Compact"/>
              <w:jc w:val="left"/>
            </w:pPr>
            <w:r>
              <w:t xml:space="preserve">Lifecycle Traceability</w:t>
            </w:r>
          </w:p>
        </w:tc>
        <w:tc>
          <w:tcPr/>
          <w:p>
            <w:pPr>
              <w:pStyle w:val="Compact"/>
              <w:jc w:val="left"/>
            </w:pPr>
            <w:r>
              <w:rPr>
                <w:b/>
                <w:bCs/>
              </w:rPr>
              <w:t xml:space="preserve">Blockchain Audit &amp; Consent Lifecycle</w:t>
            </w:r>
          </w:p>
        </w:tc>
        <w:tc>
          <w:tcPr/>
          <w:p>
            <w:pPr>
              <w:pStyle w:val="Compact"/>
              <w:jc w:val="left"/>
            </w:pPr>
            <w:r>
              <w:t xml:space="preserve">Reconstructs the chronological consent process</w:t>
            </w:r>
          </w:p>
        </w:tc>
      </w:tr>
      <w:tr>
        <w:trPr>
          <w:cantSplit/>
        </w:trPr>
        <w:tc>
          <w:tcPr/>
          <w:p>
            <w:pPr>
              <w:pStyle w:val="Compact"/>
              <w:jc w:val="left"/>
            </w:pPr>
            <w:r>
              <w:t xml:space="preserve">Accountability</w:t>
            </w:r>
          </w:p>
        </w:tc>
        <w:tc>
          <w:tcPr/>
          <w:p>
            <w:pPr>
              <w:pStyle w:val="Compact"/>
              <w:jc w:val="left"/>
            </w:pPr>
            <w:r>
              <w:rPr>
                <w:b/>
                <w:bCs/>
              </w:rPr>
              <w:t xml:space="preserve">Detailed Audit Records</w:t>
            </w:r>
          </w:p>
        </w:tc>
        <w:tc>
          <w:tcPr/>
          <w:p>
            <w:pPr>
              <w:pStyle w:val="Compact"/>
              <w:jc w:val="left"/>
            </w:pPr>
            <w:r>
              <w:t xml:space="preserve">Provides event-level evidence</w:t>
            </w:r>
          </w:p>
        </w:tc>
      </w:tr>
      <w:tr>
        <w:trPr>
          <w:cantSplit/>
        </w:trPr>
        <w:tc>
          <w:tcPr/>
          <w:p>
            <w:pPr>
              <w:pStyle w:val="Compact"/>
              <w:jc w:val="left"/>
            </w:pPr>
            <w:r>
              <w:t xml:space="preserve">Ledger Integrity</w:t>
            </w:r>
          </w:p>
        </w:tc>
        <w:tc>
          <w:tcPr/>
          <w:p>
            <w:pPr>
              <w:pStyle w:val="Compact"/>
              <w:jc w:val="left"/>
            </w:pPr>
            <w:r>
              <w:rPr>
                <w:b/>
                <w:bCs/>
              </w:rPr>
              <w:t xml:space="preserve">Complete Blockchain Audit Ledger</w:t>
            </w:r>
          </w:p>
        </w:tc>
        <w:tc>
          <w:tcPr/>
          <w:p>
            <w:pPr>
              <w:pStyle w:val="Compact"/>
              <w:jc w:val="left"/>
            </w:pPr>
            <w:r>
              <w:t xml:space="preserve">Provides the complete recorded transaction history</w:t>
            </w:r>
          </w:p>
        </w:tc>
      </w:tr>
    </w:tbl>
    <w:p>
      <w:pPr>
        <w:pStyle w:val="BodyText"/>
      </w:pPr>
      <w:r>
        <w:t xml:space="preserve">This mapping demonstrates that the implementation is not merely a collection of independent user-subsystem modules. Rather, the modules correspond to successive stages of the proposed authorisation protocol.</w:t>
      </w:r>
    </w:p>
    <w:bookmarkEnd w:id="159"/>
    <w:bookmarkStart w:id="160" w:name="overall-system-demonstration"/>
    <w:p>
      <w:pPr>
        <w:pStyle w:val="Heading2"/>
      </w:pPr>
      <w:r>
        <w:t xml:space="preserve">7.9 Overall System Demonstration</w:t>
      </w:r>
    </w:p>
    <w:p>
      <w:pPr>
        <w:pStyle w:val="FirstParagraph"/>
      </w:pPr>
      <w:r>
        <w:t xml:space="preserve">Taken together, the subsystems demonstrate an end-to-end implementation of the proposed HALAH authorisation workflow.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The authorised doctor subsequently submits an access request, which is evaluated against the patient's identity, consent state and authorised data scope. Only when these conditions are satisfied does the system provide access to the specified EMR modules. Finally, the complete sequence is recorded and exposed through the auditor subsystem.</w:t>
      </w:r>
    </w:p>
    <w:p>
      <w:pPr>
        <w:pStyle w:val="BodyText"/>
      </w:pPr>
      <w:r>
        <w:t xml:space="preserve">where</w:t>
      </w:r>
      <w:r>
        <w:t xml:space="preserve"> </w:t>
      </w:r>
      <m:oMath>
        <m:r>
          <m:t>C</m:t>
        </m:r>
      </m:oMath>
      <w:r>
        <w:t xml:space="preserve"> </w:t>
      </w:r>
      <w:r>
        <w:t xml:space="preserve">denotes consent creation,</w:t>
      </w:r>
      <w:r>
        <w:t xml:space="preserve"> </w:t>
      </w:r>
      <m:oMath>
        <m:r>
          <m:t>M</m:t>
        </m:r>
        <m:r>
          <m:t>S</m:t>
        </m:r>
      </m:oMath>
      <w:r>
        <w:t xml:space="preserve"> </w:t>
      </w:r>
      <w:r>
        <w:t xml:space="preserve">multi-signature approval,</w:t>
      </w:r>
      <w:r>
        <w:t xml:space="preserve"> </w:t>
      </w:r>
      <m:oMath>
        <m:r>
          <m:t>S</m:t>
        </m:r>
        <m:r>
          <m:t>B</m:t>
        </m:r>
        <m:r>
          <m:t>T</m:t>
        </m:r>
      </m:oMath>
      <w:r>
        <w:t xml:space="preserve"> </w:t>
      </w:r>
      <w:r>
        <w:t xml:space="preserve">consent activation,</w:t>
      </w:r>
      <w:r>
        <w:t xml:space="preserve"> </w:t>
      </w:r>
      <m:oMath>
        <m:r>
          <m:t>S</m:t>
        </m:r>
        <m:r>
          <m:t>t</m:t>
        </m:r>
        <m:r>
          <m:t>a</m:t>
        </m:r>
        <m:r>
          <m:t>t</m:t>
        </m:r>
        <m:r>
          <m:t>e</m:t>
        </m:r>
        <m:r>
          <m:t>C</m:t>
        </m:r>
        <m:r>
          <m:t>h</m:t>
        </m:r>
        <m:r>
          <m:t>e</m:t>
        </m:r>
        <m:r>
          <m:t>c</m:t>
        </m:r>
        <m:r>
          <m:t>k</m:t>
        </m:r>
      </m:oMath>
      <w:r>
        <w:t xml:space="preserve"> </w:t>
      </w:r>
      <w:r>
        <w:t xml:space="preserve">lifecycle validation,</w:t>
      </w:r>
      <w:r>
        <w:t xml:space="preserve"> </w:t>
      </w:r>
      <m:oMath>
        <m:r>
          <m:t>A</m:t>
        </m:r>
        <m:r>
          <m:t>c</m:t>
        </m:r>
        <m:r>
          <m:t>c</m:t>
        </m:r>
        <m:r>
          <m:t>e</m:t>
        </m:r>
        <m:r>
          <m:t>s</m:t>
        </m:r>
        <m:r>
          <m:t>s</m:t>
        </m:r>
        <m:r>
          <m:t>D</m:t>
        </m:r>
        <m:r>
          <m:t>e</m:t>
        </m:r>
        <m:r>
          <m:t>c</m:t>
        </m:r>
        <m:r>
          <m:t>i</m:t>
        </m:r>
        <m:r>
          <m:t>s</m:t>
        </m:r>
        <m:r>
          <m:t>i</m:t>
        </m:r>
        <m:r>
          <m:t>o</m:t>
        </m:r>
        <m:r>
          <m:t>n</m:t>
        </m:r>
      </m:oMath>
      <w:r>
        <w:t xml:space="preserve"> </w:t>
      </w:r>
      <w:r>
        <w:t xml:space="preserve">authorisation enforcement,</w:t>
      </w:r>
      <w:r>
        <w:t xml:space="preserve"> </w:t>
      </w:r>
      <m:oMath>
        <m:r>
          <m:t>E</m:t>
        </m:r>
        <m:r>
          <m:t>M</m:t>
        </m:r>
        <m:r>
          <m:t>R</m:t>
        </m:r>
      </m:oMath>
      <w:r>
        <w:t xml:space="preserve"> </w:t>
      </w:r>
      <w:r>
        <w:t xml:space="preserve">authorised medical-record access, and</w:t>
      </w:r>
      <w:r>
        <w:t xml:space="preserve"> </w:t>
      </w:r>
      <m:oMath>
        <m:r>
          <m:t>A</m:t>
        </m:r>
        <m:r>
          <m:t>u</m:t>
        </m:r>
        <m:r>
          <m:t>d</m:t>
        </m:r>
        <m:r>
          <m:t>i</m:t>
        </m:r>
        <m:r>
          <m:t>t</m:t>
        </m:r>
      </m:oMath>
      <w:r>
        <w:t xml:space="preserve"> </w:t>
      </w:r>
      <w:r>
        <w:t xml:space="preserve">immutable lifecycle recording.</w:t>
      </w:r>
    </w:p>
    <w:p>
      <w:pPr>
        <w:pStyle w:val="BodyText"/>
      </w:pPr>
      <w:r>
        <w:t xml:space="preserve">From a research-implementation perspective, the most significant feature of the presented subsystems is therefore the</w:t>
      </w:r>
      <w:r>
        <w:t xml:space="preserve"> </w:t>
      </w:r>
      <w:r>
        <w:rPr>
          <w:b/>
          <w:bCs/>
        </w:rPr>
        <w:t xml:space="preserve">continuity between consent specification, multi-party authorisation, access enforcement and audit evidence</w:t>
      </w:r>
      <w:r>
        <w:t xml:space="preserve">. The user subsystems provide a visible representation of this continuity, allowing the proposed HALAH model to be demonstrated as an operational authorisation workflow rather than only as a conceptual framework.</w:t>
      </w:r>
    </w:p>
    <w:bookmarkEnd w:id="160"/>
    <w:bookmarkStart w:id="164" w:name="X88b3d53607b792a9f4430f1be3c348b9a46cb27"/>
    <w:p>
      <w:pPr>
        <w:pStyle w:val="Heading2"/>
      </w:pPr>
      <w:r>
        <w:t xml:space="preserve">7.10 Implementation Mapping to the Source Code</w:t>
      </w:r>
    </w:p>
    <w:p>
      <w:pPr>
        <w:pStyle w:val="FirstParagraph"/>
      </w:pPr>
      <w:r>
        <w:t xml:space="preserve">Table 7.2 shows how the MVC layers of Chapter 5 are realised in the HALAH prototype (repository commit 0a960ca, 22 September 2026), so that the architectural claims can be checked directly against the source code.</w:t>
      </w:r>
    </w:p>
    <w:p>
      <w:pPr>
        <w:pStyle w:val="TableCaption"/>
      </w:pPr>
      <w:r>
        <w:t xml:space="preserve">Table 7.2: MVC layers and their HALAH implementation</w:t>
      </w:r>
    </w:p>
    <w:tbl>
      <w:tblPr>
        <w:tblStyle w:val="Table"/>
        <w:tblW w:type="pct" w:w="5000"/>
        <w:tblLayout w:type="fixed"/>
        <w:tblLook w:firstRow="1" w:lastRow="0" w:firstColumn="0" w:lastColumn="0" w:noHBand="0" w:noVBand="0" w:val="0020"/>
        <w:tblCaption w:val="Table 7.2: MVC layers and their HALAH implementation"/>
      </w:tblPr>
      <w:tblGrid>
        <w:gridCol w:w="1243"/>
        <w:gridCol w:w="3338"/>
        <w:gridCol w:w="3338"/>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Layer</w:t>
            </w:r>
          </w:p>
        </w:tc>
        <w:tc>
          <w:tcPr>
            <w:tcBorders>
              <w:bottom w:val="single" w:sz="8" w:space="0" w:color="000000"/>
            </w:tcBorders>
            <w:shd w:val="clear" w:color="auto" w:fill="E7E6E6"/>
            <w:vAlign w:val="center"/>
          </w:tcPr>
          <w:p>
            <w:pPr>
              <w:pStyle w:val="Compact"/>
              <w:jc w:val="left"/>
            </w:pPr>
            <w:r>
              <w:rPr>
                <w:b/>
                <w:bCs/>
              </w:rPr>
              <w:t xml:space="preserve">HALAH module(s)</w:t>
            </w:r>
          </w:p>
        </w:tc>
        <w:tc>
          <w:tcPr>
            <w:tcBorders>
              <w:bottom w:val="single" w:sz="8" w:space="0" w:color="000000"/>
            </w:tcBorders>
            <w:shd w:val="clear" w:color="auto" w:fill="E7E6E6"/>
            <w:vAlign w:val="center"/>
          </w:tcPr>
          <w:p>
            <w:pPr>
              <w:pStyle w:val="Compact"/>
              <w:jc w:val="left"/>
            </w:pPr>
            <w:r>
              <w:rPr>
                <w:b/>
                <w:bCs/>
              </w:rPr>
              <w:t xml:space="preserve">Responsibility</w:t>
            </w:r>
          </w:p>
        </w:tc>
      </w:tr>
      <w:tr>
        <w:trPr>
          <w:cantSplit/>
        </w:trPr>
        <w:tc>
          <w:tcPr/>
          <w:p>
            <w:pPr>
              <w:pStyle w:val="Compact"/>
              <w:jc w:val="left"/>
            </w:pPr>
            <w:r>
              <w:t xml:space="preserve">View</w:t>
            </w:r>
          </w:p>
        </w:tc>
        <w:tc>
          <w:tcPr/>
          <w:p>
            <w:pPr>
              <w:pStyle w:val="Compact"/>
              <w:jc w:val="left"/>
            </w:pPr>
            <w:r>
              <w:t xml:space="preserve">app.py (Patient, Guardian, Doctor and Auditor pages); halah_theme.py</w:t>
            </w:r>
          </w:p>
        </w:tc>
        <w:tc>
          <w:tcPr/>
          <w:p>
            <w:pPr>
              <w:pStyle w:val="Compact"/>
              <w:jc w:val="left"/>
            </w:pPr>
            <w:r>
              <w:t xml:space="preserve">Role-specific interaction; submits requests only</w:t>
            </w:r>
          </w:p>
        </w:tc>
      </w:tr>
      <w:tr>
        <w:trPr>
          <w:cantSplit/>
        </w:trPr>
        <w:tc>
          <w:tcPr/>
          <w:p>
            <w:pPr>
              <w:pStyle w:val="Compact"/>
              <w:jc w:val="left"/>
            </w:pPr>
            <w:r>
              <w:t xml:space="preserve">Controller</w:t>
            </w:r>
          </w:p>
        </w:tc>
        <w:tc>
          <w:tcPr/>
          <w:p>
            <w:pPr>
              <w:pStyle w:val="Compact"/>
              <w:jc w:val="left"/>
            </w:pPr>
            <w:r>
              <w:t xml:space="preserve">services/consent_service.py</w:t>
            </w:r>
          </w:p>
        </w:tc>
        <w:tc>
          <w:tcPr/>
          <w:p>
            <w:pPr>
              <w:pStyle w:val="Compact"/>
              <w:jc w:val="left"/>
            </w:pPr>
            <w:r>
              <w:t xml:space="preserve">Consent creation (Algorithm 1)</w:t>
            </w:r>
          </w:p>
        </w:tc>
      </w:tr>
      <w:tr>
        <w:trPr>
          <w:cantSplit/>
        </w:trPr>
        <w:tc>
          <w:tcPr/>
          <w:p>
            <w:pPr>
              <w:pStyle w:val="Compact"/>
              <w:jc w:val="left"/>
            </w:pPr>
            <w:r>
              <w:t xml:space="preserve">Controller</w:t>
            </w:r>
          </w:p>
        </w:tc>
        <w:tc>
          <w:tcPr/>
          <w:p>
            <w:pPr>
              <w:pStyle w:val="Compact"/>
              <w:jc w:val="left"/>
            </w:pPr>
            <w:r>
              <w:t xml:space="preserve">services/identity_service.py</w:t>
            </w:r>
          </w:p>
        </w:tc>
        <w:tc>
          <w:tcPr/>
          <w:p>
            <w:pPr>
              <w:pStyle w:val="Compact"/>
              <w:jc w:val="left"/>
            </w:pPr>
            <w:r>
              <w:t xml:space="preserve">DID check; EIP-712 approval signing and verification (Algorithm 2,</w:t>
            </w:r>
            <w:r>
              <w:t xml:space="preserve"> </w:t>
            </w:r>
            <m:oMath>
              <m:sSub>
                <m:e>
                  <m:r>
                    <m:t>V</m:t>
                  </m:r>
                </m:e>
                <m:sub>
                  <m:r>
                    <m:t>I</m:t>
                  </m:r>
                </m:sub>
              </m:sSub>
            </m:oMath>
            <w:r>
              <w:t xml:space="preserve">)</w:t>
            </w:r>
          </w:p>
        </w:tc>
      </w:tr>
      <w:tr>
        <w:trPr>
          <w:cantSplit/>
        </w:trPr>
        <w:tc>
          <w:tcPr/>
          <w:p>
            <w:pPr>
              <w:pStyle w:val="Compact"/>
              <w:jc w:val="left"/>
            </w:pPr>
            <w:r>
              <w:t xml:space="preserve">Controller</w:t>
            </w:r>
          </w:p>
        </w:tc>
        <w:tc>
          <w:tcPr/>
          <w:p>
            <w:pPr>
              <w:pStyle w:val="Compact"/>
              <w:jc w:val="left"/>
            </w:pPr>
            <w:r>
              <w:t xml:space="preserve">services/state_service.py</w:t>
            </w:r>
          </w:p>
        </w:tc>
        <w:tc>
          <w:tcPr/>
          <w:p>
            <w:pPr>
              <w:pStyle w:val="Compact"/>
              <w:jc w:val="left"/>
            </w:pPr>
            <w:r>
              <w:t xml:space="preserve">Consent state: PENDING_SIGNATURE, PENDING_TOKEN, NOT_STARTED, EXPIRED, REVOKED, ACTIVE (</w:t>
            </w:r>
            <m:oMath>
              <m:sSub>
                <m:e>
                  <m:r>
                    <m:t>V</m:t>
                  </m:r>
                </m:e>
                <m:sub>
                  <m:r>
                    <m:t>A</m:t>
                  </m:r>
                </m:sub>
              </m:sSub>
            </m:oMath>
            <w:r>
              <w:t xml:space="preserve">,</w:t>
            </w:r>
            <w:r>
              <w:t xml:space="preserve"> </w:t>
            </w:r>
            <m:oMath>
              <m:sSub>
                <m:e>
                  <m:r>
                    <m:t>V</m:t>
                  </m:r>
                </m:e>
                <m:sub>
                  <m:r>
                    <m:t>T</m:t>
                  </m:r>
                </m:sub>
              </m:sSub>
            </m:oMath>
            <w:r>
              <w:t xml:space="preserve">)</w:t>
            </w:r>
          </w:p>
        </w:tc>
      </w:tr>
      <w:tr>
        <w:trPr>
          <w:cantSplit/>
        </w:trPr>
        <w:tc>
          <w:tcPr/>
          <w:p>
            <w:pPr>
              <w:pStyle w:val="Compact"/>
              <w:jc w:val="left"/>
            </w:pPr>
            <w:r>
              <w:t xml:space="preserve">Controller</w:t>
            </w:r>
          </w:p>
        </w:tc>
        <w:tc>
          <w:tcPr/>
          <w:p>
            <w:pPr>
              <w:pStyle w:val="Compact"/>
              <w:jc w:val="left"/>
            </w:pPr>
            <w:r>
              <w:t xml:space="preserve">services/access_service.py</w:t>
            </w:r>
          </w:p>
        </w:tc>
        <w:tc>
          <w:tcPr/>
          <w:p>
            <w:pPr>
              <w:pStyle w:val="Compact"/>
              <w:jc w:val="left"/>
            </w:pPr>
            <w:r>
              <w:t xml:space="preserve">Scope check, release gate and decision matrix (Algorithm 4,</w:t>
            </w:r>
            <w:r>
              <w:t xml:space="preserve"> </w:t>
            </w:r>
            <m:oMath>
              <m:sSub>
                <m:e>
                  <m:r>
                    <m:t>V</m:t>
                  </m:r>
                </m:e>
                <m:sub>
                  <m:r>
                    <m:t>P</m:t>
                  </m:r>
                </m:sub>
              </m:sSub>
            </m:oMath>
            <w:r>
              <w:t xml:space="preserve">)</w:t>
            </w:r>
          </w:p>
        </w:tc>
      </w:tr>
      <w:tr>
        <w:trPr>
          <w:cantSplit/>
        </w:trPr>
        <w:tc>
          <w:tcPr/>
          <w:p>
            <w:pPr>
              <w:pStyle w:val="Compact"/>
              <w:jc w:val="left"/>
            </w:pPr>
            <w:r>
              <w:t xml:space="preserve">Controller</w:t>
            </w:r>
          </w:p>
        </w:tc>
        <w:tc>
          <w:tcPr/>
          <w:p>
            <w:pPr>
              <w:pStyle w:val="Compact"/>
              <w:jc w:val="left"/>
            </w:pPr>
            <w:r>
              <w:t xml:space="preserve">services/blockchain_service.py; services/anchor_service.py</w:t>
            </w:r>
          </w:p>
        </w:tc>
        <w:tc>
          <w:tcPr/>
          <w:p>
            <w:pPr>
              <w:pStyle w:val="Compact"/>
              <w:jc w:val="left"/>
            </w:pPr>
            <w:r>
              <w:t xml:space="preserve">SBT minting, revocation and on-chain anchoring (evidence</w:t>
            </w:r>
            <w:r>
              <w:t xml:space="preserve"> </w:t>
            </w:r>
            <m:oMath>
              <m:r>
                <m:t>E</m:t>
              </m:r>
            </m:oMath>
            <w:r>
              <w:t xml:space="preserve">)</w:t>
            </w:r>
          </w:p>
        </w:tc>
      </w:tr>
      <w:tr>
        <w:trPr>
          <w:cantSplit/>
        </w:trPr>
        <w:tc>
          <w:tcPr/>
          <w:p>
            <w:pPr>
              <w:pStyle w:val="Compact"/>
              <w:jc w:val="left"/>
            </w:pPr>
            <w:r>
              <w:t xml:space="preserve">Model</w:t>
            </w:r>
          </w:p>
        </w:tc>
        <w:tc>
          <w:tcPr/>
          <w:p>
            <w:pPr>
              <w:pStyle w:val="Compact"/>
              <w:jc w:val="left"/>
            </w:pPr>
            <w:r>
              <w:t xml:space="preserve">models/consent.py; models/access.py</w:t>
            </w:r>
          </w:p>
        </w:tc>
        <w:tc>
          <w:tcPr/>
          <w:p>
            <w:pPr>
              <w:pStyle w:val="Compact"/>
              <w:jc w:val="left"/>
            </w:pPr>
            <w:r>
              <w:t xml:space="preserve">Consent object</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and access request</w:t>
            </w:r>
            <w:r>
              <w:t xml:space="preserve"> </w:t>
            </w:r>
            <m:oMath>
              <m:r>
                <m:t>R</m:t>
              </m:r>
            </m:oMath>
          </w:p>
        </w:tc>
      </w:tr>
      <w:tr>
        <w:trPr>
          <w:cantSplit/>
        </w:trPr>
        <w:tc>
          <w:tcPr/>
          <w:p>
            <w:pPr>
              <w:pStyle w:val="Compact"/>
              <w:jc w:val="left"/>
            </w:pPr>
            <w:r>
              <w:t xml:space="preserve">Model</w:t>
            </w:r>
          </w:p>
        </w:tc>
        <w:tc>
          <w:tcPr/>
          <w:p>
            <w:pPr>
              <w:pStyle w:val="Compact"/>
              <w:jc w:val="left"/>
            </w:pPr>
            <w:r>
              <w:t xml:space="preserve">database/ (SQLite persistence, audit log, DID mapping)</w:t>
            </w:r>
          </w:p>
        </w:tc>
        <w:tc>
          <w:tcPr/>
          <w:p>
            <w:pPr>
              <w:pStyle w:val="Compact"/>
              <w:jc w:val="left"/>
            </w:pPr>
            <w:r>
              <w:t xml:space="preserve">Persistent consent, approval and audit state</w:t>
            </w:r>
          </w:p>
        </w:tc>
      </w:tr>
      <w:tr>
        <w:trPr>
          <w:cantSplit/>
        </w:trPr>
        <w:tc>
          <w:tcPr/>
          <w:p>
            <w:pPr>
              <w:pStyle w:val="Compact"/>
              <w:jc w:val="left"/>
            </w:pPr>
            <w:r>
              <w:t xml:space="preserve">Protected resource</w:t>
            </w:r>
          </w:p>
        </w:tc>
        <w:tc>
          <w:tcPr/>
          <w:p>
            <w:pPr>
              <w:pStyle w:val="Compact"/>
              <w:jc w:val="left"/>
            </w:pPr>
            <w:r>
              <w:t xml:space="preserve">data/synthea/*.csv via database/repository.py</w:t>
            </w:r>
          </w:p>
        </w:tc>
        <w:tc>
          <w:tcPr/>
          <w:p>
            <w:pPr>
              <w:pStyle w:val="Compact"/>
              <w:jc w:val="left"/>
            </w:pPr>
            <w:r>
              <w:t xml:space="preserve">Synthetic EMR modules [38], released only after authorisation</w:t>
            </w:r>
          </w:p>
        </w:tc>
      </w:tr>
      <w:tr>
        <w:trPr>
          <w:cantSplit/>
        </w:trPr>
        <w:tc>
          <w:tcPr/>
          <w:p>
            <w:pPr>
              <w:pStyle w:val="Compact"/>
              <w:jc w:val="left"/>
            </w:pPr>
            <w:r>
              <w:t xml:space="preserve">Smart contract</w:t>
            </w:r>
          </w:p>
        </w:tc>
        <w:tc>
          <w:tcPr/>
          <w:p>
            <w:pPr>
              <w:pStyle w:val="Compact"/>
              <w:jc w:val="left"/>
            </w:pPr>
            <w:r>
              <w:t xml:space="preserve">contracts/ConsentSBTv3.sol</w:t>
            </w:r>
          </w:p>
        </w:tc>
        <w:tc>
          <w:tcPr/>
          <w:p>
            <w:pPr>
              <w:pStyle w:val="Compact"/>
              <w:jc w:val="left"/>
            </w:pPr>
            <w:r>
              <w:t xml:space="preserve">Soulbound consent token; on-chain validity; ERC-5484 burn [40]</w:t>
            </w:r>
          </w:p>
        </w:tc>
      </w:tr>
    </w:tbl>
    <w:p>
      <w:pPr>
        <w:pStyle w:val="BodyText"/>
      </w:pPr>
      <w:r>
        <w:t xml:space="preserve">Figure 7.6 traces one consent through the four subsystems of the prototype and shows where each check is enforced and which events are written to the audit log.</w:t>
      </w:r>
    </w:p>
    <w:p>
      <w:pPr>
        <w:pStyle w:val="CaptionedFigure"/>
      </w:pPr>
      <w:r>
        <w:drawing>
          <wp:inline>
            <wp:extent cx="3922776" cy="7689606"/>
            <wp:effectExtent b="0" l="0" r="0" t="0"/>
            <wp:docPr descr="Figure 7.6: HALAH prototype workflow from consent creation to audited access decision" title="" id="162" name="Picture"/>
            <a:graphic>
              <a:graphicData uri="http://schemas.openxmlformats.org/drawingml/2006/picture">
                <pic:pic>
                  <pic:nvPicPr>
                    <pic:cNvPr descr="media_col/fig_halah.png" id="163" name="Picture"/>
                    <pic:cNvPicPr>
                      <a:picLocks noChangeArrowheads="1" noChangeAspect="1"/>
                    </pic:cNvPicPr>
                  </pic:nvPicPr>
                  <pic:blipFill>
                    <a:blip r:embed="rId161"/>
                    <a:stretch>
                      <a:fillRect/>
                    </a:stretch>
                  </pic:blipFill>
                  <pic:spPr bwMode="auto">
                    <a:xfrm>
                      <a:off x="0" y="0"/>
                      <a:ext cx="3922776" cy="7689606"/>
                    </a:xfrm>
                    <a:prstGeom prst="rect">
                      <a:avLst/>
                    </a:prstGeom>
                    <a:noFill/>
                    <a:ln w="9525">
                      <a:noFill/>
                      <a:headEnd/>
                      <a:tailEnd/>
                    </a:ln>
                  </pic:spPr>
                </pic:pic>
              </a:graphicData>
            </a:graphic>
          </wp:inline>
        </w:drawing>
      </w:r>
    </w:p>
    <w:p>
      <w:pPr>
        <w:pStyle w:val="ImageCaption"/>
      </w:pPr>
      <w:r>
        <w:t xml:space="preserve">Figure 7.6: HALAH prototype workflow from consent creation to audited access decision</w:t>
      </w:r>
    </w:p>
    <w:bookmarkEnd w:id="164"/>
    <w:bookmarkStart w:id="165" w:name="automated-test-evidence"/>
    <w:p>
      <w:pPr>
        <w:pStyle w:val="Heading2"/>
      </w:pPr>
      <w:r>
        <w:t xml:space="preserve">7.11 Automated Test Evidence</w:t>
      </w:r>
    </w:p>
    <w:p>
      <w:pPr>
        <w:pStyle w:val="FirstParagraph"/>
      </w:pPr>
      <w:r>
        <w:t xml:space="preserve">Table 7.3 summarises the automated tests of the prototype (pytest 9.1.1, Python 3.11, run on 28 September 2026): 16 tests passed, 2 were skipped and none failed.</w:t>
      </w:r>
    </w:p>
    <w:p>
      <w:pPr>
        <w:pStyle w:val="TableCaption"/>
      </w:pPr>
      <w:r>
        <w:t xml:space="preserve">Table 7.3: Automated test results of the HALAH prototype</w:t>
      </w:r>
    </w:p>
    <w:tbl>
      <w:tblPr>
        <w:tblStyle w:val="Table"/>
        <w:tblW w:type="pct" w:w="5000"/>
        <w:tblLayout w:type="fixed"/>
        <w:tblLook w:firstRow="1" w:lastRow="0" w:firstColumn="0" w:lastColumn="0" w:noHBand="0" w:noVBand="0" w:val="0020"/>
        <w:tblCaption w:val="Table 7.3: Automated test results of the HALAH prototype"/>
      </w:tblPr>
      <w:tblGrid>
        <w:gridCol w:w="674"/>
        <w:gridCol w:w="2022"/>
        <w:gridCol w:w="2864"/>
        <w:gridCol w:w="786"/>
        <w:gridCol w:w="1572"/>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ID</w:t>
            </w:r>
          </w:p>
        </w:tc>
        <w:tc>
          <w:tcPr>
            <w:tcBorders>
              <w:bottom w:val="single" w:sz="8" w:space="0" w:color="000000"/>
            </w:tcBorders>
            <w:shd w:val="clear" w:color="auto" w:fill="E7E6E6"/>
            <w:vAlign w:val="center"/>
          </w:tcPr>
          <w:p>
            <w:pPr>
              <w:pStyle w:val="Compact"/>
              <w:jc w:val="left"/>
            </w:pPr>
            <w:r>
              <w:rPr>
                <w:b/>
                <w:bCs/>
              </w:rPr>
              <w:t xml:space="preserve">Scenario</w:t>
            </w:r>
          </w:p>
        </w:tc>
        <w:tc>
          <w:tcPr>
            <w:tcBorders>
              <w:bottom w:val="single" w:sz="8" w:space="0" w:color="000000"/>
            </w:tcBorders>
            <w:shd w:val="clear" w:color="auto" w:fill="E7E6E6"/>
            <w:vAlign w:val="center"/>
          </w:tcPr>
          <w:p>
            <w:pPr>
              <w:pStyle w:val="Compact"/>
              <w:jc w:val="left"/>
            </w:pPr>
            <w:r>
              <w:rPr>
                <w:b/>
                <w:bCs/>
              </w:rPr>
              <w:t xml:space="preserve">Condition tested → expected outcome</w:t>
            </w:r>
          </w:p>
        </w:tc>
        <w:tc>
          <w:tcPr>
            <w:tcBorders>
              <w:bottom w:val="single" w:sz="8" w:space="0" w:color="000000"/>
            </w:tcBorders>
            <w:shd w:val="clear" w:color="auto" w:fill="E7E6E6"/>
            <w:vAlign w:val="center"/>
          </w:tcPr>
          <w:p>
            <w:pPr>
              <w:pStyle w:val="Compact"/>
              <w:jc w:val="left"/>
            </w:pPr>
            <w:r>
              <w:rPr>
                <w:b/>
                <w:bCs/>
              </w:rPr>
              <w:t xml:space="preserve">Predicate</w:t>
            </w:r>
          </w:p>
        </w:tc>
        <w:tc>
          <w:tcPr>
            <w:tcBorders>
              <w:bottom w:val="single" w:sz="8" w:space="0" w:color="000000"/>
            </w:tcBorders>
            <w:shd w:val="clear" w:color="auto" w:fill="E7E6E6"/>
            <w:vAlign w:val="center"/>
          </w:tcPr>
          <w:p>
            <w:pPr>
              <w:pStyle w:val="Compact"/>
              <w:jc w:val="left"/>
            </w:pPr>
            <w:r>
              <w:rPr>
                <w:b/>
                <w:bCs/>
              </w:rPr>
              <w:t xml:space="preserve">Observed</w:t>
            </w:r>
          </w:p>
        </w:tc>
      </w:tr>
      <w:tr>
        <w:trPr>
          <w:cantSplit/>
        </w:trPr>
        <w:tc>
          <w:tcPr/>
          <w:p>
            <w:pPr>
              <w:pStyle w:val="Compact"/>
              <w:jc w:val="left"/>
            </w:pPr>
            <w:r>
              <w:t xml:space="preserve">T1</w:t>
            </w:r>
          </w:p>
        </w:tc>
        <w:tc>
          <w:tcPr/>
          <w:p>
            <w:pPr>
              <w:pStyle w:val="Compact"/>
              <w:jc w:val="left"/>
            </w:pPr>
            <w:r>
              <w:t xml:space="preserve">EIP-712 guardian approval</w:t>
            </w:r>
          </w:p>
        </w:tc>
        <w:tc>
          <w:tcPr/>
          <w:p>
            <w:pPr>
              <w:pStyle w:val="Compact"/>
              <w:jc w:val="left"/>
            </w:pPr>
            <w:r>
              <w:t xml:space="preserve">Valid signature accepted; wrong guardian, wrong consent ID and missing signature rejected</w:t>
            </w:r>
          </w:p>
        </w:tc>
        <w:tc>
          <w:tcPr/>
          <w:p>
            <w:pPr>
              <w:pStyle w:val="Compact"/>
              <w:jc w:val="left"/>
            </w:pPr>
            <m:oMath>
              <m:sSub>
                <m:e>
                  <m:r>
                    <m:t>V</m:t>
                  </m:r>
                </m:e>
                <m:sub>
                  <m:r>
                    <m:t>I</m:t>
                  </m:r>
                </m:sub>
              </m:sSub>
            </m:oMath>
          </w:p>
        </w:tc>
        <w:tc>
          <w:tcPr/>
          <w:p>
            <w:pPr>
              <w:pStyle w:val="Compact"/>
              <w:jc w:val="left"/>
            </w:pPr>
            <w:r>
              <w:t xml:space="preserve">Pass</w:t>
            </w:r>
          </w:p>
        </w:tc>
      </w:tr>
      <w:tr>
        <w:trPr>
          <w:cantSplit/>
        </w:trPr>
        <w:tc>
          <w:tcPr/>
          <w:p>
            <w:pPr>
              <w:pStyle w:val="Compact"/>
              <w:jc w:val="left"/>
            </w:pPr>
            <w:r>
              <w:t xml:space="preserve">T2</w:t>
            </w:r>
          </w:p>
        </w:tc>
        <w:tc>
          <w:tcPr/>
          <w:p>
            <w:pPr>
              <w:pStyle w:val="Compact"/>
              <w:jc w:val="left"/>
            </w:pPr>
            <w:r>
              <w:t xml:space="preserve">Decision matrix</w:t>
            </w:r>
          </w:p>
        </w:tc>
        <w:tc>
          <w:tcPr/>
          <w:p>
            <w:pPr>
              <w:pStyle w:val="Compact"/>
              <w:jc w:val="left"/>
            </w:pPr>
            <w:r>
              <w:t xml:space="preserve">All conditions true → ALLOW; wrong jurisdiction, expired consent, revoked consent, purpose</w:t>
            </w:r>
            <w:r>
              <w:t xml:space="preserve"> </w:t>
            </w:r>
            <w:r>
              <w:t xml:space="preserve">‘Marketing’</w:t>
            </w:r>
            <w:r>
              <w:t xml:space="preserve"> </w:t>
            </w:r>
            <w:r>
              <w:t xml:space="preserve">and forged signature each make the corresponding predicate fail</w:t>
            </w:r>
          </w:p>
        </w:tc>
        <w:tc>
          <w:tcPr/>
          <w:p>
            <w:pPr>
              <w:pStyle w:val="Compact"/>
              <w:jc w:val="left"/>
            </w:pPr>
            <m:oMath>
              <m:sSub>
                <m:e>
                  <m:r>
                    <m:t>V</m:t>
                  </m:r>
                </m:e>
                <m:sub>
                  <m:r>
                    <m:t>I</m:t>
                  </m:r>
                </m:sub>
              </m:sSub>
            </m:oMath>
            <w:r>
              <w:t xml:space="preserve">–</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T3</w:t>
            </w:r>
          </w:p>
        </w:tc>
        <w:tc>
          <w:tcPr/>
          <w:p>
            <w:pPr>
              <w:pStyle w:val="Compact"/>
              <w:jc w:val="left"/>
            </w:pPr>
            <w:r>
              <w:t xml:space="preserve">End-to-end lifecycle (chain mocked)</w:t>
            </w:r>
          </w:p>
        </w:tc>
        <w:tc>
          <w:tcPr/>
          <w:p>
            <w:pPr>
              <w:pStyle w:val="Compact"/>
              <w:jc w:val="left"/>
            </w:pPr>
            <w:r>
              <w:t xml:space="preserve">Create → PENDING_SIGNATURE; two signatures and mint → ACTIVE; revoke → REVOKED</w:t>
            </w:r>
          </w:p>
        </w:tc>
        <w:tc>
          <w:tcPr/>
          <w:p>
            <w:pPr>
              <w:pStyle w:val="Compact"/>
              <w:jc w:val="left"/>
            </w:pPr>
            <m:oMath>
              <m:sSub>
                <m:e>
                  <m:r>
                    <m:t>V</m:t>
                  </m:r>
                </m:e>
                <m:sub>
                  <m:r>
                    <m:t>A</m:t>
                  </m:r>
                </m:sub>
              </m:sSub>
            </m:oMath>
            <w:r>
              <w:t xml:space="preserve">,</w:t>
            </w:r>
            <w:r>
              <w:t xml:space="preserve"> </w:t>
            </w: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T4</w:t>
            </w:r>
          </w:p>
        </w:tc>
        <w:tc>
          <w:tcPr/>
          <w:p>
            <w:pPr>
              <w:pStyle w:val="Compact"/>
              <w:jc w:val="left"/>
            </w:pPr>
            <w:r>
              <w:t xml:space="preserve">Revocation state</w:t>
            </w:r>
          </w:p>
        </w:tc>
        <w:tc>
          <w:tcPr/>
          <w:p>
            <w:pPr>
              <w:pStyle w:val="Compact"/>
              <w:jc w:val="left"/>
            </w:pPr>
            <w:r>
              <w:t xml:space="preserve">An ACTIVE consent becomes REVOKED when revoked</w:t>
            </w:r>
          </w:p>
        </w:tc>
        <w:tc>
          <w:tcPr/>
          <w:p>
            <w:pPr>
              <w:pStyle w:val="Compact"/>
              <w:jc w:val="left"/>
            </w:pPr>
            <m:oMath>
              <m:sSub>
                <m:e>
                  <m:r>
                    <m:t>V</m:t>
                  </m:r>
                </m:e>
                <m:sub>
                  <m:r>
                    <m:t>L</m:t>
                  </m:r>
                </m:sub>
              </m:sSub>
            </m:oMath>
          </w:p>
        </w:tc>
        <w:tc>
          <w:tcPr/>
          <w:p>
            <w:pPr>
              <w:pStyle w:val="Compact"/>
              <w:jc w:val="left"/>
            </w:pPr>
            <w:r>
              <w:t xml:space="preserve">Pass</w:t>
            </w:r>
          </w:p>
        </w:tc>
      </w:tr>
      <w:tr>
        <w:trPr>
          <w:cantSplit/>
        </w:trPr>
        <w:tc>
          <w:tcPr/>
          <w:p>
            <w:pPr>
              <w:pStyle w:val="Compact"/>
              <w:jc w:val="left"/>
            </w:pPr>
            <w:r>
              <w:t xml:space="preserve">T5</w:t>
            </w:r>
          </w:p>
        </w:tc>
        <w:tc>
          <w:tcPr/>
          <w:p>
            <w:pPr>
              <w:pStyle w:val="Compact"/>
              <w:jc w:val="left"/>
            </w:pPr>
            <w:r>
              <w:t xml:space="preserve">v3 contract routing</w:t>
            </w:r>
          </w:p>
        </w:tc>
        <w:tc>
          <w:tcPr/>
          <w:p>
            <w:pPr>
              <w:pStyle w:val="Compact"/>
              <w:jc w:val="left"/>
            </w:pPr>
            <w:r>
              <w:t xml:space="preserve">The v3 mint carries jurisdiction</w:t>
            </w:r>
            <w:r>
              <w:t xml:space="preserve"> </w:t>
            </w:r>
            <w:r>
              <w:t xml:space="preserve">‘AU’</w:t>
            </w:r>
            <w:r>
              <w:t xml:space="preserve"> </w:t>
            </w:r>
            <w:r>
              <w:t xml:space="preserve">and notBefore &lt; expiry</w:t>
            </w:r>
          </w:p>
        </w:tc>
        <w:tc>
          <w:tcPr/>
          <w:p>
            <w:pPr>
              <w:pStyle w:val="Compact"/>
              <w:jc w:val="left"/>
            </w:pPr>
            <m:oMath>
              <m:sSub>
                <m:e>
                  <m:r>
                    <m:t>V</m:t>
                  </m:r>
                </m:e>
                <m:sub>
                  <m:r>
                    <m:t>T</m:t>
                  </m:r>
                </m:sub>
              </m:sSub>
            </m:oMath>
          </w:p>
        </w:tc>
        <w:tc>
          <w:tcPr/>
          <w:p>
            <w:pPr>
              <w:pStyle w:val="Compact"/>
              <w:jc w:val="left"/>
            </w:pPr>
            <w:r>
              <w:t xml:space="preserve">Pass</w:t>
            </w:r>
          </w:p>
        </w:tc>
      </w:tr>
      <w:tr>
        <w:trPr>
          <w:cantSplit/>
        </w:trPr>
        <w:tc>
          <w:tcPr/>
          <w:p>
            <w:pPr>
              <w:pStyle w:val="Compact"/>
              <w:jc w:val="left"/>
            </w:pPr>
            <w:r>
              <w:t xml:space="preserve">T6</w:t>
            </w:r>
          </w:p>
        </w:tc>
        <w:tc>
          <w:tcPr/>
          <w:p>
            <w:pPr>
              <w:pStyle w:val="Compact"/>
              <w:jc w:val="left"/>
            </w:pPr>
            <w:r>
              <w:t xml:space="preserve">Persistence (3 tests)</w:t>
            </w:r>
          </w:p>
        </w:tc>
        <w:tc>
          <w:tcPr/>
          <w:p>
            <w:pPr>
              <w:pStyle w:val="Compact"/>
              <w:jc w:val="left"/>
            </w:pPr>
            <w:r>
              <w:t xml:space="preserve">Consent, revocation and audit events survive a restart</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T7</w:t>
            </w:r>
          </w:p>
        </w:tc>
        <w:tc>
          <w:tcPr/>
          <w:p>
            <w:pPr>
              <w:pStyle w:val="Compact"/>
              <w:jc w:val="left"/>
            </w:pPr>
            <w:r>
              <w:t xml:space="preserve">Audit honesty (2 tests)</w:t>
            </w:r>
          </w:p>
        </w:tc>
        <w:tc>
          <w:tcPr/>
          <w:p>
            <w:pPr>
              <w:pStyle w:val="Compact"/>
              <w:jc w:val="left"/>
            </w:pPr>
            <w:r>
              <w:t xml:space="preserve">Off-chain events carry no synthetic transaction hash; on-chain events keep the real one</w:t>
            </w:r>
          </w:p>
        </w:tc>
        <w:tc>
          <w:tcPr/>
          <w:p>
            <w:pPr>
              <w:pStyle w:val="Compact"/>
              <w:jc w:val="left"/>
            </w:pPr>
            <m:oMath>
              <m:r>
                <m:t>E</m:t>
              </m:r>
            </m:oMath>
          </w:p>
        </w:tc>
        <w:tc>
          <w:tcPr/>
          <w:p>
            <w:pPr>
              <w:pStyle w:val="Compact"/>
              <w:jc w:val="left"/>
            </w:pPr>
            <w:r>
              <w:t xml:space="preserve">Pass</w:t>
            </w:r>
          </w:p>
        </w:tc>
      </w:tr>
      <w:tr>
        <w:trPr>
          <w:cantSplit/>
        </w:trPr>
        <w:tc>
          <w:tcPr/>
          <w:p>
            <w:pPr>
              <w:pStyle w:val="Compact"/>
              <w:jc w:val="left"/>
            </w:pPr>
            <w:r>
              <w:t xml:space="preserve">T8</w:t>
            </w:r>
          </w:p>
        </w:tc>
        <w:tc>
          <w:tcPr/>
          <w:p>
            <w:pPr>
              <w:pStyle w:val="Compact"/>
              <w:jc w:val="left"/>
            </w:pPr>
            <w:r>
              <w:t xml:space="preserve">Configuration and honesty (6 tests)</w:t>
            </w:r>
          </w:p>
        </w:tc>
        <w:tc>
          <w:tcPr/>
          <w:p>
            <w:pPr>
              <w:pStyle w:val="Compact"/>
              <w:jc w:val="left"/>
            </w:pPr>
            <w:r>
              <w:t xml:space="preserve">Deterministic DID-to-address mapping, configuration checks, contract interface and honest interface labels</w:t>
            </w:r>
          </w:p>
        </w:tc>
        <w:tc>
          <w:tcPr/>
          <w:p>
            <w:pPr>
              <w:pStyle w:val="Compact"/>
              <w:jc w:val="left"/>
            </w:pPr>
            <w:r>
              <w:t xml:space="preserve">–</w:t>
            </w:r>
          </w:p>
        </w:tc>
        <w:tc>
          <w:tcPr/>
          <w:p>
            <w:pPr>
              <w:pStyle w:val="Compact"/>
              <w:jc w:val="left"/>
            </w:pPr>
            <w:r>
              <w:t xml:space="preserve">Pass</w:t>
            </w:r>
          </w:p>
        </w:tc>
      </w:tr>
      <w:tr>
        <w:trPr>
          <w:cantSplit/>
        </w:trPr>
        <w:tc>
          <w:tcPr/>
          <w:p>
            <w:pPr>
              <w:pStyle w:val="Compact"/>
              <w:jc w:val="left"/>
            </w:pPr>
            <w:r>
              <w:t xml:space="preserve">T9</w:t>
            </w:r>
          </w:p>
        </w:tc>
        <w:tc>
          <w:tcPr/>
          <w:p>
            <w:pPr>
              <w:pStyle w:val="Compact"/>
              <w:jc w:val="left"/>
            </w:pPr>
            <w:r>
              <w:t xml:space="preserve">Groth16 zero-knowledge (2 tests)</w:t>
            </w:r>
          </w:p>
        </w:tc>
        <w:tc>
          <w:tcPr/>
          <w:p>
            <w:pPr>
              <w:pStyle w:val="Compact"/>
              <w:jc w:val="left"/>
            </w:pPr>
            <w:r>
              <w:t xml:space="preserve">Proof round-trip and tamper rejection; an expired consent cannot be proven</w:t>
            </w:r>
          </w:p>
        </w:tc>
        <w:tc>
          <w:tcPr/>
          <w:p>
            <w:pPr>
              <w:pStyle w:val="Compact"/>
              <w:jc w:val="left"/>
            </w:pPr>
            <m:oMath>
              <m:sSub>
                <m:e>
                  <m:r>
                    <m:t>V</m:t>
                  </m:r>
                </m:e>
                <m:sub>
                  <m:r>
                    <m:t>T</m:t>
                  </m:r>
                </m:sub>
              </m:sSub>
            </m:oMath>
          </w:p>
        </w:tc>
        <w:tc>
          <w:tcPr/>
          <w:p>
            <w:pPr>
              <w:pStyle w:val="Compact"/>
              <w:jc w:val="left"/>
            </w:pPr>
            <w:r>
              <w:t xml:space="preserve">Skipped (circuit not built)</w:t>
            </w:r>
          </w:p>
        </w:tc>
      </w:tr>
    </w:tbl>
    <w:p>
      <w:pPr>
        <w:pStyle w:val="BodyText"/>
      </w:pPr>
      <w:r>
        <w:t xml:space="preserve">These are functional unit and integration tests in which the blockchain is mocked. They provide initial evidence for SRQ1–SRQ4 and for the first SRQ5 checks, but they are not yet the complete valid, negative and adversarial scenario set of Algorithm 6. Negative cases still to be added in Stage 2 include insufficient approvals at the data-release gate, a duplicate approval attempt, an out-of-scope request submitted directly to the service interface, and a request with a mismatched declared purpose.</w:t>
      </w:r>
    </w:p>
    <w:bookmarkEnd w:id="165"/>
    <w:bookmarkStart w:id="166" w:name="on-chain-evidence"/>
    <w:p>
      <w:pPr>
        <w:pStyle w:val="Heading2"/>
      </w:pPr>
      <w:r>
        <w:t xml:space="preserve">7.12 On-Chain Evidence</w:t>
      </w:r>
    </w:p>
    <w:p>
      <w:pPr>
        <w:pStyle w:val="FirstParagraph"/>
      </w:pPr>
      <w:r>
        <w:t xml:space="preserve">Table 7.4 lists the consent tokens anchored on the Ethereum Sepolia testnet (chain ID 11155111) by the ConsentSBTv2 contract at address 0xb0dA0440Abd6bd74bE0aebE226D593492124A6e7. The holder of token #4 equals the address derived from the patient DID</w:t>
      </w:r>
      <w:r>
        <w:t xml:space="preserve"> </w:t>
      </w:r>
      <w:r>
        <w:t xml:space="preserve">‘did:patient:demo’</w:t>
      </w:r>
      <w:r>
        <w:t xml:space="preserve">, which demonstrates the DID-to-address binding used by the prototype.</w:t>
      </w:r>
    </w:p>
    <w:p>
      <w:pPr>
        <w:pStyle w:val="TableCaption"/>
      </w:pPr>
      <w:r>
        <w:t xml:space="preserve">Table 7.4: Consent SBTs anchored on Ethereum Sepolia</w:t>
      </w:r>
    </w:p>
    <w:tbl>
      <w:tblPr>
        <w:tblStyle w:val="Table"/>
        <w:tblW w:type="pct" w:w="5000"/>
        <w:tblLayout w:type="fixed"/>
        <w:tblLook w:firstRow="1" w:lastRow="0" w:firstColumn="0" w:lastColumn="0" w:noHBand="0" w:noVBand="0" w:val="0020"/>
        <w:tblCaption w:val="Table 7.4: Consent SBTs anchored on Ethereum Sepolia"/>
      </w:tblPr>
      <w:tblGrid>
        <w:gridCol w:w="1267"/>
        <w:gridCol w:w="1267"/>
        <w:gridCol w:w="5385"/>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Token</w:t>
            </w:r>
          </w:p>
        </w:tc>
        <w:tc>
          <w:tcPr>
            <w:tcBorders>
              <w:bottom w:val="single" w:sz="8" w:space="0" w:color="000000"/>
            </w:tcBorders>
            <w:shd w:val="clear" w:color="auto" w:fill="E7E6E6"/>
            <w:vAlign w:val="center"/>
          </w:tcPr>
          <w:p>
            <w:pPr>
              <w:pStyle w:val="Compact"/>
              <w:jc w:val="left"/>
            </w:pPr>
            <w:r>
              <w:rPr>
                <w:b/>
                <w:bCs/>
              </w:rPr>
              <w:t xml:space="preserve">Block</w:t>
            </w:r>
          </w:p>
        </w:tc>
        <w:tc>
          <w:tcPr>
            <w:tcBorders>
              <w:bottom w:val="single" w:sz="8" w:space="0" w:color="000000"/>
            </w:tcBorders>
            <w:shd w:val="clear" w:color="auto" w:fill="E7E6E6"/>
            <w:vAlign w:val="center"/>
          </w:tcPr>
          <w:p>
            <w:pPr>
              <w:pStyle w:val="Compact"/>
              <w:jc w:val="left"/>
            </w:pPr>
            <w:r>
              <w:rPr>
                <w:b/>
                <w:bCs/>
              </w:rPr>
              <w:t xml:space="preserve">Transaction hash</w:t>
            </w:r>
          </w:p>
        </w:tc>
      </w:tr>
      <w:tr>
        <w:trPr>
          <w:cantSplit/>
        </w:trPr>
        <w:tc>
          <w:tcPr/>
          <w:p>
            <w:pPr>
              <w:pStyle w:val="Compact"/>
              <w:jc w:val="left"/>
            </w:pPr>
            <w:r>
              <w:t xml:space="preserve">#1</w:t>
            </w:r>
          </w:p>
        </w:tc>
        <w:tc>
          <w:tcPr/>
          <w:p>
            <w:pPr>
              <w:pStyle w:val="Compact"/>
              <w:jc w:val="left"/>
            </w:pPr>
            <w:r>
              <w:t xml:space="preserve">11750525</w:t>
            </w:r>
          </w:p>
        </w:tc>
        <w:tc>
          <w:tcPr/>
          <w:p>
            <w:pPr>
              <w:pStyle w:val="Compact"/>
              <w:jc w:val="left"/>
            </w:pPr>
            <w:r>
              <w:t xml:space="preserve">0x5bfb45ee43f180369161db5b2773593c8fab091bdc50e1b2054901c0de105367</w:t>
            </w:r>
          </w:p>
        </w:tc>
      </w:tr>
      <w:tr>
        <w:trPr>
          <w:cantSplit/>
        </w:trPr>
        <w:tc>
          <w:tcPr/>
          <w:p>
            <w:pPr>
              <w:pStyle w:val="Compact"/>
              <w:jc w:val="left"/>
            </w:pPr>
            <w:r>
              <w:t xml:space="preserve">#2</w:t>
            </w:r>
          </w:p>
        </w:tc>
        <w:tc>
          <w:tcPr/>
          <w:p>
            <w:pPr>
              <w:pStyle w:val="Compact"/>
              <w:jc w:val="left"/>
            </w:pPr>
            <w:r>
              <w:t xml:space="preserve">11750632</w:t>
            </w:r>
          </w:p>
        </w:tc>
        <w:tc>
          <w:tcPr/>
          <w:p>
            <w:pPr>
              <w:pStyle w:val="Compact"/>
              <w:jc w:val="left"/>
            </w:pPr>
            <w:r>
              <w:t xml:space="preserve">0x1b964596cdef2c67af345f566ea501a5be609a8e917097596b241e56fc522907</w:t>
            </w:r>
          </w:p>
        </w:tc>
      </w:tr>
      <w:tr>
        <w:trPr>
          <w:cantSplit/>
        </w:trPr>
        <w:tc>
          <w:tcPr/>
          <w:p>
            <w:pPr>
              <w:pStyle w:val="Compact"/>
              <w:jc w:val="left"/>
            </w:pPr>
            <w:r>
              <w:t xml:space="preserve">#3</w:t>
            </w:r>
          </w:p>
        </w:tc>
        <w:tc>
          <w:tcPr/>
          <w:p>
            <w:pPr>
              <w:pStyle w:val="Compact"/>
              <w:jc w:val="left"/>
            </w:pPr>
            <w:r>
              <w:t xml:space="preserve">11750702</w:t>
            </w:r>
          </w:p>
        </w:tc>
        <w:tc>
          <w:tcPr/>
          <w:p>
            <w:pPr>
              <w:pStyle w:val="Compact"/>
              <w:jc w:val="left"/>
            </w:pPr>
            <w:r>
              <w:t xml:space="preserve">0x6812ab1608bd475891d5a8c2007c6955e7225c06c81a649bd1735aabef251121</w:t>
            </w:r>
          </w:p>
        </w:tc>
      </w:tr>
      <w:tr>
        <w:trPr>
          <w:cantSplit/>
        </w:trPr>
        <w:tc>
          <w:tcPr/>
          <w:p>
            <w:pPr>
              <w:pStyle w:val="Compact"/>
              <w:jc w:val="left"/>
            </w:pPr>
            <w:r>
              <w:t xml:space="preserve">#4</w:t>
            </w:r>
          </w:p>
        </w:tc>
        <w:tc>
          <w:tcPr/>
          <w:p>
            <w:pPr>
              <w:pStyle w:val="Compact"/>
              <w:jc w:val="left"/>
            </w:pPr>
            <w:r>
              <w:t xml:space="preserve">11750722</w:t>
            </w:r>
          </w:p>
        </w:tc>
        <w:tc>
          <w:tcPr/>
          <w:p>
            <w:pPr>
              <w:pStyle w:val="Compact"/>
              <w:jc w:val="left"/>
            </w:pPr>
            <w:r>
              <w:t xml:space="preserve">0xa4c4156bd943578a6f8f29a536eb39e1acce238a86c5a4ad00d85eff497e014a</w:t>
            </w:r>
          </w:p>
        </w:tc>
      </w:tr>
    </w:tbl>
    <w:bookmarkEnd w:id="166"/>
    <w:bookmarkStart w:id="167" w:name="implementation-status-and-limitations"/>
    <w:p>
      <w:pPr>
        <w:pStyle w:val="Heading2"/>
      </w:pPr>
      <w:r>
        <w:t xml:space="preserve">7.13 Implementation Status and Limitations</w:t>
      </w:r>
    </w:p>
    <w:p>
      <w:pPr>
        <w:pStyle w:val="FirstParagraph"/>
      </w:pPr>
      <w:r>
        <w:t xml:space="preserve">The screenshots in Figures 7.1–7.5 were captured from the first version of the prototype. The current version (v1.1) records guardian approvals as EIP-712 signatures, labels the data-access proof as a placeholder unless the zero-knowledge circuit is built, and reports on-chain anchoring per event. The following limitations apply to the current evidence:</w:t>
      </w:r>
    </w:p>
    <w:p>
      <w:pPr>
        <w:pStyle w:val="Compact"/>
        <w:numPr>
          <w:ilvl w:val="0"/>
          <w:numId w:val="1076"/>
        </w:numPr>
      </w:pPr>
      <w:r>
        <w:t xml:space="preserve">Guardian signing keys are derived from the DID for demonstration; a deployment would use each guardian’s own wallet.</w:t>
      </w:r>
    </w:p>
    <w:p>
      <w:pPr>
        <w:pStyle w:val="Compact"/>
        <w:numPr>
          <w:ilvl w:val="0"/>
          <w:numId w:val="1076"/>
        </w:numPr>
      </w:pPr>
      <w:r>
        <w:t xml:space="preserve">DID verification is syntactic, and no W3C Verifiable Credential is yet issued or verified (Stage 2).</w:t>
      </w:r>
    </w:p>
    <w:p>
      <w:pPr>
        <w:pStyle w:val="Compact"/>
        <w:numPr>
          <w:ilvl w:val="0"/>
          <w:numId w:val="1076"/>
        </w:numPr>
      </w:pPr>
      <w:r>
        <w:t xml:space="preserve">The threshold is</w:t>
      </w:r>
      <w:r>
        <w:t xml:space="preserve"> </w:t>
      </w:r>
      <m:oMath>
        <m:r>
          <m:t>N</m:t>
        </m:r>
        <m:r>
          <m:rPr>
            <m:sty m:val="p"/>
          </m:rPr>
          <m:t>=</m:t>
        </m:r>
        <m:d>
          <m:dPr>
            <m:begChr m:val="|"/>
            <m:sepChr m:val=""/>
            <m:endChr m:val="|"/>
            <m:grow/>
          </m:dPr>
          <m:e>
            <m:r>
              <m:t>G</m:t>
            </m:r>
          </m:e>
        </m:d>
      </m:oMath>
      <w:r>
        <w:t xml:space="preserve"> </w:t>
      </w:r>
      <w:r>
        <w:t xml:space="preserve">(all designated guardians); configurable k-of-n thresholds are not yet supported.</w:t>
      </w:r>
    </w:p>
    <w:p>
      <w:pPr>
        <w:pStyle w:val="Compact"/>
        <w:numPr>
          <w:ilvl w:val="0"/>
          <w:numId w:val="1076"/>
        </w:numPr>
      </w:pPr>
      <w:r>
        <w:t xml:space="preserve">Purpose is checked against a fixed list; per-request purpose binding is Stage 2 work.</w:t>
      </w:r>
    </w:p>
    <w:p>
      <w:pPr>
        <w:pStyle w:val="Compact"/>
        <w:numPr>
          <w:ilvl w:val="0"/>
          <w:numId w:val="1076"/>
        </w:numPr>
      </w:pPr>
      <w:r>
        <w:t xml:space="preserve">Data release is gated by consent state, proof and scope rather than by the full decision matrix.</w:t>
      </w:r>
    </w:p>
    <w:p>
      <w:pPr>
        <w:pStyle w:val="Compact"/>
        <w:numPr>
          <w:ilvl w:val="0"/>
          <w:numId w:val="1076"/>
        </w:numPr>
      </w:pPr>
      <w:r>
        <w:t xml:space="preserve">Healthcare data are synthetic (Synthea [38]), and the blockchain is a public testnet rather than a production network.</w:t>
      </w:r>
    </w:p>
    <w:p>
      <w:pPr>
        <w:pStyle w:val="Compact"/>
        <w:numPr>
          <w:ilvl w:val="0"/>
          <w:numId w:val="1076"/>
        </w:numPr>
      </w:pPr>
      <w:r>
        <w:t xml:space="preserve">The Groth16 circuit proves consent validity only and uses a development-only trusted setup.</w:t>
      </w:r>
    </w:p>
    <w:p>
      <w:pPr>
        <w:pStyle w:val="Compact"/>
        <w:numPr>
          <w:ilvl w:val="0"/>
          <w:numId w:val="1076"/>
        </w:numPr>
      </w:pPr>
      <w:r>
        <w:t xml:space="preserve">Evaluation to date is functional (18 automated tests); performance and adversarial measurements are Stage 2 work.</w:t>
      </w:r>
    </w:p>
    <w:bookmarkEnd w:id="167"/>
    <w:bookmarkEnd w:id="168"/>
    <w:bookmarkStart w:id="175" w:name="current-progress-status"/>
    <w:p>
      <w:pPr>
        <w:pStyle w:val="Heading1"/>
      </w:pPr>
      <w:r>
        <w:t xml:space="preserve">8 Current Progress Status</w:t>
      </w:r>
    </w:p>
    <w:bookmarkStart w:id="169" w:name="X14610c74215ca842dde591adf203c91218a1a96"/>
    <w:p>
      <w:pPr>
        <w:pStyle w:val="Heading2"/>
      </w:pPr>
      <w:r>
        <w:t xml:space="preserve">8.1 Progress of RO1: Trust-Centric Consent Model</w:t>
      </w:r>
    </w:p>
    <w:p>
      <w:pPr>
        <w:pStyle w:val="FirstParagraph"/>
      </w:pPr>
      <w:r>
        <w:rPr>
          <w:b/>
          <w:bCs/>
        </w:rPr>
        <w:t xml:space="preserve">Status: Completed</w:t>
      </w:r>
    </w:p>
    <w:p>
      <w:pPr>
        <w:pStyle w:val="BodyText"/>
      </w:pPr>
      <w:r>
        <w:t xml:space="preserve">RO1 has been completed at the conceptual and prototype-design level.</w:t>
      </w:r>
    </w:p>
    <w:p>
      <w:pPr>
        <w:pStyle w:val="BodyText"/>
      </w:pPr>
      <w:r>
        <w:t xml:space="preserve">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The proposed representation is</w:t>
      </w:r>
      <w:r>
        <w:t xml:space="preserve"> </w:t>
      </w:r>
      <m:oMath>
        <m:r>
          <m:t>C</m:t>
        </m:r>
        <m:r>
          <m:rPr>
            <m:sty m:val="p"/>
          </m:rPr>
          <m:t>=</m:t>
        </m:r>
        <m:r>
          <m:rPr>
            <m:sty m:val="p"/>
          </m:rPr>
          <m:t>(</m:t>
        </m:r>
        <m:r>
          <m:t>I</m:t>
        </m:r>
        <m:r>
          <m:rPr>
            <m:sty m:val="p"/>
          </m:rPr>
          <m:t>,</m:t>
        </m:r>
        <m:r>
          <m:t>A</m:t>
        </m:r>
        <m:r>
          <m:rPr>
            <m:sty m:val="p"/>
          </m:rPr>
          <m:t>,</m:t>
        </m:r>
        <m:r>
          <m:t>P</m:t>
        </m:r>
        <m:r>
          <m:rPr>
            <m:sty m:val="p"/>
          </m:rPr>
          <m:t>,</m:t>
        </m:r>
        <m:r>
          <m:t>E</m:t>
        </m:r>
        <m:r>
          <m:rPr>
            <m:sty m:val="p"/>
          </m:rPr>
          <m:t>)</m:t>
        </m:r>
      </m:oMath>
      <w:r>
        <w:t xml:space="preserve"> </w:t>
      </w:r>
      <w:r>
        <w:t xml:space="preserve">(Eq. (7)).</w:t>
      </w:r>
    </w:p>
    <w:p>
      <w:pPr>
        <w:pStyle w:val="BodyText"/>
      </w:pPr>
      <w:r>
        <w:t xml:space="preserve">Identity information establishes the relevant participants. Authorisation requirements define who must approve the consent. Policy information specifies the purpose and permitted data scope. Authorisation evidence records the information required to demonstrate how the consent decision was established.</w:t>
      </w:r>
    </w:p>
    <w:p>
      <w:pPr>
        <w:pStyle w:val="BodyText"/>
      </w:pPr>
      <w:r>
        <w:t xml:space="preserve">The model provides the foundation for the remaining objectives because the identity, multi-party approval, and policy mechanisms can all be evaluated against the same consent object.</w:t>
      </w:r>
    </w:p>
    <w:p>
      <w:pPr>
        <w:pStyle w:val="BodyText"/>
      </w:pPr>
      <w:r>
        <w:t xml:space="preserve">The current result demonstrates that consent can be represented as an evaluable authorisation object rather than as a binary permission. In the HALAH prototype the consent object is implemented as</w:t>
      </w:r>
      <w:r>
        <w:t xml:space="preserve"> </w:t>
      </w:r>
      <m:oMath>
        <m:r>
          <m:t>C</m:t>
        </m:r>
        <m:r>
          <m:rPr>
            <m:sty m:val="p"/>
          </m:rPr>
          <m:t>=</m:t>
        </m:r>
        <m:r>
          <m:rPr>
            <m:sty m:val="p"/>
          </m:rPr>
          <m:t>(</m:t>
        </m:r>
        <m:r>
          <m:t>I</m:t>
        </m:r>
        <m:r>
          <m:rPr>
            <m:sty m:val="p"/>
          </m:rPr>
          <m:t>,</m:t>
        </m:r>
        <m:r>
          <m:t>A</m:t>
        </m:r>
        <m:r>
          <m:rPr>
            <m:sty m:val="p"/>
          </m:rPr>
          <m:t>,</m:t>
        </m:r>
        <m:r>
          <m:t>P</m:t>
        </m:r>
        <m:r>
          <m:rPr>
            <m:sty m:val="p"/>
          </m:rPr>
          <m:t>,</m:t>
        </m:r>
        <m:r>
          <m:t>T</m:t>
        </m:r>
        <m:r>
          <m:rPr>
            <m:sty m:val="p"/>
          </m:rPr>
          <m:t>,</m:t>
        </m:r>
        <m:r>
          <m:t>L</m:t>
        </m:r>
        <m:r>
          <m:rPr>
            <m:sty m:val="p"/>
          </m:rPr>
          <m:t>,</m:t>
        </m:r>
        <m:r>
          <m:t>E</m:t>
        </m:r>
        <m:r>
          <m:rPr>
            <m:sty m:val="p"/>
          </m:rPr>
          <m:t>)</m:t>
        </m:r>
      </m:oMath>
      <w:r>
        <w:t xml:space="preserve"> </w:t>
      </w:r>
      <w:r>
        <w:t xml:space="preserve">(Section 7.2). This provides a conceptual basis for dynamic access decisions and allows subsequent authorisation conditions to be evaluated consistently.</w:t>
      </w:r>
    </w:p>
    <w:bookmarkEnd w:id="169"/>
    <w:bookmarkStart w:id="170" w:name="X559e9df15ebd031f98715062b5b54bf7a8f1d60"/>
    <w:p>
      <w:pPr>
        <w:pStyle w:val="Heading2"/>
      </w:pPr>
      <w:r>
        <w:t xml:space="preserve">8.2 Progress of RO2: Decentralised Identity and Authority</w:t>
      </w:r>
    </w:p>
    <w:p>
      <w:pPr>
        <w:pStyle w:val="FirstParagraph"/>
      </w:pPr>
      <w:r>
        <w:rPr>
          <w:b/>
          <w:bCs/>
        </w:rPr>
        <w:t xml:space="preserve">Status: Completed (prototype level; W3C VC verification in Stage 2)</w:t>
      </w:r>
    </w:p>
    <w:p>
      <w:pPr>
        <w:pStyle w:val="BodyText"/>
      </w:pPr>
      <w:r>
        <w:t xml:space="preserve">RO2 has been completed at the conceptual and prototype level. The proposed framework explicitly separates identity authentication from authorisation authority (Eq. (1)).</w:t>
      </w:r>
    </w:p>
    <w:p>
      <w:pPr>
        <w:pStyle w:val="BodyText"/>
      </w:pPr>
      <w:r>
        <w:t xml:space="preserve">A decentralised identifier is used to establish the identity of a participant, while verifiable credentials provide evidence concerning the participant’s role or authority. The identity verification condition is given by Eq. (8).</w:t>
      </w:r>
    </w:p>
    <w:p>
      <w:pPr>
        <w:pStyle w:val="BodyText"/>
      </w:pPr>
      <w:r>
        <w:t xml:space="preserve">Successful identity verification therefore does not automatically grant access to healthcare information. Instead, identity and credential validity become trusted inputs to the subsequent authorisation process.</w:t>
      </w:r>
    </w:p>
    <w:p>
      <w:pPr>
        <w:pStyle w:val="BodyText"/>
      </w:pPr>
      <w:r>
        <w:t xml:space="preserve">The current implementation demonstrates the separation between participant identity and authorisation authority. A valid healthcare participant identity can be verified independently from the question of whether that participant is authorised to access a particular patient’s data. In the prototype, guardian approvals are EIP-712 signatures verified by public-key recovery; a wrong guardian, a wrong consent identifier or a missing signature is rejected (Table 7.3, T1).</w:t>
      </w:r>
    </w:p>
    <w:bookmarkEnd w:id="170"/>
    <w:bookmarkStart w:id="171" w:name="Xf706e6be99deea6c1433defe6c0978157a655ed"/>
    <w:p>
      <w:pPr>
        <w:pStyle w:val="Heading2"/>
      </w:pPr>
      <w:r>
        <w:t xml:space="preserve">8.3 Progress of RO3: Trustworthy Multi-Party Authorisation</w:t>
      </w:r>
    </w:p>
    <w:p>
      <w:pPr>
        <w:pStyle w:val="FirstParagraph"/>
      </w:pPr>
      <w:r>
        <w:rPr>
          <w:b/>
          <w:bCs/>
        </w:rPr>
        <w:t xml:space="preserve">Status: Completed</w:t>
      </w:r>
    </w:p>
    <w:p>
      <w:pPr>
        <w:pStyle w:val="BodyText"/>
      </w:pPr>
      <w:r>
        <w:t xml:space="preserve">RO3 has been completed at the conceptual and prototype level. The framework introduces threshold-based multi-party authorisation to prevent a single participant from unilaterally establishing sensitive healthcare data access.</w:t>
      </w:r>
    </w:p>
    <w:p>
      <w:pPr>
        <w:pStyle w:val="BodyText"/>
      </w:pPr>
      <w:r>
        <w:t xml:space="preserve">Let</w:t>
      </w:r>
      <w:r>
        <w:t xml:space="preserve"> </w:t>
      </w:r>
      <w:r>
        <w:rPr>
          <w:i/>
          <w:iCs/>
        </w:rPr>
        <w:t xml:space="preserve">A</w:t>
      </w:r>
      <w:r>
        <w:rPr>
          <w:vertAlign w:val="subscript"/>
        </w:rPr>
        <w:t xml:space="preserve">v</w:t>
      </w:r>
      <w:r>
        <w:t xml:space="preserve"> </w:t>
      </w:r>
      <w:r>
        <w:t xml:space="preserve">represent the set of independently verified authorisation participants and</w:t>
      </w:r>
      <w:r>
        <w:t xml:space="preserve"> </w:t>
      </w:r>
      <w:r>
        <w:rPr>
          <w:i/>
          <w:iCs/>
        </w:rPr>
        <w:t xml:space="preserve">N</w:t>
      </w:r>
      <w:r>
        <w:t xml:space="preserve"> </w:t>
      </w:r>
      <w:r>
        <w:t xml:space="preserve">represent the required approval threshold. The authorisation condition is given by Eq. (9).</w:t>
      </w:r>
    </w:p>
    <w:p>
      <w:pPr>
        <w:pStyle w:val="BodyText"/>
      </w:pPr>
      <w:r>
        <w:t xml:space="preserve">If the threshold is not satisfied, the decision is DENY (Eq. (10)).</w:t>
      </w:r>
    </w:p>
    <w:p>
      <w:pPr>
        <w:pStyle w:val="BodyText"/>
      </w:pPr>
      <w:r>
        <w:t xml:space="preserve">This mechanism allows the framework to distinguish between insufficient and sufficient collective authorisation.</w:t>
      </w:r>
    </w:p>
    <w:p>
      <w:pPr>
        <w:pStyle w:val="BodyText"/>
      </w:pPr>
      <w:r>
        <w:t xml:space="preserve">The prototype demonstrates that a consent object remains unable to establish valid authorisation until the required number of independently verified participants has approved it.</w:t>
      </w:r>
    </w:p>
    <w:p>
      <w:pPr>
        <w:pStyle w:val="BodyText"/>
      </w:pPr>
      <w:r>
        <w:t xml:space="preserve">For example, with two guardians, one approval leaves the consent in the PENDING_SIGNATURE state, and two approvals followed by SBT minting activate it (Eqs. (22)–(23); Figure 7.2; Table 7.3, T3).</w:t>
      </w:r>
    </w:p>
    <w:p>
      <w:pPr>
        <w:pStyle w:val="BodyText"/>
      </w:pPr>
      <w:r>
        <w:t xml:space="preserve">This provides preliminary evidence that the proposed framework can enforce collective rather than unilateral authorisation.</w:t>
      </w:r>
    </w:p>
    <w:bookmarkEnd w:id="171"/>
    <w:bookmarkStart w:id="172" w:name="X8600b2f76ef27bbd75c7c71838aa9377b2ebdb3"/>
    <w:p>
      <w:pPr>
        <w:pStyle w:val="Heading2"/>
      </w:pPr>
      <w:r>
        <w:t xml:space="preserve">8.4 Progress of RO4: Policy-Aware Access Control</w:t>
      </w:r>
    </w:p>
    <w:p>
      <w:pPr>
        <w:pStyle w:val="FirstParagraph"/>
      </w:pPr>
      <w:r>
        <w:rPr>
          <w:b/>
          <w:bCs/>
        </w:rPr>
        <w:t xml:space="preserve">Status: Completed (prototype level)</w:t>
      </w:r>
    </w:p>
    <w:p>
      <w:pPr>
        <w:pStyle w:val="BodyText"/>
      </w:pPr>
      <w:r>
        <w:t xml:space="preserve">RO4 has been implemented at prototype level. The Doctor interface (Figures 7.3–7.4, Section 7.4) allows the requester to select only modules from the consented scope, and the service layer independently enforces</w:t>
      </w:r>
      <w:r>
        <w:t xml:space="preserve"> </w:t>
      </w:r>
      <m:oMath>
        <m:sSub>
          <m:e>
            <m:r>
              <m:t>S</m:t>
            </m:r>
          </m:e>
          <m:sub>
            <m:r>
              <m:t>R</m:t>
            </m:r>
          </m:sub>
        </m:sSub>
        <m:r>
          <m:rPr>
            <m:sty m:val="p"/>
          </m:rPr>
          <m:t>⊆</m:t>
        </m:r>
        <m:sSub>
          <m:e>
            <m:r>
              <m:t>S</m:t>
            </m:r>
          </m:e>
          <m:sub>
            <m:r>
              <m:t>C</m:t>
            </m:r>
          </m:sub>
        </m:sSub>
      </m:oMath>
      <w:r>
        <w:t xml:space="preserve"> </w:t>
      </w:r>
      <w:r>
        <w:t xml:space="preserve">(Eq. (25)); a request outside the consented scope is refused with an ACCESS DENIED result that is written to the audit log together with the evaluated scope. The purpose predicate is currently evaluated against the set of permitted purposes {Treatment, Research, Emergency}; binding a purpose declared in each request to the consented purpose (</w:t>
      </w:r>
      <m:oMath>
        <m:sSub>
          <m:e>
            <m:r>
              <m:t>P</m:t>
            </m:r>
          </m:e>
          <m:sub>
            <m:r>
              <m:t>R</m:t>
            </m:r>
          </m:sub>
        </m:sSub>
        <m:r>
          <m:rPr>
            <m:sty m:val="p"/>
          </m:rPr>
          <m:t>⊨</m:t>
        </m:r>
        <m:sSub>
          <m:e>
            <m:r>
              <m:t>P</m:t>
            </m:r>
          </m:e>
          <m:sub>
            <m:r>
              <m:t>C</m:t>
            </m:r>
          </m:sub>
        </m:sSub>
      </m:oMath>
      <w:r>
        <w:t xml:space="preserve">) and routing data release through the full decision matrix are scheduled for Stage 2 (Section 6.4.1).</w:t>
      </w:r>
    </w:p>
    <w:bookmarkEnd w:id="172"/>
    <w:bookmarkStart w:id="173" w:name="X8e6146f09fe285d619620b5d8a35865b7344e11"/>
    <w:p>
      <w:pPr>
        <w:pStyle w:val="Heading2"/>
      </w:pPr>
      <w:r>
        <w:t xml:space="preserve">8.5 Progress of RO5: Temporal and Lifecycle Trust</w:t>
      </w:r>
    </w:p>
    <w:p>
      <w:pPr>
        <w:pStyle w:val="FirstParagraph"/>
      </w:pPr>
      <w:r>
        <w:rPr>
          <w:b/>
          <w:bCs/>
        </w:rPr>
        <w:t xml:space="preserve">Status: Partially completed (prototype; formal lifecycle analysis in Stage 2)</w:t>
      </w:r>
    </w:p>
    <w:p>
      <w:pPr>
        <w:pStyle w:val="BodyText"/>
      </w:pPr>
      <w:r>
        <w:t xml:space="preserve">A first version of RO5 is already operational in the HALAH prototype (Section 6.5.1); Stage 2 adds formal transition rules and adversarial evaluation. The objective is to introduce temporal and lifecycle trust so that consent is not considered permanently valid after creation or approval. The consent validity interval is represented as [</w:t>
      </w:r>
      <w:r>
        <w:rPr>
          <w:i/>
          <w:iCs/>
        </w:rPr>
        <w:t xml:space="preserve">t</w:t>
      </w:r>
      <w:r>
        <w:rPr>
          <w:vertAlign w:val="subscript"/>
        </w:rPr>
        <w:t xml:space="preserve">s</w:t>
      </w:r>
      <w:r>
        <w:rPr>
          <w:i/>
          <w:iCs/>
        </w:rPr>
        <w:t xml:space="preserve">, t</w:t>
      </w:r>
      <w:r>
        <w:rPr>
          <w:vertAlign w:val="subscript"/>
        </w:rPr>
        <w:t xml:space="preserve">e</w:t>
      </w:r>
      <w:r>
        <w:t xml:space="preserve">], with temporal validity defined by Eq. (12).</w:t>
      </w:r>
    </w:p>
    <w:p>
      <w:pPr>
        <w:pStyle w:val="BodyText"/>
      </w:pPr>
      <w:r>
        <w:t xml:space="preserve">The consent lifecycle will also be extended to represent controlled transitions such as those of Eq. (14).</w:t>
      </w:r>
    </w:p>
    <w:p>
      <w:pPr>
        <w:pStyle w:val="BodyText"/>
      </w:pPr>
      <w:r>
        <w:t xml:space="preserve">The expected outcome is a lifecycle-aware consent mechanism capable of rejecting access after expiration or revocation and preventing unauthorised lifecycle transitions. This work will constitute a major component of next stage.</w:t>
      </w:r>
    </w:p>
    <w:bookmarkEnd w:id="173"/>
    <w:bookmarkStart w:id="174" w:name="Xd9cfcdd9e757a6720ff3496d27d05dcd5fd4592"/>
    <w:p>
      <w:pPr>
        <w:pStyle w:val="Heading2"/>
      </w:pPr>
      <w:r>
        <w:t xml:space="preserve">8.6 Progress of RO6: Security Assurance and Validation</w:t>
      </w:r>
    </w:p>
    <w:p>
      <w:pPr>
        <w:pStyle w:val="FirstParagraph"/>
      </w:pPr>
      <w:r>
        <w:rPr>
          <w:b/>
          <w:bCs/>
        </w:rPr>
        <w:t xml:space="preserve">Status: Partially completed (SRQ1–SRQ4; 16 automated tests passed, Table 7.3)</w:t>
      </w:r>
    </w:p>
    <w:p>
      <w:pPr>
        <w:pStyle w:val="BodyText"/>
      </w:pPr>
      <w:r>
        <w:t xml:space="preserve">RO6 is partially completed through the implementation and initial scenario-based validation of the HALAH prototype.</w:t>
      </w:r>
    </w:p>
    <w:p>
      <w:pPr>
        <w:pStyle w:val="BodyText"/>
      </w:pPr>
      <w:r>
        <w:t xml:space="preserve">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verification, multi-party approval, and access-control evaluation.</w:t>
      </w:r>
    </w:p>
    <w:p>
      <w:pPr>
        <w:pStyle w:val="BodyText"/>
      </w:pPr>
      <w:r>
        <w:t xml:space="preserve">The current validation covers SRQ1–SRQ4 and the first SRQ5 checks (Section 7.11). Representative scenarios include valid identity verification, invalid identity or credential submission, insufficient multi-party approval, and successful completion of the required approval threshold. The central decision model is given by Eq. (6).</w:t>
      </w:r>
    </w:p>
    <w:p>
      <w:pPr>
        <w:pStyle w:val="BodyText"/>
      </w:pPr>
      <w:r>
        <w:t xml:space="preserve">At the current stage, the experimental evidence primarily demonstrates the consistency between the implemented consent, identity, and multi-party authorisation mechanisms and their corresponding research questions.</w:t>
      </w:r>
    </w:p>
    <w:p>
      <w:pPr>
        <w:pStyle w:val="BodyText"/>
      </w:pPr>
      <w:r>
        <w:t xml:space="preserve">The remaining security assurance and comprehensive empirical evaluation will be conducted in next stage. These activities will include policy-violation scenarios, temporal expiration, revocation, invalid lifecycle transitions, formal security properties, and broader experimental validation.</w:t>
      </w:r>
    </w:p>
    <w:bookmarkEnd w:id="174"/>
    <w:bookmarkEnd w:id="175"/>
    <w:bookmarkStart w:id="176" w:name="publications-summary"/>
    <w:p>
      <w:pPr>
        <w:pStyle w:val="Heading1"/>
      </w:pPr>
      <w:r>
        <w:t xml:space="preserve">9 Publications Summary</w:t>
      </w:r>
    </w:p>
    <w:p>
      <w:pPr>
        <w:pStyle w:val="FirstParagraph"/>
      </w:pPr>
      <w:r>
        <w:t xml:space="preserve">The publication activities associated with this research are organised according to their current development status and their structural contribution to the thesis chapters and research questions.</w:t>
      </w:r>
    </w:p>
    <w:p>
      <w:pPr>
        <w:pStyle w:val="TableCaption"/>
      </w:pPr>
      <w:r>
        <w:t xml:space="preserve">Table 9.1: Summary of Research Outputs and Publication Plan</w:t>
      </w:r>
    </w:p>
    <w:tbl>
      <w:tblPr>
        <w:tblStyle w:val="Table"/>
        <w:tblW w:type="pct" w:w="5000"/>
        <w:tblLayout w:type="fixed"/>
        <w:tblLook w:firstRow="1" w:lastRow="0" w:firstColumn="0" w:lastColumn="0" w:noHBand="0" w:noVBand="0" w:val="0020"/>
        <w:tblCaption w:val="Table 9.1: Summary of Research Outputs and Publication Plan"/>
      </w:tblPr>
      <w:tblGrid>
        <w:gridCol w:w="2207"/>
        <w:gridCol w:w="1341"/>
        <w:gridCol w:w="2163"/>
        <w:gridCol w:w="220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Output / Topic</w:t>
            </w:r>
          </w:p>
        </w:tc>
        <w:tc>
          <w:tcPr>
            <w:tcBorders>
              <w:bottom w:val="single" w:sz="8" w:space="0" w:color="000000"/>
            </w:tcBorders>
            <w:shd w:val="clear" w:color="auto" w:fill="E7E6E6"/>
            <w:vAlign w:val="center"/>
          </w:tcPr>
          <w:p>
            <w:pPr>
              <w:pStyle w:val="Compact"/>
              <w:jc w:val="left"/>
            </w:pPr>
            <w:r>
              <w:rPr>
                <w:b/>
                <w:bCs/>
              </w:rPr>
              <w:t xml:space="preserve">Target Venue</w:t>
            </w:r>
          </w:p>
        </w:tc>
        <w:tc>
          <w:tcPr>
            <w:tcBorders>
              <w:bottom w:val="single" w:sz="8" w:space="0" w:color="000000"/>
            </w:tcBorders>
            <w:shd w:val="clear" w:color="auto" w:fill="E7E6E6"/>
            <w:vAlign w:val="center"/>
          </w:tcPr>
          <w:p>
            <w:pPr>
              <w:pStyle w:val="Compact"/>
              <w:jc w:val="left"/>
            </w:pPr>
            <w:r>
              <w:rPr>
                <w:b/>
                <w:bCs/>
              </w:rPr>
              <w:t xml:space="preserve">Current Status</w:t>
            </w:r>
          </w:p>
        </w:tc>
        <w:tc>
          <w:tcPr>
            <w:tcBorders>
              <w:bottom w:val="single" w:sz="8" w:space="0" w:color="000000"/>
            </w:tcBorders>
            <w:shd w:val="clear" w:color="auto" w:fill="E7E6E6"/>
            <w:vAlign w:val="center"/>
          </w:tcPr>
          <w:p>
            <w:pPr>
              <w:pStyle w:val="Compact"/>
              <w:jc w:val="left"/>
            </w:pPr>
            <w:r>
              <w:rPr>
                <w:b/>
                <w:bCs/>
              </w:rPr>
              <w:t xml:space="preserve">Thesis Alignment</w:t>
            </w:r>
          </w:p>
        </w:tc>
      </w:tr>
      <w:tr>
        <w:trPr>
          <w:cantSplit/>
        </w:trPr>
        <w:tc>
          <w:tcPr/>
          <w:p>
            <w:pPr>
              <w:pStyle w:val="Compact"/>
              <w:jc w:val="left"/>
            </w:pPr>
            <w:r>
              <w:rPr>
                <w:b/>
                <w:bCs/>
              </w:rPr>
              <w:t xml:space="preserve">Trust-Centric Consent Framework</w:t>
            </w:r>
            <w:r>
              <w:t xml:space="preserve"> </w:t>
            </w:r>
            <w:r>
              <w:rPr>
                <w:i/>
                <w:iCs/>
              </w:rPr>
              <w:t xml:space="preserve">Model architecture and multi-party authorisation policies</w:t>
            </w:r>
          </w:p>
        </w:tc>
        <w:tc>
          <w:tcPr/>
          <w:p>
            <w:pPr>
              <w:pStyle w:val="Compact"/>
              <w:jc w:val="left"/>
            </w:pPr>
            <w:r>
              <w:t xml:space="preserve">[name the target journal]</w:t>
            </w:r>
          </w:p>
        </w:tc>
        <w:tc>
          <w:tcPr/>
          <w:p>
            <w:pPr>
              <w:pStyle w:val="Compact"/>
              <w:jc w:val="left"/>
            </w:pPr>
            <w:r>
              <w:t xml:space="preserve">Draft complete; submission planned [month] 2026</w:t>
            </w:r>
          </w:p>
        </w:tc>
        <w:tc>
          <w:tcPr/>
          <w:p>
            <w:pPr>
              <w:pStyle w:val="Compact"/>
              <w:jc w:val="left"/>
            </w:pPr>
            <w:r>
              <w:t xml:space="preserve">Core architectural contribution; addresses SRQ1-RQ4 (Chapters 3-4).</w:t>
            </w:r>
          </w:p>
        </w:tc>
      </w:tr>
      <w:tr>
        <w:trPr>
          <w:cantSplit/>
        </w:trPr>
        <w:tc>
          <w:tcPr/>
          <w:p>
            <w:pPr>
              <w:pStyle w:val="Compact"/>
              <w:jc w:val="left"/>
            </w:pPr>
            <w:r>
              <w:rPr>
                <w:b/>
                <w:bCs/>
              </w:rPr>
              <w:t xml:space="preserve">HALAH Prototype &amp; Validation</w:t>
            </w:r>
            <w:r>
              <w:t xml:space="preserve"> </w:t>
            </w:r>
            <w:r>
              <w:rPr>
                <w:i/>
                <w:iCs/>
              </w:rPr>
              <w:t xml:space="preserve">Decentralised implementation and functional security evaluation</w:t>
            </w:r>
          </w:p>
        </w:tc>
        <w:tc>
          <w:tcPr/>
          <w:p>
            <w:pPr>
              <w:pStyle w:val="Compact"/>
              <w:jc w:val="left"/>
            </w:pPr>
            <w:r>
              <w:t xml:space="preserve">Systems / Security Conference</w:t>
            </w:r>
          </w:p>
        </w:tc>
        <w:tc>
          <w:tcPr/>
          <w:p>
            <w:pPr>
              <w:pStyle w:val="Compact"/>
              <w:jc w:val="left"/>
            </w:pPr>
            <w:r>
              <w:t xml:space="preserve">In Progress</w:t>
            </w:r>
          </w:p>
        </w:tc>
        <w:tc>
          <w:tcPr/>
          <w:p>
            <w:pPr>
              <w:pStyle w:val="Compact"/>
              <w:jc w:val="left"/>
            </w:pPr>
            <w:r>
              <w:t xml:space="preserve">Empirical validation platform; addresses implementation and evaluation (Chapter 5).</w:t>
            </w:r>
          </w:p>
        </w:tc>
      </w:tr>
      <w:tr>
        <w:trPr>
          <w:cantSplit/>
        </w:trPr>
        <w:tc>
          <w:tcPr/>
          <w:p>
            <w:pPr>
              <w:pStyle w:val="Compact"/>
              <w:jc w:val="left"/>
            </w:pPr>
            <w:r>
              <w:rPr>
                <w:b/>
                <w:bCs/>
              </w:rPr>
              <w:t xml:space="preserve">Formal Security &amp; Lifecycle Analysis</w:t>
            </w:r>
            <w:r>
              <w:t xml:space="preserve"> </w:t>
            </w:r>
            <w:r>
              <w:rPr>
                <w:i/>
                <w:iCs/>
              </w:rPr>
              <w:t xml:space="preserve">Verification of temporal constraints and state transitions</w:t>
            </w:r>
          </w:p>
        </w:tc>
        <w:tc>
          <w:tcPr/>
          <w:p>
            <w:pPr>
              <w:pStyle w:val="Compact"/>
              <w:jc w:val="left"/>
            </w:pPr>
            <w:r>
              <w:t xml:space="preserve">Specialised Workshop / Journal</w:t>
            </w:r>
          </w:p>
        </w:tc>
        <w:tc>
          <w:tcPr/>
          <w:p>
            <w:pPr>
              <w:pStyle w:val="Compact"/>
              <w:jc w:val="left"/>
            </w:pPr>
            <w:r>
              <w:t xml:space="preserve">Planned</w:t>
            </w:r>
          </w:p>
        </w:tc>
        <w:tc>
          <w:tcPr/>
          <w:p>
            <w:pPr>
              <w:pStyle w:val="Compact"/>
              <w:jc w:val="left"/>
            </w:pPr>
            <w:r>
              <w:t xml:space="preserve">Next stage research extension; addresses formal security assurance (Chapter 5).</w:t>
            </w:r>
          </w:p>
        </w:tc>
      </w:tr>
    </w:tbl>
    <w:p>
      <w:pPr>
        <w:pStyle w:val="BodyText"/>
      </w:pPr>
      <w: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bookmarkEnd w:id="176"/>
    <w:bookmarkStart w:id="179" w:name="research-plan"/>
    <w:p>
      <w:pPr>
        <w:pStyle w:val="Heading1"/>
      </w:pPr>
      <w:r>
        <w:t xml:space="preserve">10 Research Plan</w:t>
      </w:r>
    </w:p>
    <w:p>
      <w:pPr>
        <w:pStyle w:val="FirstParagraph"/>
      </w:pPr>
      <w:r>
        <w:t xml:space="preserve">The research plan is divided into two major stages corresponding to current and next stage.</w:t>
      </w:r>
    </w:p>
    <w:bookmarkStart w:id="177" w:name="current-stage-completed-and-current-work"/>
    <w:p>
      <w:pPr>
        <w:pStyle w:val="Heading2"/>
      </w:pPr>
      <w:r>
        <w:t xml:space="preserve">10.1 Current Stage: Completed and Current Work</w:t>
      </w:r>
    </w:p>
    <w:p>
      <w:pPr>
        <w:pStyle w:val="FirstParagraph"/>
      </w:pPr>
      <w:r>
        <w:t xml:space="preserve">The current stage focuses on establishing the foundational trust-oriented authorisation framework. The main activities are the development of the trust-centric consent model, decentralised identity and authority verification, multi-party authorisation, and policy-aware access control.</w:t>
      </w:r>
    </w:p>
    <w:p>
      <w:pPr>
        <w:pStyle w:val="BodyText"/>
      </w:pPr>
      <w:r>
        <w:t xml:space="preserve">RO1–RO4 have been implemented at prototype level and initially validated through the HALAH prototype (Chapter 7), and a first version of RO5 (expiry and revocation) is already operational.</w:t>
      </w:r>
    </w:p>
    <w:bookmarkEnd w:id="177"/>
    <w:bookmarkStart w:id="178" w:name="next-stage-planned-work"/>
    <w:p>
      <w:pPr>
        <w:pStyle w:val="Heading2"/>
      </w:pPr>
      <w:r>
        <w:t xml:space="preserve">10.2 Next Stage: Planned Work</w:t>
      </w:r>
    </w:p>
    <w:p>
      <w:pPr>
        <w:pStyle w:val="FirstParagraph"/>
      </w:pPr>
      <w:r>
        <w:t xml:space="preserve">The next stage will build upon the foundational trust-oriented authorisation framework established during the current stage and extend the research towards dynamic consent governance, formal security assurance, and comprehensive empirical validation. While current stage focuses on establishing the core mechanisms required to construct a trustworthy authorisation decision, next stage will investigate whether this trust can be maintained over time, formally justified, and reliably demonstrated in practical healthcare data-sharing scenarios.</w:t>
      </w:r>
    </w:p>
    <w:p>
      <w:pPr>
        <w:pStyle w:val="BodyText"/>
      </w:pPr>
      <w:r>
        <w:t xml:space="preserve">The first major focus of next stage is the introduction of</w:t>
      </w:r>
      <w:r>
        <w:t xml:space="preserve"> </w:t>
      </w:r>
      <w:r>
        <w:rPr>
          <w:i/>
          <w:iCs/>
        </w:rPr>
        <w:t xml:space="preserve">temporal and lifecycle trust</w:t>
      </w:r>
      <w:r>
        <w:t xml:space="preserve">. In the current framework, identity, multi-party approval, and policy compliance provide the principal conditions for an authorisation decision. However, authorisation is not necessarily permanent. A consent decision may become invalid because its validity period has expired, because the patient or an authorised participant has revoked the consent, or because the consent has transitioned into a state in which access should no longer be permitted. Next stage will therefore extend the consent model to explicitly represent temporal constraints and controlled lifecycle transitions. This extension will allow the framework to distinguish between a consent that was previously valid and a consent that remains valid at the time of a particular access request.</w:t>
      </w:r>
    </w:p>
    <w:p>
      <w:pPr>
        <w:pStyle w:val="BodyText"/>
      </w:pPr>
      <w:r>
        <w:t xml:space="preserve">The second focus is</w:t>
      </w:r>
      <w:r>
        <w:t xml:space="preserve"> </w:t>
      </w:r>
      <w:r>
        <w:rPr>
          <w:i/>
          <w:iCs/>
        </w:rPr>
        <w:t xml:space="preserve">formal security assurance</w:t>
      </w:r>
      <w:r>
        <w:t xml:space="preserve">. The current stage framework establishes the conceptual relationship between identity verification, collective authorisation, and policy enforcement. The next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pStyle w:val="BodyText"/>
      </w:pPr>
      <w:r>
        <w:t xml:space="preserve">The third focus is</w:t>
      </w:r>
      <w:r>
        <w:t xml:space="preserve"> </w:t>
      </w:r>
      <w:r>
        <w:rPr>
          <w:i/>
          <w:iCs/>
        </w:rPr>
        <w:t xml:space="preserve">comprehensive empirical validation</w:t>
      </w:r>
      <w:r>
        <w:t xml:space="preserve">. The HALAH prototype provides the experimental environment for evaluating the proposed framework using synthetic healthcare data and representative multi-party consent scenarios. Next stage will extend the current prototype-based evaluation to include both successful and adversarial access requests. The experiments will examine whether the implementation consistently produces an</w:t>
      </w:r>
      <w:r>
        <w:t xml:space="preserve"> </w:t>
      </w:r>
      <w:r>
        <w:rPr>
          <w:i/>
          <w:iCs/>
        </w:rPr>
        <w:t xml:space="preserve">ALLOW</w:t>
      </w:r>
      <w:r>
        <w:t xml:space="preserve"> </w:t>
      </w:r>
      <w:r>
        <w:t xml:space="preserve">decision only when the required trust conditions are satisfied and produces a</w:t>
      </w:r>
      <w:r>
        <w:t xml:space="preserve"> </w:t>
      </w:r>
      <w:r>
        <w:rPr>
          <w:i/>
          <w:iCs/>
        </w:rPr>
        <w:t xml:space="preserve">DENY</w:t>
      </w:r>
      <w:r>
        <w:t xml:space="preserve"> </w:t>
      </w:r>
      <w:r>
        <w:t xml:space="preserve">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10.1.</w:t>
      </w:r>
    </w:p>
    <w:p>
      <w:pPr>
        <w:pStyle w:val="BodyText"/>
      </w:pPr>
      <w:r>
        <w:t xml:space="preserve">An important analytical objective of next stage is to examine the relationship between the different forms of trust established throughout the framework.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pStyle w:val="TableCaption"/>
      </w:pPr>
      <w:r>
        <w:t xml:space="preserve">Table 10.1: Next Stage Research Activities, Methodological Focus, and Expected Outcomes</w:t>
      </w:r>
    </w:p>
    <w:tbl>
      <w:tblPr>
        <w:tblStyle w:val="Table"/>
        <w:tblW w:type="pct" w:w="5000"/>
        <w:tblLayout w:type="fixed"/>
        <w:tblLook w:firstRow="1" w:lastRow="0" w:firstColumn="0" w:lastColumn="0" w:noHBand="0" w:noVBand="0" w:val="0020"/>
        <w:tblCaption w:val="Table 10.1: Next Stage Research Activities, Methodological Focus, and Expected Outcomes"/>
      </w:tblPr>
      <w:tblGrid>
        <w:gridCol w:w="2640"/>
        <w:gridCol w:w="2640"/>
        <w:gridCol w:w="2640"/>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Focus</w:t>
            </w:r>
          </w:p>
        </w:tc>
        <w:tc>
          <w:tcPr>
            <w:tcBorders>
              <w:bottom w:val="single" w:sz="8" w:space="0" w:color="000000"/>
            </w:tcBorders>
            <w:shd w:val="clear" w:color="auto" w:fill="E7E6E6"/>
            <w:vAlign w:val="center"/>
          </w:tcPr>
          <w:p>
            <w:pPr>
              <w:pStyle w:val="Compact"/>
              <w:jc w:val="left"/>
            </w:pPr>
            <w:r>
              <w:rPr>
                <w:b/>
                <w:bCs/>
              </w:rPr>
              <w:t xml:space="preserve">Planned Activities</w:t>
            </w:r>
          </w:p>
        </w:tc>
        <w:tc>
          <w:tcPr>
            <w:tcBorders>
              <w:bottom w:val="single" w:sz="8" w:space="0" w:color="000000"/>
            </w:tcBorders>
            <w:shd w:val="clear" w:color="auto" w:fill="E7E6E6"/>
            <w:vAlign w:val="center"/>
          </w:tcPr>
          <w:p>
            <w:pPr>
              <w:pStyle w:val="Compact"/>
              <w:jc w:val="left"/>
            </w:pPr>
            <w:r>
              <w:rPr>
                <w:b/>
                <w:bCs/>
              </w:rPr>
              <w:t xml:space="preserve">Expected Outcome</w:t>
            </w:r>
          </w:p>
        </w:tc>
      </w:tr>
      <w:tr>
        <w:trPr>
          <w:cantSplit/>
        </w:trPr>
        <w:tc>
          <w:tcPr/>
          <w:p>
            <w:pPr>
              <w:pStyle w:val="Compact"/>
              <w:jc w:val="left"/>
            </w:pPr>
            <w:r>
              <w:rPr>
                <w:b/>
                <w:bCs/>
              </w:rPr>
              <w:t xml:space="preserve">Temporal and Lifecycle Trust</w:t>
            </w:r>
            <w:r>
              <w:t xml:space="preserve"> </w:t>
            </w:r>
            <w:r>
              <w:t xml:space="preserve">(Dynamic Consent States)</w:t>
            </w:r>
          </w:p>
        </w:tc>
        <w:tc>
          <w:tcPr/>
          <w:p>
            <w:pPr>
              <w:pStyle w:val="Compact"/>
              <w:jc w:val="left"/>
            </w:pPr>
            <w:r>
              <w:t xml:space="preserve">Extend the consent model to incorporate validity periods, dynamic expiration, immediate revocation, and controlled lifecycle transitions. Evaluate access decisions under varying temporal and consent-state constraints.</w:t>
            </w:r>
          </w:p>
        </w:tc>
        <w:tc>
          <w:tcPr/>
          <w:p>
            <w:pPr>
              <w:pStyle w:val="Compact"/>
              <w:jc w:val="left"/>
            </w:pPr>
            <w:r>
              <w:t xml:space="preserve">A robust, dynamic consent management mechanism capable of validating whether an authorisation remains active at the precise point of access.</w:t>
            </w:r>
          </w:p>
        </w:tc>
      </w:tr>
      <w:tr>
        <w:trPr>
          <w:cantSplit/>
        </w:trPr>
        <w:tc>
          <w:tcPr/>
          <w:p>
            <w:pPr>
              <w:pStyle w:val="Compact"/>
              <w:jc w:val="left"/>
            </w:pPr>
            <w:r>
              <w:rPr>
                <w:b/>
                <w:bCs/>
              </w:rPr>
              <w:t xml:space="preserve">Formal Security Assurance</w:t>
            </w:r>
            <w:r>
              <w:t xml:space="preserve"> </w:t>
            </w:r>
            <w:r>
              <w:t xml:space="preserve">(Properties &amp; Verification)</w:t>
            </w:r>
          </w:p>
        </w:tc>
        <w:tc>
          <w:tcPr/>
          <w:p>
            <w:pPr>
              <w:pStyle w:val="Compact"/>
              <w:jc w:val="left"/>
            </w:pPr>
            <w:r>
              <w:t xml:space="preserve">Formally define critical security properties and analyse system behaviour under adverse conditions, including invalid identities, insufficient multi-party approvals, policy violations, expired/revoked states, and illegal transitions.</w:t>
            </w:r>
          </w:p>
        </w:tc>
        <w:tc>
          <w:tcPr/>
          <w:p>
            <w:pPr>
              <w:pStyle w:val="Compact"/>
              <w:jc w:val="left"/>
            </w:pPr>
            <w:r>
              <w:t xml:space="preserve">A rigorous formal security model and verification proof establishing explicit security guarantees for the trust-oriented authorisation framework.</w:t>
            </w:r>
          </w:p>
        </w:tc>
      </w:tr>
      <w:tr>
        <w:trPr>
          <w:cantSplit/>
        </w:trPr>
        <w:tc>
          <w:tcPr/>
          <w:p>
            <w:pPr>
              <w:pStyle w:val="Compact"/>
              <w:jc w:val="left"/>
            </w:pPr>
            <w:r>
              <w:rPr>
                <w:b/>
                <w:bCs/>
              </w:rPr>
              <w:t xml:space="preserve">Comprehensive Empirical Validation</w:t>
            </w:r>
            <w:r>
              <w:t xml:space="preserve"> </w:t>
            </w:r>
            <w:r>
              <w:t xml:space="preserve">(HALAH Prototype Scenarios)</w:t>
            </w:r>
          </w:p>
        </w:tc>
        <w:tc>
          <w:tcPr/>
          <w:p>
            <w:pPr>
              <w:pStyle w:val="Compact"/>
              <w:jc w:val="left"/>
            </w:pPr>
            <w:r>
              <w:t xml:space="preserve">Scale and extend HALAH prototype experiments using representative positive and negative healthcare data-sharing scenarios. Measure and compare observed system runtime performance, overhead, and enforcement accuracy.</w:t>
            </w:r>
          </w:p>
        </w:tc>
        <w:tc>
          <w:tcPr/>
          <w:p>
            <w:pPr>
              <w:pStyle w:val="Compact"/>
              <w:jc w:val="left"/>
            </w:pPr>
            <w:r>
              <w:t xml:space="preserve">Empirical evidence and benchmark datasets demonstrating that the implementation consistently and efficiently enforces the proposed authorisation model.</w:t>
            </w:r>
          </w:p>
        </w:tc>
      </w:tr>
      <w:tr>
        <w:trPr>
          <w:cantSplit/>
        </w:trPr>
        <w:tc>
          <w:tcPr/>
          <w:p>
            <w:pPr>
              <w:pStyle w:val="Compact"/>
              <w:jc w:val="left"/>
            </w:pPr>
            <w:r>
              <w:rPr>
                <w:b/>
                <w:bCs/>
              </w:rPr>
              <w:t xml:space="preserve">Integrated Framework Evaluation</w:t>
            </w:r>
            <w:r>
              <w:t xml:space="preserve"> </w:t>
            </w:r>
            <w:r>
              <w:t xml:space="preserve">(Synthesis &amp; End-to-End)</w:t>
            </w:r>
          </w:p>
        </w:tc>
        <w:tc>
          <w:tcPr/>
          <w:p>
            <w:pPr>
              <w:pStyle w:val="Compact"/>
              <w:jc w:val="left"/>
            </w:pPr>
            <w:r>
              <w:t xml:space="preserve">Integrate temporal, lifecycle, formal verification, and empirical modules into a unified, cohesive framework. Evaluate cross-component interactions, scalability bottlenecks, and end-to-end feasibility in real-world settings.</w:t>
            </w:r>
          </w:p>
        </w:tc>
        <w:tc>
          <w:tcPr/>
          <w:p>
            <w:pPr>
              <w:pStyle w:val="Compact"/>
              <w:jc w:val="left"/>
            </w:pPr>
            <w:r>
              <w:t xml:space="preserve">A fully integrated, validated Trust Computing framework providing secure, multi-party patient consent and decentralised healthcare data sharing.</w:t>
            </w:r>
          </w:p>
        </w:tc>
      </w:tr>
    </w:tbl>
    <w:p>
      <w:pPr>
        <w:pStyle w:val="BodyText"/>
      </w:pPr>
      <w:r>
        <w:t xml:space="preserve">The complete authorisation model developed across current stage and next stage will therefore be evaluated as a conjunction of independently verifiable conditions. Conceptually, the final decision can be expressed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t>  </m:t>
          </m:r>
          <m:r>
            <m:t>  </m:t>
          </m:r>
          <m:r>
            <m:rPr>
              <m:sty m:val="p"/>
            </m:rPr>
            <m:t>(</m:t>
          </m:r>
          <m:r>
            <m:t>35</m:t>
          </m:r>
          <m:r>
            <m:rPr>
              <m:sty m:val="p"/>
            </m:rPr>
            <m:t>)</m:t>
          </m:r>
        </m:oMath>
      </m:oMathPara>
    </w:p>
    <w:p>
      <w:pPr>
        <w:pStyle w:val="FirstParagraph"/>
      </w:pPr>
      <w: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pStyle w:val="BodyText"/>
      </w:pPr>
      <w:r>
        <w:t xml:space="preserve">From a research perspective, this represents an important transition from</w:t>
      </w:r>
      <w:r>
        <w:t xml:space="preserve"> </w:t>
      </w:r>
      <w:r>
        <w:rPr>
          <w:i/>
          <w:iCs/>
        </w:rPr>
        <w:t xml:space="preserve">static consent</w:t>
      </w:r>
      <w:r>
        <w:t xml:space="preserve"> </w:t>
      </w:r>
      <w:r>
        <w:rPr>
          <w:i/>
          <w:iCs/>
        </w:rPr>
        <w:t xml:space="preserve">management</w:t>
      </w:r>
      <w:r>
        <w:t xml:space="preserve"> </w:t>
      </w:r>
      <w:r>
        <w:t xml:space="preserve">to</w:t>
      </w:r>
      <w:r>
        <w:t xml:space="preserve"> </w:t>
      </w:r>
      <w:r>
        <w:rPr>
          <w:i/>
          <w:iCs/>
        </w:rPr>
        <w:t xml:space="preserve">dynamic trustworthy authorisation</w:t>
      </w:r>
      <w:r>
        <w:t xml:space="preserve">. The objective is not to add a collection of independent security mechanisms, but to investigate how these mechanisms jointly contribute to the establishment, maintenance, and verification of trust throughout the consent lifecycle.</w:t>
      </w:r>
    </w:p>
    <w:p>
      <w:pPr>
        <w:pStyle w:val="BodyText"/>
      </w:pPr>
      <w:r>
        <w:t xml:space="preserve">By the completion of next stage, the research is expected to provide three complementary forms of contribution.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pStyle w:val="BodyText"/>
      </w:pPr>
      <w:r>
        <w:t xml:space="preserve">Consequently, next stage will complete the transition from the foundational authorisation mechanisms established in current stage to a dynamically managed, formally reasoned, and empirically validated Trust Computing framework. The final contribution will be assessed not simply by whether consent can be recorded or whether access can be granted, but by whether the system can provide a defensible basis for determining</w:t>
      </w:r>
      <w:r>
        <w:t xml:space="preserve"> </w:t>
      </w:r>
      <w:r>
        <w:rPr>
          <w:i/>
          <w:iCs/>
        </w:rPr>
        <w:t xml:space="preserve">why</w:t>
      </w:r>
      <w:r>
        <w:t xml:space="preserve"> </w:t>
      </w:r>
      <w:r>
        <w:t xml:space="preserve">an access decision should be trusted and</w:t>
      </w:r>
      <w:r>
        <w:t xml:space="preserve"> </w:t>
      </w:r>
      <w:r>
        <w:rPr>
          <w:i/>
          <w:iCs/>
        </w:rPr>
        <w:t xml:space="preserve">when</w:t>
      </w:r>
      <w:r>
        <w:t xml:space="preserve"> </w:t>
      </w:r>
      <w:r>
        <w:t xml:space="preserve">that trust should no longer apply.</w:t>
      </w:r>
    </w:p>
    <w:bookmarkEnd w:id="178"/>
    <w:bookmarkEnd w:id="179"/>
    <w:bookmarkStart w:id="180" w:name="references-1"/>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 2023.</w:t>
      </w:r>
    </w:p>
    <w:p>
      <w:pPr>
        <w:pStyle w:val="BodyText"/>
      </w:pPr>
      <w:r>
        <w:t xml:space="preserve">[4]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 Corrigendum: vol. 98, 104383, 2026.</w:t>
      </w:r>
    </w:p>
    <w:p>
      <w:pPr>
        <w:pStyle w:val="BodyText"/>
      </w:pPr>
      <w:r>
        <w:t xml:space="preserve">[6] Abdul Ghafoor Abbasi, Iraklis Symeonidis, Anna Rydberg, Cecilia Lindahl, and Abdul Qadus Abbasi. 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 27(6):3641–3671,2025.</w:t>
      </w:r>
    </w:p>
    <w:p>
      <w:pPr>
        <w:pStyle w:val="BodyText"/>
      </w:pPr>
      <w:r>
        <w:t xml:space="preserve">[22]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BodyText"/>
      </w:pPr>
      <w:r>
        <w:t xml:space="preserve">[31]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[34]</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[35]</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[36]</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[37]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[38]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[39] Remco Bloemen, Leonid Logvinov, and Jacob Evans. EIP-712: Typed structured data hashing and signing. Ethereum Improvement Proposals, 2017. https://eips.ethereum.org/EIPS/eip-712.</w:t>
      </w:r>
    </w:p>
    <w:p>
      <w:pPr>
        <w:pStyle w:val="BodyText"/>
      </w:pPr>
      <w:r>
        <w:t xml:space="preserve">[40] ERC-5484: Consensual Soulbound Tokens. Ethereum Improvement Proposals, 2022. https://eips.ethereum.org/EIPS/eip-5484.</w:t>
      </w:r>
    </w:p>
    <w:p>
      <w:pPr>
        <w:pStyle w:val="BodyText"/>
      </w:pPr>
      <w:r>
        <w:t xml:space="preserve">[41] W3C. Decentralized Identifiers (DIDs) v1.0. W3C Recommendation, 2022. https://www.w3.org/TR/did-core/.</w:t>
      </w:r>
    </w:p>
    <w:p>
      <w:pPr>
        <w:pStyle w:val="BodyText"/>
      </w:pPr>
      <w:r>
        <w:t xml:space="preserve">[42] W3C. Verifiable Credentials Data Model v2.0. W3C Recommendation, 2025. https://www.w3.org/TR/vc-data-model-2.0/.</w:t>
      </w:r>
    </w:p>
    <w:bookmarkEnd w:id="180"/>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7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9" Target="media/rId79.png" /><Relationship Type="http://schemas.openxmlformats.org/officeDocument/2006/relationships/image" Id="rId93" Target="media/rId93.png" /><Relationship Type="http://schemas.openxmlformats.org/officeDocument/2006/relationships/image" Id="rId100" Target="media/rId100.png" /><Relationship Type="http://schemas.openxmlformats.org/officeDocument/2006/relationships/image" Id="rId107" Target="media/rId107.png" /><Relationship Type="http://schemas.openxmlformats.org/officeDocument/2006/relationships/image" Id="rId114" Target="media/rId114.png" /><Relationship Type="http://schemas.openxmlformats.org/officeDocument/2006/relationships/image" Id="rId121" Target="media/rId121.png" /><Relationship Type="http://schemas.openxmlformats.org/officeDocument/2006/relationships/image" Id="rId128" Target="media/rId128.png" /><Relationship Type="http://schemas.openxmlformats.org/officeDocument/2006/relationships/image" Id="rId161" Target="media/rId1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2026-09-29T06:18:21Z</dcterms:created>
  <dcterms:modified xsi:type="dcterms:W3CDTF">2026-09-29T06:18:21Z</dcterms:modified>
</cp:coreProperties>
</file>

<file path=docProps/custom.xml><?xml version="1.0" encoding="utf-8"?>
<Properties xmlns="http://schemas.openxmlformats.org/officeDocument/2006/custom-properties" xmlns:vt="http://schemas.openxmlformats.org/officeDocument/2006/docPropsVTypes"/>
</file>