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keepNext/>
        <w:spacing w:before="360"/>
      </w:pPr>
      <w:r/>
      <w:r>
        <w:rPr>
          <w:color w:val="FFFFFF"/>
          <w:sz w:val="2"/>
        </w:rPr>
        <w:t xml:space="preserve">5. </w:t>
      </w:r>
      <w:r>
        <w:rPr>
          <w:smallCaps/>
        </w:rPr>
        <w:t>Research Architecture and Trust-Centric Consent Model</w:t>
      </w:r>
    </w:p>
    <w:p>
      <w:pPr>
        <w:pStyle w:val="2"/>
        <w:keepNext/>
      </w:pPr>
      <w:r>
        <w:rPr>
          <w:color w:val="FF0000"/>
        </w:rPr>
        <w:t>5.1 Introduction</w:t>
      </w:r>
    </w:p>
    <w:p>
      <w:pPr/>
      <w:r>
        <w:rPr>
          <w:color w:val="FF0000"/>
        </w:rPr>
        <w:t>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 this provides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rPr>
          <w:color w:val="FF0000"/>
        </w:rPr>
        <w:t>1.</w:t>
        <w:tab/>
      </w:r>
      <w:r>
        <w:rPr>
          <w:b/>
          <w:color w:val="FF0000"/>
        </w:rPr>
        <w:t xml:space="preserve">Blockchain: </w:t>
      </w:r>
      <w:r>
        <w:rPr>
          <w:color w:val="FF0000"/>
        </w:rPr>
        <w:t>A blockchain is a decentralised and distributed ledger in which a recorded entry cannot be altered retroactively without altering the blocks that follow it (Wood 2014). In HALAH the chain holds no medical content; it anchors only the state of an approved consent, as a soulbound token (Cai 2022) that cannot be transferred, and its revocation. The Ethereum test network Sepolia (Ethereum Foundation 2026b) was chosen because it runs the same virtual machine as the main network, so the contract behaves as it would in production, while its ether has no monetary value. The contract was deployed and its transactions sent through the MetaMask wallet (Consensys 2026), and every transaction is publicly visible on Etherscan.</w:t>
      </w:r>
    </w:p>
    <w:p>
      <w:pPr>
        <w:pStyle w:val="a4"/>
        <w:tabs>
          <w:tab w:pos="624" w:val="left"/>
        </w:tabs>
        <w:ind w:left="624" w:hanging="397"/>
      </w:pPr>
      <w:r>
        <w:rPr>
          <w:color w:val="FF0000"/>
        </w:rPr>
        <w:t>2.</w:t>
        <w:tab/>
      </w:r>
      <w:r>
        <w:rPr>
          <w:b/>
          <w:color w:val="FF0000"/>
        </w:rPr>
        <w:t xml:space="preserve">Solidity: </w:t>
      </w:r>
      <w:r>
        <w:rPr>
          <w:color w:val="FF0000"/>
        </w:rPr>
        <w:t>The consent contract ConsentSBTv3 is written in Solidity, the contract language of Ethereum (Ethereum Foundation 2026a), on the OpenZeppelin implementation of the ERC-721 token standard (Entriken et al. 2018) with the ERC-5484 soulbound interface (Cai 2022), and was compiled in the Remix environment (Ethereum Foundation 2026c). The contract stores the start time, the expiry time and the revocation flag of each consent and reports whether the consent is valid at a given time, so the temporal and lifecycle conditions of Req 5 can be checked against the chain by any party, independently of the application.</w:t>
      </w:r>
    </w:p>
    <w:p>
      <w:pPr>
        <w:pStyle w:val="a4"/>
        <w:tabs>
          <w:tab w:pos="624" w:val="left"/>
        </w:tabs>
        <w:ind w:left="624" w:hanging="397"/>
      </w:pPr>
      <w:r>
        <w:rPr>
          <w:color w:val="FF0000"/>
        </w:rPr>
        <w:t>3.</w:t>
        <w:tab/>
      </w:r>
      <w:r>
        <w:rPr>
          <w:b/>
          <w:color w:val="FF0000"/>
        </w:rPr>
        <w:t xml:space="preserve">Python and Streamlit: </w:t>
      </w:r>
      <w:r>
        <w:rPr>
          <w:color w:val="FF0000"/>
        </w:rPr>
        <w:t>The Controller and the four role interfaces of the prototype, for the patient, the guardian, the doctor and the auditor, are written in Python with the Streamlit library, and the application reaches Sepolia through the web3 library. Consents, approvals, decisions and the audit ledger are kept in a local SQLite database, so the auditor can query the evidence of every decision while nothing but the consent state goes to the chain.</w:t>
      </w:r>
    </w:p>
    <w:p>
      <w:pPr>
        <w:pStyle w:val="a4"/>
        <w:tabs>
          <w:tab w:pos="624" w:val="left"/>
        </w:tabs>
        <w:ind w:left="624" w:hanging="397"/>
      </w:pPr>
      <w:r>
        <w:rPr>
          <w:color w:val="FF0000"/>
        </w:rPr>
        <w:t>4.</w:t>
        <w:tab/>
      </w:r>
      <w:r>
        <w:rPr>
          <w:b/>
          <w:color w:val="FF0000"/>
        </w:rPr>
        <w:t xml:space="preserve">Decentralised identifiers and verifiable credentials: </w:t>
      </w:r>
      <w:r>
        <w:rPr>
          <w:color w:val="FF0000"/>
        </w:rPr>
        <w:t>Every participant is named by a decentralised identifier (W3C 2022) and holds a role credential (W3C 2025) signed by a trusted issuer, so the identity of a participant and the authority of that participant are verified as two separate conditions, as Chapter 6 presents.</w:t>
      </w:r>
    </w:p>
    <w:p>
      <w:pPr>
        <w:pStyle w:val="a4"/>
        <w:tabs>
          <w:tab w:pos="624" w:val="left"/>
        </w:tabs>
        <w:ind w:left="624" w:hanging="397"/>
      </w:pPr>
      <w:r>
        <w:rPr>
          <w:color w:val="FF0000"/>
        </w:rPr>
        <w:t>5.</w:t>
        <w:tab/>
      </w:r>
      <w:r>
        <w:rPr>
          <w:b/>
          <w:color w:val="FF0000"/>
        </w:rPr>
        <w:t xml:space="preserve">Synthea: </w:t>
      </w:r>
      <w:r>
        <w:rPr>
          <w:color w:val="FF0000"/>
        </w:rPr>
        <w:t>The healthcare records of the prototype are synthetic patients produced by the Synthea generator (Walonoski et al. 2018). The dataset is described in Section 5.7.</w:t>
      </w:r>
    </w:p>
    <w:p>
      <w:pPr/>
      <w:r>
        <w:rPr>
          <w:color w:val="FF0000"/>
        </w:rP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keepNext/>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rPr>
          <w:color w:val="FF0000"/>
        </w:rP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w:t>
      </w:r>
      <w:r>
        <w:rPr>
          <w:color w:val="FF0000"/>
          <w:highlight w:val="yellow"/>
        </w:rPr>
        <w:t>The requester's DID is declared</w:t>
      </w:r>
      <w:r>
        <w:t xml:space="preserve"> in the 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keepNext/>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 xml:space="preserve">(C), determines whether the consent remains in a valid lifecycle state. The integrated decision </w:t>
      </w:r>
      <w:r>
        <w:rPr>
          <w:color w:val="FF0000"/>
          <w:highlight w:val="yellow"/>
        </w:rPr>
        <w:t>can therefore be expressed as Equation (5.1)</w:t>
      </w:r>
      <w:r>
        <w:t>. In the current prototype, the Consent Engine derives the lifecycle state, a request proceeds only when this state is ACTIVE, and the revocation flag and the token are also checked within V</w:t>
      </w:r>
      <w:r>
        <w:rPr>
          <w:vertAlign w:val="subscript"/>
        </w:rPr>
        <w:t>A</w:t>
      </w:r>
      <w:r>
        <w:t>.</w:t>
      </w:r>
    </w:p>
    <w:p>
      <w:pPr/>
      <w:r>
        <w:rPr>
          <w:color w:val="FF0000"/>
          <w:highlight w:val="yellow"/>
        </w:rPr>
        <w:t>Equation (5.1) states that a request is allowed only when every one of the five conditions holds at the time of the request. Conversely, the failure of any one condition is sufficient for refusal, as Equation (5.2) states, and the success of the other conditions cannot compensate for it.</w:t>
      </w:r>
    </w:p>
    <w:p w14:paraId="54552F6D" w14:textId="77777777" w:rsidR="009262C4" w:rsidRDefault="00000000">
      <w:pPr>
        <w:keepLines/>
        <w:tabs>
          <w:tab w:val="center" w:pos="4564"/>
          <w:tab w:val="right" w:pos="9128"/>
        </w:tabs>
        <w:spacing w:before="80" w:after="160"/>
      </w:pPr>
      <w:r>
        <w:rPr>
          <w:color w:val="FF0000"/>
          <w:highlight w:val="yellow"/>
        </w:rPr>
        <w:tab/>
      </w:r>
      <w:r>
        <w:rPr>
          <w:rFonts w:ascii="Cambria Math" w:hAnsi="Cambria Math" w:cs="Cambria Math" w:eastAsia="Cambria Math"/>
          <w:color w:val="FF0000"/>
          <w:sz w:val="18"/>
          <w:highlight w:val="yellow"/>
        </w:rPr>
        <w:t>Decision(C, R, t) = ALLOW ⟺ V</w:t>
      </w:r>
      <w:r>
        <w:rPr>
          <w:rFonts w:ascii="Cambria Math" w:hAnsi="Cambria Math" w:cs="Cambria Math" w:eastAsia="Cambria Math"/>
          <w:color w:val="FF0000"/>
          <w:sz w:val="18"/>
          <w:highlight w:val="yellow"/>
          <w:vertAlign w:val="subscript"/>
        </w:rPr>
        <w:t>I</w:t>
      </w:r>
      <w:r>
        <w:rPr>
          <w:rFonts w:ascii="Cambria Math" w:hAnsi="Cambria Math" w:cs="Cambria Math" w:eastAsia="Cambria Math"/>
          <w:color w:val="FF0000"/>
          <w:sz w:val="18"/>
          <w:highlight w:val="yellow"/>
        </w:rPr>
        <w:t>(u) ∧ V</w:t>
      </w:r>
      <w:r>
        <w:rPr>
          <w:rFonts w:ascii="Cambria Math" w:hAnsi="Cambria Math" w:cs="Cambria Math" w:eastAsia="Cambria Math"/>
          <w:color w:val="FF0000"/>
          <w:sz w:val="18"/>
          <w:highlight w:val="yellow"/>
          <w:vertAlign w:val="subscript"/>
        </w:rPr>
        <w:t>A</w:t>
      </w:r>
      <w:r>
        <w:rPr>
          <w:rFonts w:ascii="Cambria Math" w:hAnsi="Cambria Math" w:cs="Cambria Math" w:eastAsia="Cambria Math"/>
          <w:color w:val="FF0000"/>
          <w:sz w:val="18"/>
          <w:highlight w:val="yellow"/>
        </w:rPr>
        <w:t>(C) ∧ V</w:t>
      </w:r>
      <w:r>
        <w:rPr>
          <w:rFonts w:ascii="Cambria Math" w:hAnsi="Cambria Math" w:cs="Cambria Math" w:eastAsia="Cambria Math"/>
          <w:color w:val="FF0000"/>
          <w:sz w:val="18"/>
          <w:highlight w:val="yellow"/>
          <w:vertAlign w:val="subscript"/>
        </w:rPr>
        <w:t>P</w:t>
      </w:r>
      <w:r>
        <w:rPr>
          <w:rFonts w:ascii="Cambria Math" w:hAnsi="Cambria Math" w:cs="Cambria Math" w:eastAsia="Cambria Math"/>
          <w:color w:val="FF0000"/>
          <w:sz w:val="18"/>
          <w:highlight w:val="yellow"/>
        </w:rPr>
        <w:t>(C, R) ∧ V</w:t>
      </w:r>
      <w:r>
        <w:rPr>
          <w:rFonts w:ascii="Cambria Math" w:hAnsi="Cambria Math" w:cs="Cambria Math" w:eastAsia="Cambria Math"/>
          <w:color w:val="FF0000"/>
          <w:sz w:val="18"/>
          <w:highlight w:val="yellow"/>
          <w:vertAlign w:val="subscript"/>
        </w:rPr>
        <w:t>T</w:t>
      </w:r>
      <w:r>
        <w:rPr>
          <w:rFonts w:ascii="Cambria Math" w:hAnsi="Cambria Math" w:cs="Cambria Math" w:eastAsia="Cambria Math"/>
          <w:color w:val="FF0000"/>
          <w:sz w:val="18"/>
          <w:highlight w:val="yellow"/>
        </w:rPr>
        <w:t>(C, t) ∧ V</w:t>
      </w:r>
      <w:r>
        <w:rPr>
          <w:rFonts w:ascii="Cambria Math" w:hAnsi="Cambria Math" w:cs="Cambria Math" w:eastAsia="Cambria Math"/>
          <w:color w:val="FF0000"/>
          <w:sz w:val="18"/>
          <w:highlight w:val="yellow"/>
          <w:vertAlign w:val="subscript"/>
        </w:rPr>
        <w:t>L</w:t>
      </w:r>
      <w:r>
        <w:rPr>
          <w:rFonts w:ascii="Cambria Math" w:hAnsi="Cambria Math" w:cs="Cambria Math" w:eastAsia="Cambria Math"/>
          <w:color w:val="FF0000"/>
          <w:sz w:val="18"/>
          <w:highlight w:val="yellow"/>
        </w:rPr>
        <w:t>(C).</w:t>
      </w:r>
      <w:r>
        <w:rPr>
          <w:color w:val="FF0000"/>
          <w:highlight w:val="yellow"/>
        </w:rPr>
        <w:tab/>
        <w:t>(5.1)</w:t>
      </w:r>
    </w:p>
    <w:p w14:paraId="54552F6D" w14:textId="77777777" w:rsidR="009262C4" w:rsidRDefault="00000000">
      <w:pPr>
        <w:keepLines/>
        <w:tabs>
          <w:tab w:val="center" w:pos="4564"/>
          <w:tab w:val="right" w:pos="9128"/>
        </w:tabs>
        <w:spacing w:before="80" w:after="160"/>
      </w:pPr>
      <w:r>
        <w:rPr>
          <w:color w:val="FF0000"/>
          <w:highlight w:val="yellow"/>
        </w:rPr>
        <w:tab/>
      </w:r>
      <w:r>
        <w:rPr>
          <w:rFonts w:ascii="Cambria Math" w:hAnsi="Cambria Math" w:cs="Cambria Math" w:eastAsia="Cambria Math"/>
          <w:color w:val="FF0000"/>
          <w:sz w:val="18"/>
          <w:highlight w:val="yellow"/>
        </w:rPr>
        <w:t>¬(V</w:t>
      </w:r>
      <w:r>
        <w:rPr>
          <w:rFonts w:ascii="Cambria Math" w:hAnsi="Cambria Math" w:cs="Cambria Math" w:eastAsia="Cambria Math"/>
          <w:color w:val="FF0000"/>
          <w:sz w:val="18"/>
          <w:highlight w:val="yellow"/>
          <w:vertAlign w:val="subscript"/>
        </w:rPr>
        <w:t>I</w:t>
      </w:r>
      <w:r>
        <w:rPr>
          <w:rFonts w:ascii="Cambria Math" w:hAnsi="Cambria Math" w:cs="Cambria Math" w:eastAsia="Cambria Math"/>
          <w:color w:val="FF0000"/>
          <w:sz w:val="18"/>
          <w:highlight w:val="yellow"/>
        </w:rPr>
        <w:t xml:space="preserve"> ∧ V</w:t>
      </w:r>
      <w:r>
        <w:rPr>
          <w:rFonts w:ascii="Cambria Math" w:hAnsi="Cambria Math" w:cs="Cambria Math" w:eastAsia="Cambria Math"/>
          <w:color w:val="FF0000"/>
          <w:sz w:val="18"/>
          <w:highlight w:val="yellow"/>
          <w:vertAlign w:val="subscript"/>
        </w:rPr>
        <w:t>A</w:t>
      </w:r>
      <w:r>
        <w:rPr>
          <w:rFonts w:ascii="Cambria Math" w:hAnsi="Cambria Math" w:cs="Cambria Math" w:eastAsia="Cambria Math"/>
          <w:color w:val="FF0000"/>
          <w:sz w:val="18"/>
          <w:highlight w:val="yellow"/>
        </w:rPr>
        <w:t xml:space="preserve"> ∧ V</w:t>
      </w:r>
      <w:r>
        <w:rPr>
          <w:rFonts w:ascii="Cambria Math" w:hAnsi="Cambria Math" w:cs="Cambria Math" w:eastAsia="Cambria Math"/>
          <w:color w:val="FF0000"/>
          <w:sz w:val="18"/>
          <w:highlight w:val="yellow"/>
          <w:vertAlign w:val="subscript"/>
        </w:rPr>
        <w:t>P</w:t>
      </w:r>
      <w:r>
        <w:rPr>
          <w:rFonts w:ascii="Cambria Math" w:hAnsi="Cambria Math" w:cs="Cambria Math" w:eastAsia="Cambria Math"/>
          <w:color w:val="FF0000"/>
          <w:sz w:val="18"/>
          <w:highlight w:val="yellow"/>
        </w:rPr>
        <w:t xml:space="preserve"> ∧ V</w:t>
      </w:r>
      <w:r>
        <w:rPr>
          <w:rFonts w:ascii="Cambria Math" w:hAnsi="Cambria Math" w:cs="Cambria Math" w:eastAsia="Cambria Math"/>
          <w:color w:val="FF0000"/>
          <w:sz w:val="18"/>
          <w:highlight w:val="yellow"/>
          <w:vertAlign w:val="subscript"/>
        </w:rPr>
        <w:t>T</w:t>
      </w:r>
      <w:r>
        <w:rPr>
          <w:rFonts w:ascii="Cambria Math" w:hAnsi="Cambria Math" w:cs="Cambria Math" w:eastAsia="Cambria Math"/>
          <w:color w:val="FF0000"/>
          <w:sz w:val="18"/>
          <w:highlight w:val="yellow"/>
        </w:rPr>
        <w:t xml:space="preserve"> ∧ V</w:t>
      </w:r>
      <w:r>
        <w:rPr>
          <w:rFonts w:ascii="Cambria Math" w:hAnsi="Cambria Math" w:cs="Cambria Math" w:eastAsia="Cambria Math"/>
          <w:color w:val="FF0000"/>
          <w:sz w:val="18"/>
          <w:highlight w:val="yellow"/>
          <w:vertAlign w:val="subscript"/>
        </w:rPr>
        <w:t>L</w:t>
      </w:r>
      <w:r>
        <w:rPr>
          <w:rFonts w:ascii="Cambria Math" w:hAnsi="Cambria Math" w:cs="Cambria Math" w:eastAsia="Cambria Math"/>
          <w:color w:val="FF0000"/>
          <w:sz w:val="18"/>
          <w:highlight w:val="yellow"/>
        </w:rPr>
        <w:t>) ⟹ Decision(C, R, t) = DENY.</w:t>
      </w:r>
      <w:r>
        <w:rPr>
          <w:color w:val="FF0000"/>
          <w:highlight w:val="yellow"/>
        </w:rPr>
        <w:tab/>
        <w:t>(5.2)</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w:t>
      </w:r>
      <w:r>
        <w:rPr>
          <w:color w:val="FF0000"/>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w:t>
      </w:r>
      <w:r>
        <w:rPr>
          <w:color w:val="FF0000"/>
          <w:sz w:val="20"/>
          <w:szCs w:val="18"/>
        </w:rPr>
        <w:t>.</w:t>
      </w:r>
    </w:p>
    <w:p>
      <w:pPr>
        <w:pStyle w:val="2"/>
        <w:keepNext/>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FFE9D93"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5EFDC3C"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5DE0966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BF5E40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Expected Contribution</w:t>
            </w:r>
          </w:p>
        </w:tc>
      </w:tr>
      <w:tr w:rsidR="009262C4" w14:paraId="3D438939"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B42B50" w14:textId="77777777" w:rsidR="009262C4" w:rsidRDefault="00000000">
            <w:pPr>
              <w:keepNext/>
              <w:spacing w:before="40" w:after="40" w:line="240" w:lineRule="auto"/>
              <w:jc w:val="left"/>
            </w:pPr>
            <w:r>
              <w:rPr>
                <w:rFonts w:ascii="Palatino Linotype" w:hAnsi="Palatino Linotype" w:cs="Palatino Linotype"/>
                <w:color w:val="000000"/>
                <w:sz w:val="20"/>
                <w:szCs w:val="17"/>
              </w:rPr>
              <w:t>RO1</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EE78E7" w14:textId="77777777" w:rsidR="009262C4" w:rsidRDefault="00000000">
            <w:pPr>
              <w:keepNext/>
              <w:spacing w:before="40" w:after="40" w:line="240" w:lineRule="auto"/>
              <w:jc w:val="left"/>
            </w:pPr>
            <w:r>
              <w:rPr>
                <w:rFonts w:ascii="Palatino Linotype" w:hAnsi="Palatino Linotype" w:cs="Palatino Linotype"/>
                <w:color w:val="000000"/>
                <w:sz w:val="20"/>
                <w:szCs w:val="17"/>
              </w:rPr>
              <w:t>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0A0EB6A" w14:textId="77777777" w:rsidR="009262C4" w:rsidRDefault="00000000">
            <w:pPr>
              <w:keepNext/>
              <w:spacing w:before="40" w:after="40" w:line="240" w:lineRule="auto"/>
              <w:jc w:val="left"/>
            </w:pPr>
            <w:r>
              <w:rPr>
                <w:rFonts w:ascii="Palatino Linotype" w:hAnsi="Palatino Linotype" w:cs="Palatino Linotype"/>
                <w:color w:val="000000"/>
                <w:sz w:val="20"/>
                <w:szCs w:val="17"/>
              </w:rPr>
              <w:t>Trust-aware consent representation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87435E0" w14:textId="77777777" w:rsidR="009262C4" w:rsidRDefault="00000000">
            <w:pPr>
              <w:keepNext/>
              <w:spacing w:before="40" w:after="40" w:line="240" w:lineRule="auto"/>
              <w:jc w:val="left"/>
            </w:pPr>
            <w:r>
              <w:rPr>
                <w:rFonts w:ascii="Palatino Linotype" w:hAnsi="Palatino Linotype" w:cs="Palatino Linotype"/>
                <w:color w:val="000000"/>
                <w:sz w:val="20"/>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F4280C" w14:textId="77777777" w:rsidR="009262C4" w:rsidRDefault="00000000">
            <w:pPr>
              <w:keepNext/>
              <w:spacing w:before="40" w:after="40" w:line="240" w:lineRule="auto"/>
              <w:jc w:val="left"/>
            </w:pPr>
            <w:r>
              <w:rPr>
                <w:rFonts w:ascii="Palatino Linotype" w:hAnsi="Palatino Linotype" w:cs="Palatino Linotype"/>
                <w:color w:val="000000"/>
                <w:sz w:val="20"/>
                <w:szCs w:val="17"/>
              </w:rPr>
              <w:t>RO2</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BB1341E"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 and 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82941FB" w14:textId="77777777" w:rsidR="009262C4" w:rsidRDefault="00000000">
            <w:pPr>
              <w:keepNext/>
              <w:spacing w:before="40" w:after="40" w:line="240" w:lineRule="auto"/>
              <w:jc w:val="left"/>
            </w:pPr>
            <w:r>
              <w:rPr>
                <w:rFonts w:ascii="Palatino Linotype" w:hAnsi="Palatino Linotype" w:cs="Palatino Linotype"/>
                <w:color w:val="000000"/>
                <w:sz w:val="20"/>
                <w:szCs w:val="17"/>
              </w:rPr>
              <w:t>DID and VC verification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D52748" w14:textId="77777777" w:rsidR="009262C4" w:rsidRDefault="00000000">
            <w:pPr>
              <w:keepNext/>
              <w:spacing w:before="40" w:after="40" w:line="240" w:lineRule="auto"/>
              <w:jc w:val="left"/>
            </w:pPr>
            <w:r>
              <w:rPr>
                <w:rFonts w:ascii="Palatino Linotype" w:hAnsi="Palatino Linotype" w:cs="Palatino Linotype"/>
                <w:color w:val="000000"/>
                <w:sz w:val="20"/>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14017C" w14:textId="77777777" w:rsidR="009262C4" w:rsidRDefault="00000000">
            <w:pPr>
              <w:keepNext/>
              <w:spacing w:before="40" w:after="40" w:line="240" w:lineRule="auto"/>
              <w:jc w:val="left"/>
            </w:pPr>
            <w:r>
              <w:rPr>
                <w:rFonts w:ascii="Palatino Linotype" w:hAnsi="Palatino Linotype" w:cs="Palatino Linotype"/>
                <w:color w:val="000000"/>
                <w:sz w:val="20"/>
                <w:szCs w:val="17"/>
              </w:rPr>
              <w:t>RO3</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F89D3D4"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590476E" w14:textId="77777777" w:rsidR="009262C4" w:rsidRDefault="00000000">
            <w:pPr>
              <w:keepNext/>
              <w:spacing w:before="40" w:after="40" w:line="240" w:lineRule="auto"/>
              <w:jc w:val="left"/>
            </w:pPr>
            <w:r>
              <w:rPr>
                <w:rFonts w:ascii="Palatino Linotype" w:hAnsi="Palatino Linotype" w:cs="Palatino Linotype"/>
                <w:color w:val="000000"/>
                <w:sz w:val="20"/>
                <w:szCs w:val="17"/>
              </w:rPr>
              <w:t>Verified multi-party threshold evaluation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111184" w14:textId="77777777" w:rsidR="009262C4" w:rsidRDefault="00000000">
            <w:pPr>
              <w:keepNext/>
              <w:spacing w:before="40" w:after="40" w:line="240" w:lineRule="auto"/>
              <w:jc w:val="left"/>
            </w:pPr>
            <w:r>
              <w:rPr>
                <w:rFonts w:ascii="Palatino Linotype" w:hAnsi="Palatino Linotype" w:cs="Palatino Linotype"/>
                <w:color w:val="000000"/>
                <w:sz w:val="20"/>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554522" w14:textId="77777777" w:rsidR="009262C4" w:rsidRDefault="00000000">
            <w:pPr>
              <w:keepNext/>
              <w:spacing w:before="40" w:after="40" w:line="240" w:lineRule="auto"/>
              <w:jc w:val="left"/>
            </w:pPr>
            <w:r>
              <w:rPr>
                <w:rFonts w:ascii="Palatino Linotype" w:hAnsi="Palatino Linotype" w:cs="Palatino Linotype"/>
                <w:color w:val="000000"/>
                <w:sz w:val="20"/>
                <w:szCs w:val="17"/>
              </w:rPr>
              <w:t>RO4</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4A1E3E"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 and 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76F1CA" w14:textId="77777777" w:rsidR="009262C4" w:rsidRDefault="00000000">
            <w:pPr>
              <w:keepNext/>
              <w:spacing w:before="40" w:after="40" w:line="240" w:lineRule="auto"/>
              <w:jc w:val="left"/>
            </w:pPr>
            <w:r>
              <w:rPr>
                <w:rFonts w:ascii="Palatino Linotype" w:hAnsi="Palatino Linotype" w:cs="Palatino Linotype"/>
                <w:color w:val="000000"/>
                <w:sz w:val="20"/>
                <w:szCs w:val="17"/>
              </w:rPr>
              <w:t>Policy, purpose, and data-scope evaluation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268DDF" w14:textId="77777777" w:rsidR="009262C4" w:rsidRDefault="00000000">
            <w:pPr>
              <w:keepNext/>
              <w:spacing w:before="40" w:after="40" w:line="240" w:lineRule="auto"/>
              <w:jc w:val="left"/>
            </w:pPr>
            <w:r>
              <w:rPr>
                <w:rFonts w:ascii="Palatino Linotype" w:hAnsi="Palatino Linotype" w:cs="Palatino Linotype"/>
                <w:color w:val="000000"/>
                <w:sz w:val="20"/>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7954FD" w14:textId="77777777" w:rsidR="009262C4" w:rsidRDefault="00000000">
            <w:pPr>
              <w:keepNext/>
              <w:spacing w:before="40" w:after="40" w:line="240" w:lineRule="auto"/>
              <w:jc w:val="left"/>
            </w:pPr>
            <w:r>
              <w:rPr>
                <w:rFonts w:ascii="Palatino Linotype" w:hAnsi="Palatino Linotype" w:cs="Palatino Linotype"/>
                <w:color w:val="000000"/>
                <w:sz w:val="20"/>
                <w:szCs w:val="17"/>
              </w:rPr>
              <w:t>RO5</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7BE1E77" w14:textId="77777777" w:rsidR="009262C4" w:rsidRDefault="00000000">
            <w:pPr>
              <w:keepNext/>
              <w:spacing w:before="40" w:after="40" w:line="240" w:lineRule="auto"/>
              <w:jc w:val="left"/>
            </w:pPr>
            <w:r>
              <w:rPr>
                <w:rFonts w:ascii="Palatino Linotype" w:hAnsi="Palatino Linotype" w:cs="Palatino Linotype"/>
                <w:color w:val="000000"/>
                <w:sz w:val="20"/>
                <w:szCs w:val="17"/>
              </w:rPr>
              <w:t>Model and Controller</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3A389AE" w14:textId="77777777" w:rsidR="009262C4" w:rsidRDefault="00000000">
            <w:pPr>
              <w:keepNext/>
              <w:spacing w:before="40" w:after="40" w:line="240" w:lineRule="auto"/>
              <w:jc w:val="left"/>
            </w:pPr>
            <w:r>
              <w:rPr>
                <w:rFonts w:ascii="Palatino Linotype" w:hAnsi="Palatino Linotype" w:cs="Palatino Linotype"/>
                <w:color w:val="000000"/>
                <w:sz w:val="20"/>
                <w:szCs w:val="17"/>
              </w:rPr>
              <w:t>Temporal validity and consent lifecycle enforcement</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E5B8DF" w14:textId="77777777" w:rsidR="009262C4" w:rsidRDefault="00000000">
            <w:pPr>
              <w:keepNext/>
              <w:spacing w:before="40" w:after="40" w:line="240" w:lineRule="auto"/>
              <w:jc w:val="left"/>
            </w:pPr>
            <w:r>
              <w:rPr>
                <w:rFonts w:ascii="Palatino Linotype" w:hAnsi="Palatino Linotype" w:cs="Palatino Linotype"/>
                <w:color w:val="000000"/>
                <w:sz w:val="20"/>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vAlign w:val="top"/>
          </w:tcPr>
          <w:p w14:paraId="555B9621" w14:textId="77777777" w:rsidR="009262C4" w:rsidRDefault="00000000">
            <w:pPr>
              <w:spacing w:before="40" w:after="40" w:line="240" w:lineRule="auto"/>
              <w:jc w:val="left"/>
            </w:pPr>
            <w:r>
              <w:rPr>
                <w:rFonts w:ascii="Palatino Linotype" w:hAnsi="Palatino Linotype" w:cs="Palatino Linotype"/>
                <w:color w:val="000000"/>
                <w:sz w:val="20"/>
                <w:szCs w:val="17"/>
              </w:rPr>
              <w:t>RO6</w:t>
            </w:r>
          </w:p>
        </w:tc>
        <w:tc>
          <w:tcPr>
            <w:tcW w:w="1700" w:type="dxa"/>
            <w:tcBorders>
              <w:top w:val="nil"/>
              <w:left w:val="nil"/>
              <w:bottom w:val="nil"/>
              <w:right w:val="nil"/>
              <w:insideH w:val="nil"/>
              <w:insideV w:val="nil"/>
            </w:tcBorders>
            <w:tcMar>
              <w:top w:w="40" w:type="dxa"/>
              <w:left w:w="80" w:type="dxa"/>
              <w:bottom w:w="40" w:type="dxa"/>
              <w:right w:w="80" w:type="dxa"/>
            </w:tcMar>
            <w:vAlign w:val="top"/>
          </w:tcPr>
          <w:p w14:paraId="359B604F" w14:textId="77777777" w:rsidR="009262C4" w:rsidRDefault="00000000">
            <w:pPr>
              <w:spacing w:before="40" w:after="40" w:line="240" w:lineRule="auto"/>
              <w:jc w:val="left"/>
            </w:pPr>
            <w:r>
              <w:rPr>
                <w:rFonts w:ascii="Palatino Linotype" w:hAnsi="Palatino Linotype" w:cs="Palatino Linotype"/>
                <w:color w:val="000000"/>
                <w:sz w:val="20"/>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vAlign w:val="top"/>
          </w:tcPr>
          <w:p w14:paraId="24CA74E4" w14:textId="77777777" w:rsidR="009262C4" w:rsidRDefault="00000000">
            <w:pPr>
              <w:spacing w:before="40" w:after="40" w:line="240" w:lineRule="auto"/>
              <w:jc w:val="left"/>
            </w:pPr>
            <w:r>
              <w:rPr>
                <w:rFonts w:ascii="Palatino Linotype" w:hAnsi="Palatino Linotype" w:cs="Palatino Linotype"/>
                <w:color w:val="000000"/>
                <w:sz w:val="20"/>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vAlign w:val="top"/>
          </w:tcPr>
          <w:p w14:paraId="05F31F88" w14:textId="77777777" w:rsidR="009262C4" w:rsidRDefault="00000000">
            <w:pPr>
              <w:spacing w:before="40" w:after="40" w:line="240" w:lineRule="auto"/>
              <w:jc w:val="left"/>
            </w:pPr>
            <w:r>
              <w:rPr>
                <w:rFonts w:ascii="Palatino Linotype" w:hAnsi="Palatino Linotype" w:cs="Palatino Linotype"/>
                <w:color w:val="000000"/>
                <w:sz w:val="20"/>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HALAH framework</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Identity</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Central identity provider; institution login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DID for every participant; identity kept separate from authority</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Consent</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stored record that permission was given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An object C = (I, A, P, T, L, E), checked at every request</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Approval</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static permission set by one party</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All listed guardians sign (EIP-712); no single party can approve alone</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Access check</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Log in, then check a static permission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VI ∧ VA ∧ VP ∧ VT ∧ VL, plus a Groth16 proof before data is released</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Time and revocation</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Hard to verify once the permission is stored</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rPr>
          <w:color w:val="FF0000"/>
        </w:rPr>
        <w:t>are presented in Chapters 5 to 10</w:t>
      </w:r>
      <w:r>
        <w:t>, and the formal assurance of the complete decision model remains for the next stage. The next section presents the solution for RO1, the consent object on which the other objectives build.</w:t>
      </w:r>
    </w:p>
    <w:p>
      <w:pPr>
        <w:pStyle w:val="2"/>
        <w:keepNext/>
      </w:pPr>
      <w:r>
        <w:t>5.5 Trust-Centric Consent Model</w:t>
      </w:r>
    </w:p>
    <w:p w14:paraId="5376DFE3" w14:textId="77777777" w:rsidR="009262C4" w:rsidRDefault="00000000">
      <w:pPr>
        <w:spacing w:after="110" w:line="264" w:lineRule="auto"/>
        <w:jc w:val="both"/>
      </w:pPr>
      <w:r>
        <w:t xml:space="preserve">This section presents the solution for RO1. </w:t>
      </w:r>
      <w:r>
        <w:rPr>
          <w:color w:val="FF0000"/>
        </w:rP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rPr>
          <w:color w:val="FF0000"/>
          <w:highlight w:val="yellow"/>
        </w:rPr>
        <w:t>Equation (5.3)</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rPr>
          <w:color w:val="FF0000"/>
          <w:highlight w:val="yellow"/>
        </w:rPr>
        <w:t>(5.3)</w:t>
      </w:r>
    </w:p>
    <w:p w14:paraId="63094BBA" w14:textId="77777777" w:rsidR="009262C4" w:rsidRDefault="00000000">
      <w:pPr>
        <w:spacing w:after="110" w:line="264" w:lineRule="auto"/>
        <w:jc w:val="both"/>
      </w:pPr>
      <w:r>
        <w:rPr>
          <w:color w:val="FF0000"/>
          <w:highlight w:val="yellow"/>
        </w:rPr>
        <w:t>In Equation (5.3)</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rPr>
          <w:color w:val="FF0000"/>
        </w:rP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keepNext/>
      </w:pPr>
      <w:r>
        <w:t>5.5.1 Consent Creation Workflow</w:t>
      </w:r>
    </w:p>
    <w:p w14:paraId="19D1B142" w14:textId="77777777" w:rsidR="009262C4" w:rsidRDefault="00000000">
      <w:pPr>
        <w:spacing w:after="110" w:line="264" w:lineRule="auto"/>
        <w:jc w:val="both"/>
      </w:pPr>
      <w:r>
        <w:rPr>
          <w:color w:val="FF0000"/>
        </w:rP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color w:val="FF0000"/>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w:t>
      </w:r>
      <w:r>
        <w:t>.</w:t>
      </w:r>
    </w:p>
    <w:p>
      <w:pPr>
        <w:pStyle w:val="3"/>
        <w:keepNext/>
      </w:pPr>
      <w:r>
        <w:t>5.5.2 Structure of the Consent Object</w:t>
      </w:r>
    </w:p>
    <w:p w14:paraId="5F6EAA5F" w14:textId="77777777" w:rsidR="009262C4" w:rsidRDefault="00000000">
      <w:pPr>
        <w:spacing w:after="110" w:line="264" w:lineRule="auto"/>
        <w:jc w:val="both"/>
      </w:pPr>
      <w:r>
        <w:rPr>
          <w:color w:val="FF0000"/>
        </w:rP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color w:val="FF0000"/>
          <w:sz w:val="20"/>
          <w:szCs w:val="18"/>
        </w:rPr>
        <w:t>Figure 5.6</w:t>
      </w:r>
      <w:r>
        <w:rPr>
          <w:b/>
          <w:bCs/>
          <w:sz w:val="20"/>
          <w:szCs w:val="18"/>
        </w:rPr>
        <w:t xml:space="preserve">: </w:t>
      </w:r>
      <w:r>
        <w:rPr>
          <w:sz w:val="20"/>
          <w:szCs w:val="18"/>
        </w:rPr>
        <w:t>Six-component consent model C = (I, A, P, T, L, E)</w:t>
      </w:r>
      <w:r>
        <w:rPr>
          <w:color w:val="FF0000"/>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keepNext/>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rPr>
          <w:color w:val="FF0000"/>
        </w:rPr>
        <w:t xml:space="preserve">T, L, </w:t>
      </w:r>
      <w:r>
        <w:t xml:space="preserve">E), where I represents the verified identity information, A represents the authorisation requirements, P represents the consent purpose and associated permissions, </w:t>
      </w:r>
      <w:r>
        <w:rPr>
          <w:color w:val="FF0000"/>
        </w:rP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keepNext/>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rPr>
          <w:color w:val="FF0000"/>
        </w:rPr>
        <w:t>as qualified in Chapter 6</w:t>
      </w:r>
      <w:r>
        <w:t xml:space="preserve">. The validation evidence for consent creation, including the demonstration scenarios and the unit-level tests, </w:t>
      </w:r>
      <w:r>
        <w:rPr>
          <w:color w:val="FF0000"/>
        </w:rPr>
        <w:t>is presented in Section 5.9.</w:t>
      </w:r>
    </w:p>
    <w:p>
      <w:pPr>
        <w:pStyle w:val="3"/>
        <w:keepNext/>
      </w:pPr>
      <w:r>
        <w:rPr>
          <w:color w:val="FF0000"/>
        </w:rPr>
        <w:t>5.6.1 Aims of Engineering the Prototype System</w:t>
      </w:r>
    </w:p>
    <w:p>
      <w:pPr/>
      <w:r>
        <w:rPr>
          <w:color w:val="FF0000"/>
        </w:rP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rPr>
          <w:color w:val="FF0000"/>
        </w:rP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rPr>
          <w:color w:val="FF0000"/>
        </w:rPr>
        <w:t>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 its purpose is to validate the design.</w:t>
      </w:r>
    </w:p>
    <w:p>
      <w:pPr>
        <w:pStyle w:val="2"/>
        <w:keepNext/>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rPr>
          <w:color w:val="FF0000"/>
        </w:rP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color w:val="FF0000"/>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FF0000"/>
                <w:sz w:val="20"/>
              </w:rPr>
              <w:t>Synthea table</w:t>
            </w:r>
          </w:p>
        </w:tc>
        <w:tc>
          <w:tcPr>
            <w:tcW w:type="dxa" w:w="181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FF0000"/>
                <w:sz w:val="20"/>
              </w:rPr>
              <w:t>Records in the loaded subset</w:t>
            </w:r>
          </w:p>
        </w:tc>
        <w:tc>
          <w:tcPr>
            <w:tcW w:type="dxa" w:w="249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FF0000"/>
                <w:sz w:val="20"/>
              </w:rPr>
              <w:t>Record selected by</w:t>
            </w:r>
          </w:p>
        </w:tc>
        <w:tc>
          <w:tcPr>
            <w:tcW w:type="dxa" w:w="238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FF0000"/>
                <w:sz w:val="20"/>
              </w:rPr>
              <w:t>Consent module</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patients.csv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113</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Id (the source of the patient DID)</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Patient identity in the patient interface</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observations.csv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4,428</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Observation</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medications.csv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2,931</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Medication</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conditions.csv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4,748</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Condition</w:t>
            </w:r>
          </w:p>
        </w:tc>
      </w:tr>
      <w:tr>
        <w:trPr>
          <w:cantSplit/>
        </w:trPr>
        <w:tc>
          <w:tcPr>
            <w:tcW w:type="dxa" w:w="181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procedures.csv</w:t>
            </w:r>
          </w:p>
        </w:tc>
        <w:tc>
          <w:tcPr>
            <w:tcW w:type="dxa" w:w="181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4,237</w:t>
            </w:r>
          </w:p>
        </w:tc>
        <w:tc>
          <w:tcPr>
            <w:tcW w:type="dxa" w:w="249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PATIENT</w:t>
            </w:r>
          </w:p>
        </w:tc>
        <w:tc>
          <w:tcPr>
            <w:tcW w:type="dxa" w:w="238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Procedure</w:t>
            </w:r>
          </w:p>
        </w:tc>
      </w:tr>
    </w:tbl>
    <w:p>
      <w:pPr>
        <w:pStyle w:val="2"/>
        <w:keepNext/>
      </w:pPr>
      <w:r>
        <w:rPr>
          <w:color w:val="FF0000"/>
        </w:rPr>
        <w:t>5.8 Steps in the Working of the Prototype System for Consent Creation</w:t>
      </w:r>
    </w:p>
    <w:p>
      <w:pPr/>
      <w:r>
        <w:rPr>
          <w:color w:val="FF0000"/>
        </w:rP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keepNext/>
      </w:pPr>
      <w:r>
        <w:rPr>
          <w:color w:val="FF0000"/>
        </w:rPr>
        <w:t>5.8.1 Steps in the patient interface</w:t>
      </w:r>
    </w:p>
    <w:p>
      <w:pPr/>
      <w:r>
        <w:rPr>
          <w:color w:val="FF0000"/>
        </w:rPr>
        <w:t>1. The patient selects the role Patient and their own DID, which the prototype loads from the record set.</w:t>
      </w:r>
    </w:p>
    <w:p>
      <w:pPr/>
      <w:r>
        <w:rPr>
          <w:color w:val="FF0000"/>
        </w:rPr>
        <w:t>2. The patient enters the DID of the authorised doctor and the DIDs of the guardians, separated by commas.</w:t>
      </w:r>
    </w:p>
    <w:p>
      <w:pPr/>
      <w:r>
        <w:rPr>
          <w:color w:val="FF0000"/>
        </w:rPr>
        <w:t>3. The patient selects the data modules from Observation, Medication, Condition and Procedure, and sets the start and expiry times.</w:t>
      </w:r>
    </w:p>
    <w:p>
      <w:pPr/>
      <w:r>
        <w:rPr>
          <w:color w:val="FF0000"/>
        </w:rP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keepNext/>
      </w:pPr>
      <w:r>
        <w:rPr>
          <w:color w:val="FF0000"/>
        </w:rPr>
        <w:t>5.8.2 Steps in the service layer</w:t>
      </w:r>
    </w:p>
    <w:p>
      <w:pPr/>
      <w:r>
        <w:rPr>
          <w:color w:val="FF0000"/>
        </w:rP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rPr>
          <w:color w:val="FF0000"/>
        </w:rP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7"/>
                    <a:stretch>
                      <a:fillRect/>
                    </a:stretch>
                  </pic:blipFill>
                  <pic:spPr>
                    <a:xfrm>
                      <a:off x="0" y="0"/>
                      <a:ext cx="4860000" cy="3645000"/>
                    </a:xfrm>
                    <a:prstGeom prst="rect"/>
                  </pic:spPr>
                </pic:pic>
              </a:graphicData>
            </a:graphic>
          </wp:inline>
        </w:drawing>
      </w:r>
    </w:p>
    <w:p>
      <w:pPr>
        <w:spacing w:before="160" w:after="160"/>
        <w:jc w:val="center"/>
      </w:pPr>
      <w:r>
        <w:rPr>
          <w:color w:val="FF0000"/>
          <w:sz w:val="20"/>
        </w:rPr>
        <w:t>Figure 5.7: The patient interface of the HALAH prototype after a consent has been created.</w:t>
      </w:r>
    </w:p>
    <w:p>
      <w:pPr>
        <w:pStyle w:val="2"/>
        <w:keepNext/>
      </w:pPr>
      <w:r>
        <w:rPr>
          <w:color w:val="FF0000"/>
        </w:rPr>
        <w:t>5.9 Prototype Evaluation and Discussion</w:t>
      </w:r>
    </w:p>
    <w:p>
      <w:pPr/>
      <w:r>
        <w:rPr>
          <w:color w:val="FF0000"/>
        </w:rPr>
        <w:t>Objective one involves the representation of patient consent as an evaluable authorisation object. The result of RO1 is therefore the conceptual model of Sections 5.2 to 5.5, not a set of measurements. The prototype results reported in this section show only that the model can be realised and behaves as specified, so they are reported as outcomes, created or rejected, rather than as numbers; the quantitative evaluation of the complete framework is given in Chapter 10. The results of the validation carried out for this objective are shown in Figure 5.8 and Table 5.4, and the security properties of the architecture are examined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keepNext/>
      </w:pPr>
      <w:r>
        <w:rPr>
          <w:color w:val="FF0000"/>
        </w:rPr>
        <w:t>5.9.1 Validation of Consent Creation</w:t>
      </w:r>
    </w:p>
    <w:p>
      <w:pPr/>
      <w:r>
        <w:rPr>
          <w:color w:val="FF0000"/>
        </w:rP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rPr>
          <w:color w:val="FF0000"/>
        </w:rP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rPr>
          <w:color w:val="FF0000"/>
        </w:rP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8"/>
                    <a:stretch>
                      <a:fillRect/>
                    </a:stretch>
                  </pic:blipFill>
                  <pic:spPr>
                    <a:xfrm>
                      <a:off x="0" y="0"/>
                      <a:ext cx="4860000" cy="2930294"/>
                    </a:xfrm>
                    <a:prstGeom prst="rect"/>
                  </pic:spPr>
                </pic:pic>
              </a:graphicData>
            </a:graphic>
          </wp:inline>
        </w:drawing>
      </w:r>
    </w:p>
    <w:p>
      <w:pPr>
        <w:spacing w:before="160" w:after="160"/>
        <w:jc w:val="center"/>
      </w:pPr>
      <w:r>
        <w:rPr>
          <w:color w:val="FF0000"/>
          <w:sz w:val="20"/>
        </w:rPr>
        <w:t>Figure 5.8: A specification that names the same guardian twice is rejected by Algorithm 1 before any consent is stored.</w:t>
      </w:r>
    </w:p>
    <w:p>
      <w:pPr/>
      <w:r>
        <w:rPr>
          <w:color w:val="FF0000"/>
        </w:rP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color w:val="FF0000"/>
          <w:sz w:val="20"/>
        </w:rPr>
        <w:t>Table 5.4: Validation results of the prototype for consent creation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FF0000"/>
                <w:sz w:val="20"/>
              </w:rPr>
              <w:t>Component</w:t>
            </w:r>
          </w:p>
        </w:tc>
        <w:tc>
          <w:tcPr>
            <w:tcW w:type="dxa" w:w="238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FF0000"/>
                <w:sz w:val="20"/>
              </w:rPr>
              <w:t>Check at creation (Algorithm 1)</w:t>
            </w:r>
          </w:p>
        </w:tc>
        <w:tc>
          <w:tcPr>
            <w:tcW w:type="dxa" w:w="2835"/>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FF0000"/>
                <w:sz w:val="20"/>
              </w:rPr>
              <w:t>Evidence</w:t>
            </w:r>
          </w:p>
        </w:tc>
        <w:tc>
          <w:tcPr>
            <w:tcW w:type="dxa" w:w="1757"/>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FF0000"/>
                <w:sz w:val="20"/>
              </w:rPr>
              <w:t>Result</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I  Identity</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Steps 1 to 3: the patient identity, the authorised doctor DID holding a valid doctor credential, and each guardian DID holding a valid guardian credential.</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Invalid identities rejected before anything is stored; valid identities accepted.</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A  Authorisation</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Step 3: the guardian set G and the threshold N; no guardian may appear twice.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A specification naming the same guardian twice was rejected (Figure 5.8). Scenario 1 of 24 September 2026 created consent f050c29a with the two guardians did:parent:A and did:parent:B.</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Duplicate guardian rejected; consent created with N set to the number of guardians.</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P  Policy</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Steps 4 and 5: the purpose and the data scope; the data scope must not be empty.</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Empty scope rejected; purpose and scope recorded in the consent object.</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T  Time</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Step 6: the validity interval T = (ts, te); the expiry time must be later than the start time.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Scenario 1 recorded a validity window ending on 31 December 2026; the prototype refuses an expiry time that is not later than the start time (Section 5.8).</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Validity interval recorded; the interval is enforced at every request by VT (Chapter 9).</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L  Lifecycle</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Steps 8 and 9: the consent identifier is generated and the object is created in the state PENDING_SIGNATURE.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E  Evidence</w:t>
            </w:r>
          </w:p>
        </w:tc>
        <w:tc>
          <w:tcPr>
            <w:tcW w:type="dxa" w:w="238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Every creation is logged; a rejected specification stores and logs nothing.</w:t>
            </w:r>
          </w:p>
        </w:tc>
      </w:tr>
    </w:tbl>
    <w:p>
      <w:pPr>
        <w:pStyle w:val="3"/>
        <w:keepNext/>
      </w:pPr>
      <w:r>
        <w:rPr>
          <w:color w:val="FF0000"/>
        </w:rPr>
        <w:t>5.9.2 Evaluation of the Architecture against the Security Properties</w:t>
      </w:r>
    </w:p>
    <w:p>
      <w:pPr/>
      <w:r>
        <w:rPr>
          <w:color w:val="FF0000"/>
        </w:rPr>
        <w:t>The proposed MVC architecture provides several foundational security properties for the current stage. These properties emerge from the interaction between the Model, View, and Controller rather than from any single technology.</w:t>
      </w:r>
    </w:p>
    <w:p>
      <w:pPr/>
      <w:r>
        <w:rPr>
          <w:color w:val="FF0000"/>
        </w:rP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color w:val="FF0000"/>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FF0000"/>
                <w:sz w:val="20"/>
              </w:rPr>
              <w:t>Security property</w:t>
            </w:r>
          </w:p>
        </w:tc>
        <w:tc>
          <w:tcPr>
            <w:tcW w:type="dxa" w:w="306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FF0000"/>
                <w:sz w:val="20"/>
              </w:rPr>
              <w:t>Architectural mechanism</w:t>
            </w:r>
          </w:p>
        </w:tc>
        <w:tc>
          <w:tcPr>
            <w:tcW w:type="dxa" w:w="3402"/>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FF0000"/>
                <w:sz w:val="20"/>
              </w:rPr>
              <w:t>Security significance</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Identity-dependent participation</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DID and credential verification before a participant can contribute to the authorisation process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Designed to prevent unverified entities from being treated as legitimate participants.</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Authority separation</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Independent evaluation of identity and role or authority evidence</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Designed to prevent successful authentication from being interpreted as unrestricted authorisation.</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Multi-party authorisation integrity</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Threshold evaluation over independently verified approval participants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Designed to prevent a single participant from unilaterally activating sensitive healthcare data access when collective approval is required.</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Policy-bounded access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Evaluation of purpose and requested data scope against consent policy</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Designed to prevent otherwise valid identities and approvals from being used to obtain data beyond the authorised scope.</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Authorisation evidence</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Recording of verification results, approval evidence, policy evaluation, and final decisions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Separation of interaction and enforcement</w:t>
            </w:r>
          </w:p>
        </w:tc>
        <w:tc>
          <w:tcPr>
            <w:tcW w:type="dxa" w:w="306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The View submits requests while the Controller independently determines the security decision</w:t>
            </w:r>
          </w:p>
        </w:tc>
        <w:tc>
          <w:tcPr>
            <w:tcW w:type="dxa" w:w="3402"/>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Designed to prevent user-interface actions from being interpreted directly as trusted authorisation outcomes.</w:t>
            </w:r>
          </w:p>
        </w:tc>
      </w:tr>
    </w:tbl>
    <w:p>
      <w:pPr/>
      <w:r>
        <w:rPr>
          <w:color w:val="FF0000"/>
        </w:rPr>
      </w:r>
    </w:p>
    <w:p>
      <w:pPr/>
      <w:r>
        <w:rPr>
          <w:color w:val="FF0000"/>
        </w:rPr>
        <w:t>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3"/>
        <w:keepNext/>
      </w:pPr>
      <w:r>
        <w:rPr>
          <w:color w:val="FF0000"/>
        </w:rPr>
        <w:t>5.9.3 Discussion</w:t>
      </w:r>
    </w:p>
    <w:p>
      <w:pPr/>
      <w:r>
        <w:rPr>
          <w:color w:val="FF0000"/>
        </w:rPr>
        <w:t>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with its identifier, its participants and its time, so the later decisions can be traced back to the consent they were taken on.</w:t>
      </w:r>
    </w:p>
    <w:p>
      <w:pPr/>
      <w:r>
        <w:rPr>
          <w:color w:val="FF0000"/>
        </w:rP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keepNext/>
      </w:pPr>
      <w:r>
        <w:rPr>
          <w:color w:val="FF0000"/>
        </w:rPr>
        <w:t>5.10 Conclusion</w:t>
      </w:r>
    </w:p>
    <w:p>
      <w:pPr/>
      <w:r>
        <w:rPr>
          <w:color w:val="FF0000"/>
        </w:rP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rPr>
          <w:color w:val="FF0000"/>
        </w:rPr>
        <w:t>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 the users of HALAH will have to create a new consent when its terms change.</w:t>
      </w:r>
    </w:p>
    <w:p>
      <w:pPr/>
      <w:r>
        <w:rPr>
          <w:color w:val="FF0000"/>
        </w:rPr>
        <w:t>The next chapter will discuss in a methodological manner the steps involved in verifying who the participants are and what authority they hold, which is the solution for research objective 2.</w:t>
      </w:r>
    </w:p>
    <w:sectPr w:rsidR="009262C4">
      <w:headerReference w:type="default" r:id="rId39"/>
      <w:headerReference w:type="even" r:id="rId40"/>
      <w:footerReference w:type="default" r:id="rId34"/>
      <w:footerReference w:type="even" r:id="rId41"/>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header" Target="header1.xml"/><Relationship Id="rId40" Type="http://schemas.openxmlformats.org/officeDocument/2006/relationships/header" Target="header2.xml"/><Relationship Id="rId4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2026-10-23T07:38:45Z</dcterms:created>
  <dcterms:modified xsi:type="dcterms:W3CDTF">2026-10-23T07:38:45Z</dcterms:modified>
</cp:coreProperties>
</file>