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keepNext/>
        <w:spacing w:before="360"/>
      </w:pPr>
      <w:r/>
      <w:r>
        <w:rPr>
          <w:color w:val="FFFFFF"/>
          <w:sz w:val="2"/>
        </w:rPr>
        <w:t xml:space="preserve">5. </w:t>
      </w:r>
      <w:r>
        <w:rPr>
          <w:smallCaps/>
        </w:rPr>
        <w:t>Research Architecture and Trust-Centric Consent Model</w:t>
      </w:r>
    </w:p>
    <w:p>
      <w:pPr>
        <w:pStyle w:val="2"/>
        <w:keepNext/>
      </w:pPr>
      <w:r>
        <w:t>5.1 Introduction</w:t>
      </w:r>
    </w:p>
    <w:p>
      <w:pPr/>
      <w:r>
        <w:t>In this chapter, firstly the research architecture on which the whole framework is built is presented. There are three layers in the architecture, and the role of each layer is explained in this chapter. Furthermore, a model is proposed to represent patient consent as an evaluable authorisation object; this provides a complete solution to research objective 1. In this chapter, we also present the results of the validation of the proposed solution to research question one. To validate this research question, we built the HALAH prototype and used the following technologies to test the system:</w:t>
      </w:r>
    </w:p>
    <w:p>
      <w:pPr>
        <w:pStyle w:val="a4"/>
        <w:tabs>
          <w:tab w:pos="624" w:val="left"/>
        </w:tabs>
        <w:ind w:left="624" w:hanging="397"/>
      </w:pPr>
      <w:r>
        <w:t>1.</w:t>
        <w:tab/>
      </w:r>
      <w:r>
        <w:rPr>
          <w:b/>
        </w:rPr>
        <w:t xml:space="preserve">Blockchain: </w:t>
      </w:r>
      <w:r>
        <w:t>A blockchain is a decentralised and distributed ledger in which a recorded entry cannot be altered retroactively without altering the blocks that follow it (Wood 2014). In HALAH the chain holds no medical content; it anchors only the state of an approved consent, as a soulbound token (Cai 2022) that cannot be transferred, and its revocation. The Ethereum test network Sepolia (Ethereum Foundation 2026b) was chosen because it runs the same virtual machine as the main network, so the contract behaves as it would in production, while its ether has no monetary value. The contract was deployed and its transactions sent through the MetaMask wallet (Consensys 2026), and every transaction is publicly visible on Etherscan.</w:t>
      </w:r>
    </w:p>
    <w:p>
      <w:pPr>
        <w:pStyle w:val="a4"/>
        <w:tabs>
          <w:tab w:pos="624" w:val="left"/>
        </w:tabs>
        <w:ind w:left="624" w:hanging="397"/>
      </w:pPr>
      <w:r>
        <w:t>2.</w:t>
        <w:tab/>
      </w:r>
      <w:r>
        <w:rPr>
          <w:b/>
        </w:rPr>
        <w:t xml:space="preserve">Solidity: </w:t>
      </w:r>
      <w:r>
        <w:t>The consent contract ConsentSBTv3 is written in Solidity, the contract language of Ethereum (Ethereum Foundation 2026a), on the OpenZeppelin implementation of the ERC-721 token standard (Entriken et al. 2018) with the ERC-5484 soulbound interface (Cai 2022), and was compiled in the Remix environment (Ethereum Foundation 2026c). The contract stores the start time, the expiry time and the revocation flag of each consent and reports whether the consent is valid at a given time, so the temporal and lifecycle conditions of Req 5 can be checked against the chain by any party, independently of the application.</w:t>
      </w:r>
    </w:p>
    <w:p>
      <w:pPr>
        <w:pStyle w:val="a4"/>
        <w:tabs>
          <w:tab w:pos="624" w:val="left"/>
        </w:tabs>
        <w:ind w:left="624" w:hanging="397"/>
      </w:pPr>
      <w:r>
        <w:t>3.</w:t>
        <w:tab/>
      </w:r>
      <w:r>
        <w:rPr>
          <w:b/>
        </w:rPr>
        <w:t xml:space="preserve">Python and Streamlit: </w:t>
      </w:r>
      <w:r>
        <w:t>The Controller and the four role interfaces of the prototype, for the patient, the guardian, the doctor and the auditor, are written in Python with the Streamlit library, and the application reaches Sepolia through the web3 library. Consents, approvals, decisions and the audit ledger are kept in a local SQLite database, so the auditor can query the evidence of every decision while nothing but the consent state goes to the chain.</w:t>
      </w:r>
    </w:p>
    <w:p>
      <w:pPr>
        <w:pStyle w:val="a4"/>
        <w:tabs>
          <w:tab w:pos="624" w:val="left"/>
        </w:tabs>
        <w:ind w:left="624" w:hanging="397"/>
      </w:pPr>
      <w:r>
        <w:t>4.</w:t>
        <w:tab/>
      </w:r>
      <w:r>
        <w:rPr>
          <w:b/>
        </w:rPr>
        <w:t xml:space="preserve">Decentralised identifiers and verifiable credentials: </w:t>
      </w:r>
      <w:r>
        <w:t>Every participant is named by a decentralised identifier (W3C 2022) and holds a role credential (W3C 2025) signed by a trusted issuer, so the identity of a participant and the authority of that participant are verified as two separate conditions, as Chapter 6 presents.</w:t>
      </w:r>
    </w:p>
    <w:p>
      <w:pPr>
        <w:pStyle w:val="a4"/>
        <w:tabs>
          <w:tab w:pos="624" w:val="left"/>
        </w:tabs>
        <w:ind w:left="624" w:hanging="397"/>
      </w:pPr>
      <w:r>
        <w:t>5.</w:t>
        <w:tab/>
      </w:r>
      <w:r>
        <w:rPr>
          <w:b/>
        </w:rPr>
        <w:t xml:space="preserve">Synthea: </w:t>
      </w:r>
      <w:r>
        <w:t>The healthcare records of the prototype are synthetic patients produced by the Synthea generator (Walonoski et al. 2018). The dataset is described in Section 5.7.</w:t>
      </w:r>
    </w:p>
    <w:p>
      <w:pPr/>
      <w:r>
        <w:t>The outline of this chapter is as follows. In Section 5.2, we outline the three layers of the architecture and their components. Subsequently, in Section 5.3 we explain where trust is evaluated and where the boundaries between the layers lie, and in Section 5.4 we map the architecture to the six research objectives. In Section 5.5, we present the trust-centric consent model: the creation workflow, the structure of the consent object C = (I, A, P, T, L, E), and the creation procedure as Algorithm 1. Furthermore, in Section 5.6, we discuss the aims of engineering the prototype system used for validating the proposed consent model. In Section 5.7, we outline and explain the dataset used for validation purposes. In Section 5.8 we explain in detail in a stepwise manner the working of the prototype for consent creation. Finally, in Section 5.9 we discuss the results obtained from the validation of the consent model and the evaluation of the architecture, and Section 5.10 concludes the chapter.</w:t>
      </w:r>
    </w:p>
    <w:p>
      <w:pPr>
        <w:pStyle w:val="2"/>
        <w:keepNext/>
      </w:pPr>
      <w:r>
        <w:t>5.2 Layered Architecture and Component Decomposition</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w:t>
      </w:r>
      <w:r>
        <w:t>The requester's DID is declared</w:t>
      </w:r>
      <w:r>
        <w:t xml:space="preserve"> in the 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keepNext/>
      </w:pPr>
      <w:r>
        <w:t>5.3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 xml:space="preserve">(C), determines whether the consent remains in a valid lifecycle state. The integrated decision </w:t>
      </w:r>
      <w:r>
        <w:t>can therefore be expressed as Equation (5.1)</w:t>
      </w:r>
      <w:r>
        <w:t>. In the current prototype, the Consent Engine derives the lifecycle state, a request proceeds only when this state is ACTIVE, and the revocation flag and the token are also checked within V</w:t>
      </w:r>
      <w:r>
        <w:rPr>
          <w:vertAlign w:val="subscript"/>
        </w:rPr>
        <w:t>A</w:t>
      </w:r>
      <w:r>
        <w:t>.</w:t>
      </w:r>
    </w:p>
    <w:p>
      <w:pPr/>
      <w:r>
        <w:t>Equation (5.1) states that a request is allowed only when every one of the five conditions holds at the time of the request. Conversely, the failure of any one condition is sufficient for refusal, as Equation (5.2) states, and the success of the other conditions cannot compensate for it.</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Decision(C, R, t) = ALLOW ⟺ V</w:t>
      </w:r>
      <w:r>
        <w:rPr>
          <w:rFonts w:ascii="Cambria Math" w:hAnsi="Cambria Math" w:cs="Cambria Math" w:eastAsia="Cambria Math"/>
          <w:sz w:val="18"/>
          <w:vertAlign w:val="subscript"/>
        </w:rPr>
        <w:t>I</w:t>
      </w:r>
      <w:r>
        <w:rPr>
          <w:rFonts w:ascii="Cambria Math" w:hAnsi="Cambria Math" w:cs="Cambria Math" w:eastAsia="Cambria Math"/>
          <w:sz w:val="18"/>
        </w:rPr>
        <w:t>(u) ∧ V</w:t>
      </w:r>
      <w:r>
        <w:rPr>
          <w:rFonts w:ascii="Cambria Math" w:hAnsi="Cambria Math" w:cs="Cambria Math" w:eastAsia="Cambria Math"/>
          <w:sz w:val="18"/>
          <w:vertAlign w:val="subscript"/>
        </w:rPr>
        <w:t>A</w:t>
      </w:r>
      <w:r>
        <w:rPr>
          <w:rFonts w:ascii="Cambria Math" w:hAnsi="Cambria Math" w:cs="Cambria Math" w:eastAsia="Cambria Math"/>
          <w:sz w:val="18"/>
        </w:rPr>
        <w:t>(C) ∧ V</w:t>
      </w:r>
      <w:r>
        <w:rPr>
          <w:rFonts w:ascii="Cambria Math" w:hAnsi="Cambria Math" w:cs="Cambria Math" w:eastAsia="Cambria Math"/>
          <w:sz w:val="18"/>
          <w:vertAlign w:val="subscript"/>
        </w:rPr>
        <w:t>P</w:t>
      </w:r>
      <w:r>
        <w:rPr>
          <w:rFonts w:ascii="Cambria Math" w:hAnsi="Cambria Math" w:cs="Cambria Math" w:eastAsia="Cambria Math"/>
          <w:sz w:val="18"/>
        </w:rPr>
        <w:t>(C, R) ∧ V</w:t>
      </w:r>
      <w:r>
        <w:rPr>
          <w:rFonts w:ascii="Cambria Math" w:hAnsi="Cambria Math" w:cs="Cambria Math" w:eastAsia="Cambria Math"/>
          <w:sz w:val="18"/>
          <w:vertAlign w:val="subscript"/>
        </w:rPr>
        <w:t>T</w:t>
      </w:r>
      <w:r>
        <w:rPr>
          <w:rFonts w:ascii="Cambria Math" w:hAnsi="Cambria Math" w:cs="Cambria Math" w:eastAsia="Cambria Math"/>
          <w:sz w:val="18"/>
        </w:rPr>
        <w:t>(C, t) ∧ V</w:t>
      </w:r>
      <w:r>
        <w:rPr>
          <w:rFonts w:ascii="Cambria Math" w:hAnsi="Cambria Math" w:cs="Cambria Math" w:eastAsia="Cambria Math"/>
          <w:sz w:val="18"/>
          <w:vertAlign w:val="subscript"/>
        </w:rPr>
        <w:t>L</w:t>
      </w:r>
      <w:r>
        <w:rPr>
          <w:rFonts w:ascii="Cambria Math" w:hAnsi="Cambria Math" w:cs="Cambria Math" w:eastAsia="Cambria Math"/>
          <w:sz w:val="18"/>
        </w:rPr>
        <w:t>(C).</w:t>
      </w:r>
      <w:r>
        <w:rPr/>
        <w:tab/>
        <w:t>(5.1)</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¬(V</w:t>
      </w:r>
      <w:r>
        <w:rPr>
          <w:rFonts w:ascii="Cambria Math" w:hAnsi="Cambria Math" w:cs="Cambria Math" w:eastAsia="Cambria Math"/>
          <w:sz w:val="18"/>
          <w:vertAlign w:val="subscript"/>
        </w:rPr>
        <w:t>I</w:t>
      </w:r>
      <w:r>
        <w:rPr>
          <w:rFonts w:ascii="Cambria Math" w:hAnsi="Cambria Math" w:cs="Cambria Math" w:eastAsia="Cambria Math"/>
          <w:sz w:val="18"/>
        </w:rPr>
        <w:t xml:space="preserve"> ∧ V</w:t>
      </w:r>
      <w:r>
        <w:rPr>
          <w:rFonts w:ascii="Cambria Math" w:hAnsi="Cambria Math" w:cs="Cambria Math" w:eastAsia="Cambria Math"/>
          <w:sz w:val="18"/>
          <w:vertAlign w:val="subscript"/>
        </w:rPr>
        <w:t>A</w:t>
      </w:r>
      <w:r>
        <w:rPr>
          <w:rFonts w:ascii="Cambria Math" w:hAnsi="Cambria Math" w:cs="Cambria Math" w:eastAsia="Cambria Math"/>
          <w:sz w:val="18"/>
        </w:rPr>
        <w:t xml:space="preserve"> ∧ V</w:t>
      </w:r>
      <w:r>
        <w:rPr>
          <w:rFonts w:ascii="Cambria Math" w:hAnsi="Cambria Math" w:cs="Cambria Math" w:eastAsia="Cambria Math"/>
          <w:sz w:val="18"/>
          <w:vertAlign w:val="subscript"/>
        </w:rPr>
        <w:t>P</w:t>
      </w:r>
      <w:r>
        <w:rPr>
          <w:rFonts w:ascii="Cambria Math" w:hAnsi="Cambria Math" w:cs="Cambria Math" w:eastAsia="Cambria Math"/>
          <w:sz w:val="18"/>
        </w:rPr>
        <w:t xml:space="preserve"> ∧ V</w:t>
      </w:r>
      <w:r>
        <w:rPr>
          <w:rFonts w:ascii="Cambria Math" w:hAnsi="Cambria Math" w:cs="Cambria Math" w:eastAsia="Cambria Math"/>
          <w:sz w:val="18"/>
          <w:vertAlign w:val="subscript"/>
        </w:rPr>
        <w:t>T</w:t>
      </w:r>
      <w:r>
        <w:rPr>
          <w:rFonts w:ascii="Cambria Math" w:hAnsi="Cambria Math" w:cs="Cambria Math" w:eastAsia="Cambria Math"/>
          <w:sz w:val="18"/>
        </w:rPr>
        <w:t xml:space="preserve"> ∧ V</w:t>
      </w:r>
      <w:r>
        <w:rPr>
          <w:rFonts w:ascii="Cambria Math" w:hAnsi="Cambria Math" w:cs="Cambria Math" w:eastAsia="Cambria Math"/>
          <w:sz w:val="18"/>
          <w:vertAlign w:val="subscript"/>
        </w:rPr>
        <w:t>L</w:t>
      </w:r>
      <w:r>
        <w:rPr>
          <w:rFonts w:ascii="Cambria Math" w:hAnsi="Cambria Math" w:cs="Cambria Math" w:eastAsia="Cambria Math"/>
          <w:sz w:val="18"/>
        </w:rPr>
        <w:t>) ⟹ Decision(C, R, t) = DENY.</w:t>
      </w:r>
      <w:r>
        <w:rPr/>
        <w:tab/>
        <w:t>(5.2)</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w:t>
      </w:r>
      <w:r>
        <w:rPr>
          <w:sz w:val="20"/>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w:t>
      </w:r>
      <w:r>
        <w:rPr>
          <w:sz w:val="20"/>
          <w:szCs w:val="18"/>
        </w:rPr>
        <w:t>.</w:t>
      </w:r>
    </w:p>
    <w:p>
      <w:pPr>
        <w:pStyle w:val="2"/>
        <w:keepNext/>
      </w:pPr>
      <w:r>
        <w:t>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FE9D93"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EFDC3C"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5DE0966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BF5E40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Expected Contribution</w:t>
            </w:r>
          </w:p>
        </w:tc>
      </w:tr>
      <w:tr w:rsidR="009262C4" w14:paraId="3D438939"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B42B50" w14:textId="77777777" w:rsidR="009262C4" w:rsidRDefault="00000000">
            <w:pPr>
              <w:keepNext/>
              <w:spacing w:before="40" w:after="40" w:line="240" w:lineRule="auto"/>
              <w:jc w:val="left"/>
            </w:pPr>
            <w:r>
              <w:rPr>
                <w:rFonts w:ascii="Palatino Linotype" w:hAnsi="Palatino Linotype" w:cs="Palatino Linotype"/>
                <w:color w:val="000000"/>
                <w:sz w:val="20"/>
                <w:szCs w:val="17"/>
              </w:rPr>
              <w:t>RO1</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EE78E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A0EB6A" w14:textId="77777777" w:rsidR="009262C4" w:rsidRDefault="00000000">
            <w:pPr>
              <w:keepNext/>
              <w:spacing w:before="40" w:after="40" w:line="240" w:lineRule="auto"/>
              <w:jc w:val="left"/>
            </w:pPr>
            <w:r>
              <w:rPr>
                <w:rFonts w:ascii="Palatino Linotype" w:hAnsi="Palatino Linotype" w:cs="Palatino Linotype"/>
                <w:color w:val="000000"/>
                <w:sz w:val="20"/>
                <w:szCs w:val="17"/>
              </w:rPr>
              <w:t>Trust-aware consent representation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435E0" w14:textId="77777777" w:rsidR="009262C4" w:rsidRDefault="00000000">
            <w:pPr>
              <w:keepNext/>
              <w:spacing w:before="40" w:after="40" w:line="240" w:lineRule="auto"/>
              <w:jc w:val="left"/>
            </w:pPr>
            <w:r>
              <w:rPr>
                <w:rFonts w:ascii="Palatino Linotype" w:hAnsi="Palatino Linotype" w:cs="Palatino Linotype"/>
                <w:color w:val="000000"/>
                <w:sz w:val="20"/>
                <w:szCs w:val="17"/>
              </w:rPr>
              <w:t>Transforms consent from a passive permission record into a structured and evaluable authorisation object.</w:t>
            </w:r>
          </w:p>
        </w:tc>
      </w:tr>
      <w:tr w:rsidR="009262C4" w14:paraId="3950BA9E"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F4280C" w14:textId="77777777" w:rsidR="009262C4" w:rsidRDefault="00000000">
            <w:pPr>
              <w:keepNext/>
              <w:spacing w:before="40" w:after="40" w:line="240" w:lineRule="auto"/>
              <w:jc w:val="left"/>
            </w:pPr>
            <w:r>
              <w:rPr>
                <w:rFonts w:ascii="Palatino Linotype" w:hAnsi="Palatino Linotype" w:cs="Palatino Linotype"/>
                <w:color w:val="000000"/>
                <w:sz w:val="20"/>
                <w:szCs w:val="17"/>
              </w:rPr>
              <w:t>RO2</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BB1341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2941FB" w14:textId="77777777" w:rsidR="009262C4" w:rsidRDefault="00000000">
            <w:pPr>
              <w:keepNext/>
              <w:spacing w:before="40" w:after="40" w:line="240" w:lineRule="auto"/>
              <w:jc w:val="left"/>
            </w:pPr>
            <w:r>
              <w:rPr>
                <w:rFonts w:ascii="Palatino Linotype" w:hAnsi="Palatino Linotype" w:cs="Palatino Linotype"/>
                <w:color w:val="000000"/>
                <w:sz w:val="20"/>
                <w:szCs w:val="17"/>
              </w:rPr>
              <w:t>DID and VC verification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D52748" w14:textId="77777777" w:rsidR="009262C4" w:rsidRDefault="00000000">
            <w:pPr>
              <w:keepNext/>
              <w:spacing w:before="40" w:after="40" w:line="240" w:lineRule="auto"/>
              <w:jc w:val="left"/>
            </w:pPr>
            <w:r>
              <w:rPr>
                <w:rFonts w:ascii="Palatino Linotype" w:hAnsi="Palatino Linotype" w:cs="Palatino Linotype"/>
                <w:color w:val="000000"/>
                <w:sz w:val="20"/>
                <w:szCs w:val="17"/>
              </w:rPr>
              <w:t>Establishes trustworthy participants while explicitly separating identity from authorisation authority.</w:t>
            </w:r>
          </w:p>
        </w:tc>
      </w:tr>
      <w:tr w:rsidR="009262C4" w14:paraId="48D9C487"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14017C" w14:textId="77777777" w:rsidR="009262C4" w:rsidRDefault="00000000">
            <w:pPr>
              <w:keepNext/>
              <w:spacing w:before="40" w:after="40" w:line="240" w:lineRule="auto"/>
              <w:jc w:val="left"/>
            </w:pPr>
            <w:r>
              <w:rPr>
                <w:rFonts w:ascii="Palatino Linotype" w:hAnsi="Palatino Linotype" w:cs="Palatino Linotype"/>
                <w:color w:val="000000"/>
                <w:sz w:val="20"/>
                <w:szCs w:val="17"/>
              </w:rPr>
              <w:t>RO3</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89D3D4"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90476E" w14:textId="77777777" w:rsidR="009262C4" w:rsidRDefault="00000000">
            <w:pPr>
              <w:keepNext/>
              <w:spacing w:before="40" w:after="40" w:line="240" w:lineRule="auto"/>
              <w:jc w:val="left"/>
            </w:pPr>
            <w:r>
              <w:rPr>
                <w:rFonts w:ascii="Palatino Linotype" w:hAnsi="Palatino Linotype" w:cs="Palatino Linotype"/>
                <w:color w:val="000000"/>
                <w:sz w:val="20"/>
                <w:szCs w:val="17"/>
              </w:rPr>
              <w:t>Verified multi-party threshold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111184" w14:textId="77777777" w:rsidR="009262C4" w:rsidRDefault="00000000">
            <w:pPr>
              <w:keepNext/>
              <w:spacing w:before="40" w:after="40" w:line="240" w:lineRule="auto"/>
              <w:jc w:val="left"/>
            </w:pPr>
            <w:r>
              <w:rPr>
                <w:rFonts w:ascii="Palatino Linotype" w:hAnsi="Palatino Linotype" w:cs="Palatino Linotype"/>
                <w:color w:val="000000"/>
                <w:sz w:val="20"/>
                <w:szCs w:val="17"/>
              </w:rPr>
              <w:t>Establishes collective trust and prevents unilateral authorisation when multiple approvals are required.</w:t>
            </w:r>
          </w:p>
        </w:tc>
      </w:tr>
      <w:tr w:rsidR="009262C4" w14:paraId="1D1DACC2"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554522" w14:textId="77777777" w:rsidR="009262C4" w:rsidRDefault="00000000">
            <w:pPr>
              <w:keepNext/>
              <w:spacing w:before="40" w:after="40" w:line="240" w:lineRule="auto"/>
              <w:jc w:val="left"/>
            </w:pPr>
            <w:r>
              <w:rPr>
                <w:rFonts w:ascii="Palatino Linotype" w:hAnsi="Palatino Linotype" w:cs="Palatino Linotype"/>
                <w:color w:val="000000"/>
                <w:sz w:val="20"/>
                <w:szCs w:val="17"/>
              </w:rPr>
              <w:t>RO4</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4A1E3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76F1CA" w14:textId="77777777" w:rsidR="009262C4" w:rsidRDefault="00000000">
            <w:pPr>
              <w:keepNext/>
              <w:spacing w:before="40" w:after="40" w:line="240" w:lineRule="auto"/>
              <w:jc w:val="left"/>
            </w:pPr>
            <w:r>
              <w:rPr>
                <w:rFonts w:ascii="Palatino Linotype" w:hAnsi="Palatino Linotype" w:cs="Palatino Linotype"/>
                <w:color w:val="000000"/>
                <w:sz w:val="20"/>
                <w:szCs w:val="17"/>
              </w:rPr>
              <w:t>Policy, purpose, and data-scope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268DDF" w14:textId="77777777" w:rsidR="009262C4" w:rsidRDefault="00000000">
            <w:pPr>
              <w:keepNext/>
              <w:spacing w:before="40" w:after="40" w:line="240" w:lineRule="auto"/>
              <w:jc w:val="left"/>
            </w:pPr>
            <w:r>
              <w:rPr>
                <w:rFonts w:ascii="Palatino Linotype" w:hAnsi="Palatino Linotype" w:cs="Palatino Linotype"/>
                <w:color w:val="000000"/>
                <w:sz w:val="20"/>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7954FD" w14:textId="77777777" w:rsidR="009262C4" w:rsidRDefault="00000000">
            <w:pPr>
              <w:keepNext/>
              <w:spacing w:before="40" w:after="40" w:line="240" w:lineRule="auto"/>
              <w:jc w:val="left"/>
            </w:pPr>
            <w:r>
              <w:rPr>
                <w:rFonts w:ascii="Palatino Linotype" w:hAnsi="Palatino Linotype" w:cs="Palatino Linotype"/>
                <w:color w:val="000000"/>
                <w:sz w:val="20"/>
                <w:szCs w:val="17"/>
              </w:rPr>
              <w:t>RO5</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BE1E7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 and 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A389AE" w14:textId="77777777" w:rsidR="009262C4" w:rsidRDefault="00000000">
            <w:pPr>
              <w:keepNext/>
              <w:spacing w:before="40" w:after="40" w:line="240" w:lineRule="auto"/>
              <w:jc w:val="left"/>
            </w:pPr>
            <w:r>
              <w:rPr>
                <w:rFonts w:ascii="Palatino Linotype" w:hAnsi="Palatino Linotype" w:cs="Palatino Linotype"/>
                <w:color w:val="000000"/>
                <w:sz w:val="20"/>
                <w:szCs w:val="17"/>
              </w:rPr>
              <w:t>Temporal validity and consent lifecycle enforcement</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E5B8DF" w14:textId="77777777" w:rsidR="009262C4" w:rsidRDefault="00000000">
            <w:pPr>
              <w:keepNext/>
              <w:spacing w:before="40" w:after="40" w:line="240" w:lineRule="auto"/>
              <w:jc w:val="left"/>
            </w:pPr>
            <w:r>
              <w:rPr>
                <w:rFonts w:ascii="Palatino Linotype" w:hAnsi="Palatino Linotype" w:cs="Palatino Linotype"/>
                <w:color w:val="000000"/>
                <w:sz w:val="20"/>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vAlign w:val="top"/>
          </w:tcPr>
          <w:p w14:paraId="555B9621" w14:textId="77777777" w:rsidR="009262C4" w:rsidRDefault="00000000">
            <w:pPr>
              <w:spacing w:before="40" w:after="40" w:line="240" w:lineRule="auto"/>
              <w:jc w:val="left"/>
            </w:pPr>
            <w:r>
              <w:rPr>
                <w:rFonts w:ascii="Palatino Linotype" w:hAnsi="Palatino Linotype" w:cs="Palatino Linotype"/>
                <w:color w:val="000000"/>
                <w:sz w:val="20"/>
                <w:szCs w:val="17"/>
              </w:rPr>
              <w:t>RO6</w:t>
            </w:r>
          </w:p>
        </w:tc>
        <w:tc>
          <w:tcPr>
            <w:tcW w:w="1700" w:type="dxa"/>
            <w:tcBorders>
              <w:top w:val="nil"/>
              <w:left w:val="nil"/>
              <w:bottom w:val="nil"/>
              <w:right w:val="nil"/>
              <w:insideH w:val="nil"/>
              <w:insideV w:val="nil"/>
            </w:tcBorders>
            <w:tcMar>
              <w:top w:w="40" w:type="dxa"/>
              <w:left w:w="80" w:type="dxa"/>
              <w:bottom w:w="40" w:type="dxa"/>
              <w:right w:w="80" w:type="dxa"/>
            </w:tcMar>
            <w:vAlign w:val="top"/>
          </w:tcPr>
          <w:p w14:paraId="359B604F" w14:textId="77777777" w:rsidR="009262C4" w:rsidRDefault="00000000">
            <w:pPr>
              <w:spacing w:before="40" w:after="40" w:line="240" w:lineRule="auto"/>
              <w:jc w:val="left"/>
            </w:pPr>
            <w:r>
              <w:rPr>
                <w:rFonts w:ascii="Palatino Linotype" w:hAnsi="Palatino Linotype" w:cs="Palatino Linotype"/>
                <w:color w:val="000000"/>
                <w:sz w:val="20"/>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vAlign w:val="top"/>
          </w:tcPr>
          <w:p w14:paraId="24CA74E4" w14:textId="77777777" w:rsidR="009262C4" w:rsidRDefault="00000000">
            <w:pPr>
              <w:spacing w:before="40" w:after="40" w:line="240" w:lineRule="auto"/>
              <w:jc w:val="left"/>
            </w:pPr>
            <w:r>
              <w:rPr>
                <w:rFonts w:ascii="Palatino Linotype" w:hAnsi="Palatino Linotype" w:cs="Palatino Linotype"/>
                <w:color w:val="000000"/>
                <w:sz w:val="20"/>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vAlign w:val="top"/>
          </w:tcPr>
          <w:p w14:paraId="05F31F88" w14:textId="77777777" w:rsidR="009262C4" w:rsidRDefault="00000000">
            <w:pPr>
              <w:spacing w:before="40" w:after="40" w:line="240" w:lineRule="auto"/>
              <w:jc w:val="left"/>
            </w:pPr>
            <w:r>
              <w:rPr>
                <w:rFonts w:ascii="Palatino Linotype" w:hAnsi="Palatino Linotype" w:cs="Palatino Linotype"/>
                <w:color w:val="000000"/>
                <w:sz w:val="20"/>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HALAH framework</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Identity</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Central identity provider; institution login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DID for every participant; identity kept separate from authority</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Consent</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stored record that permission was given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An object C = (I, A, P, T, L, E), checked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Approval</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static permission set by one party</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All listed guardians sign (EIP-712); no single party can approve alone</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Access check</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Log in, then check a static permission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VI ∧ VA ∧ VP ∧ VT ∧ VL, plus a Groth16 proof before data is released</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Time and revocation</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Hard to verify once the permission is stored</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Validity window and revocation checked each time;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w:t>
      </w:r>
      <w:r>
        <w:t>are presented in Chapters 5 to 10</w:t>
      </w:r>
      <w:r>
        <w:t>, and the formal assurance of the complete decision model remains for the next stage. The next section presents the solution for RO1, the consent object on which the other objectives build.</w:t>
      </w:r>
    </w:p>
    <w:p>
      <w:pPr>
        <w:pStyle w:val="2"/>
        <w:keepNext/>
      </w:pPr>
      <w:r>
        <w:t>5.5 Trust-Centric Consent Model</w:t>
      </w:r>
    </w:p>
    <w:p w14:paraId="5376DFE3" w14:textId="77777777" w:rsidR="009262C4" w:rsidRDefault="00000000">
      <w:pPr>
        <w:spacing w:after="110" w:line="264" w:lineRule="auto"/>
        <w:jc w:val="both"/>
      </w:pPr>
      <w:r>
        <w:t xml:space="preserve">This section presents the solution for RO1. </w:t>
      </w:r>
      <w:r>
        <w:t>Section 5.5.1 shows the consent creation workflow, Section 5.5.2 defines the structure of the consent object, Section 5.5.3 presents the creation procedure and the algorithm, Section 5.6 describes the aims of the prototype in which the model is realised, Section 5.7 the dataset, Section 5.8 the steps of consent creation, and Section 5.9 validates and evaluates it.</w:t>
      </w:r>
    </w:p>
    <w:p w14:paraId="201EB011" w14:textId="77777777" w:rsidR="009262C4" w:rsidRDefault="00000000">
      <w:pPr>
        <w:spacing w:after="110" w:line="264" w:lineRule="auto"/>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w:t>
      </w:r>
      <w:r>
        <w:t>Equation (5.3)</w:t>
      </w:r>
      <w:r>
        <w:t>.</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t>(5.3)</w:t>
      </w:r>
    </w:p>
    <w:p w14:paraId="63094BBA" w14:textId="77777777" w:rsidR="009262C4" w:rsidRDefault="00000000">
      <w:pPr>
        <w:spacing w:after="110" w:line="264" w:lineRule="auto"/>
        <w:jc w:val="both"/>
      </w:pPr>
      <w:r>
        <w:t>In Equation (5.3)</w:t>
      </w:r>
      <w:r>
        <w:t xml:space="preserve">,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w:t>
      </w:r>
      <w:r>
        <w:t>The temporal component bounds the consent in time, and the lifecycle component states whether the consent can currently be used. The identity component identifies</w:t>
      </w:r>
      <w:r>
        <w:t xml:space="preserve">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3"/>
        <w:keepNext/>
      </w:pPr>
      <w:r>
        <w:t>5.5.1 Consent Creation Workflow</w:t>
      </w:r>
    </w:p>
    <w:p w14:paraId="19D1B142" w14:textId="77777777" w:rsidR="009262C4" w:rsidRDefault="00000000">
      <w:pPr>
        <w:spacing w:after="110" w:line="264" w:lineRule="auto"/>
        <w:jc w:val="both"/>
      </w:pPr>
      <w:r>
        <w:t>Figure 5.5</w:t>
      </w:r>
      <w:r>
        <w:t xml:space="preserve">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w:t>
      </w:r>
      <w:r>
        <w:t>.</w:t>
      </w:r>
    </w:p>
    <w:p>
      <w:pPr>
        <w:pStyle w:val="3"/>
        <w:keepNext/>
      </w:pPr>
      <w:r>
        <w:t>5.5.2 Structure of the Consent Object</w:t>
      </w:r>
    </w:p>
    <w:p w14:paraId="5F6EAA5F" w14:textId="77777777" w:rsidR="009262C4" w:rsidRDefault="00000000">
      <w:pPr>
        <w:spacing w:after="110" w:line="264" w:lineRule="auto"/>
        <w:jc w:val="both"/>
      </w:pPr>
      <w:r>
        <w:t>Figure 5.6</w:t>
      </w:r>
      <w:r>
        <w:t xml:space="preserve">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sz w:val="20"/>
          <w:szCs w:val="18"/>
        </w:rPr>
        <w:t>Figure 5.6</w:t>
      </w:r>
      <w:r>
        <w:rPr>
          <w:b/>
          <w:bCs/>
          <w:sz w:val="20"/>
          <w:szCs w:val="18"/>
        </w:rPr>
        <w:t xml:space="preserve">: </w:t>
      </w:r>
      <w:r>
        <w:rPr>
          <w:sz w:val="20"/>
          <w:szCs w:val="18"/>
        </w:rPr>
        <w:t>Six-component consent model C = (I, A, P, T, L, E)</w:t>
      </w:r>
      <w:r>
        <w:rPr>
          <w:sz w:val="20"/>
          <w:szCs w:val="18"/>
        </w:rPr>
        <w:t>.</w:t>
      </w:r>
    </w:p>
    <w:p w14:paraId="19DBCC08" w14:textId="77777777" w:rsidR="009262C4" w:rsidRDefault="00000000">
      <w:pPr>
        <w:spacing w:after="110" w:line="264" w:lineRule="auto"/>
        <w:jc w:val="both"/>
      </w:pPr>
      <w:r>
        <w:t>Unlike the consent objects reported in the literature, this object carries the guardian set and threshold together with the purpose, data scope, validity interval, and lifecycle state.</w:t>
      </w:r>
    </w:p>
    <w:p>
      <w:pPr>
        <w:pStyle w:val="3"/>
        <w:keepNext/>
      </w:pPr>
      <w:r>
        <w:t>5.5.3 Trust-Aware Consent Creation Procedure and Algorithm</w:t>
      </w:r>
    </w:p>
    <w:p>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a4"/>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a4"/>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a4"/>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a4"/>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a4"/>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a4"/>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The overall procedure can therefore be represented as a sequential trust establishment process that Ip → D → G → Pu → SC → T → A → idC → C → E.</w:t>
      </w:r>
    </w:p>
    <w:p>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2"/>
        <w:keepNext/>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t>as qualified in Chapter 6</w:t>
      </w:r>
      <w:r>
        <w:t xml:space="preserve">. The validation evidence for consent creation, including the demonstration scenarios and the unit-level tests, </w:t>
      </w:r>
      <w:r>
        <w:t>is presented in Section 5.9.</w:t>
      </w:r>
    </w:p>
    <w:p>
      <w:pPr>
        <w:pStyle w:val="3"/>
        <w:keepNext/>
      </w:pPr>
      <w:r>
        <w:t>5.6.1 Aims of Engineering the Prototype System</w:t>
      </w:r>
    </w:p>
    <w:p>
      <w:pPr/>
      <w:r>
        <w:t>The primary aim of engineering the prototype system was to simulate the working of the HALAH framework, in which patient consent is created as an evaluable object and every access request is evaluated against it. In particular, in this section, our objective was to use the developed HALAH prototype to test the efficacy of the consent model proposed in Section 5.5: a patient must be able to create the object C = (I, A, P, T, L, E) through an interface, and the object must carry every component that the later checks need. For validating the other objectives of this thesis, we have extended the same prototype (see Chapters 6 to 9).</w:t>
      </w:r>
    </w:p>
    <w:p>
      <w:pPr/>
      <w:r>
        <w:t>As discussed in Chapter 2, one of the major challenges of consent management in healthcare is that a stored record of permission does not establish who may act on it, whether every required party agreed, or whether a request stays within the purpose and the data scope that the patient set. With our framework, the consent object carries these conditions, and the prototype makes the design testable: the same code that the interface calls is called by the automated tests, so a check that the interface enforces can also be attacked directly at the service level, which is how the gaps closed by the hardening of 1 October 2026 were found. The prototype also produces evidence: every creation, approval, decision and revocation is written to the audit ledger with the result of each check, so the claims of this and the following chapters can be traced to recorded events rather than to screenshots alone.</w:t>
      </w:r>
    </w:p>
    <w:p>
      <w:pPr/>
      <w:r>
        <w:t>We used the Ethereum test network Sepolia as the computing platform for the on-chain part of the prototype, and Solidity as its programming language (Ethereum Foundation 2026a). Sepolia was chosen because it runs the same virtual machine as the Ethereum main network, so the contract and its transactions behave as they would in production, while its ether has no monetary value, which allowed the mint and revoke transactions to be repeated during development. The prototype is not engineered for throughput or for a production deployment; its purpose is to validate the design.</w:t>
      </w:r>
    </w:p>
    <w:p>
      <w:pPr>
        <w:pStyle w:val="2"/>
        <w:keepNext/>
      </w:pPr>
      <w:r>
        <w:t>5.7 Datasets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pPr/>
      <w:r>
        <w:t>Table 5.3 shows the Synthea tables loaded by the prototype, the number of records in the loaded subset, and the consent module that each table supplies. The patient DID of the prototype is derived from the Synthea patient identifier, and the records of a patient are selected by that identifier when a consent authorises the module.</w:t>
      </w:r>
    </w:p>
    <w:p>
      <w:pPr>
        <w:keepNext/>
        <w:spacing w:before="160" w:after="160"/>
        <w:jc w:val="center"/>
      </w:pPr>
      <w:r>
        <w:rPr>
          <w:sz w:val="20"/>
        </w:rPr>
        <w:t>Table 5.3: Synthea tables loaded by the prototype and the consent module supplied by each</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814"/>
        <w:gridCol w:w="1814"/>
        <w:gridCol w:w="2494"/>
        <w:gridCol w:w="2381"/>
      </w:tblGrid>
      <w:tr>
        <w:trPr>
          <w:tblHeader/>
          <w:cantSplit/>
        </w:trPr>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Synthea table</w:t>
            </w:r>
          </w:p>
        </w:tc>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 in the loaded subset</w:t>
            </w:r>
          </w:p>
        </w:tc>
        <w:tc>
          <w:tcPr>
            <w:tcW w:type="dxa" w:w="249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 selected by</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Consent module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113</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 (the source of the patient DID)</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 identity in the patient interface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4,428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2,931</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4,748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w:t>
            </w:r>
          </w:p>
        </w:tc>
      </w:tr>
      <w:tr>
        <w:trPr>
          <w:cantSplit/>
        </w:trPr>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procedures.csv</w:t>
            </w:r>
          </w:p>
        </w:tc>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4,237</w:t>
            </w:r>
          </w:p>
        </w:tc>
        <w:tc>
          <w:tcPr>
            <w:tcW w:type="dxa" w:w="249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w:t>
            </w:r>
          </w:p>
        </w:tc>
      </w:tr>
    </w:tbl>
    <w:p>
      <w:pPr>
        <w:pStyle w:val="2"/>
        <w:keepNext/>
      </w:pPr>
      <w:r>
        <w:t>5.8 Steps in the Working of the Prototype System for Consent Creation</w:t>
      </w:r>
    </w:p>
    <w:p>
      <w:pPr/>
      <w:r>
        <w:t>In order to create a consent, the HALAH prototype carries out its work at two levels, namely the patient interface and the service layer. In the patient interface, the consent specification is entered and checked. In the service layer, the consent object is constructed, stored and recorded in the audit ledger. The steps at both levels follow Algorithm 1 and are explained below in Section 5.8.1 and Section 5.8.2 respectively, and Figure 5.7 shows the patient interface after a consent has been created.</w:t>
      </w:r>
    </w:p>
    <w:p>
      <w:pPr>
        <w:pStyle w:val="3"/>
        <w:keepNext/>
      </w:pPr>
      <w:r>
        <w:t>5.8.1 Steps in the patient interface</w:t>
      </w:r>
    </w:p>
    <w:p>
      <w:pPr/>
      <w:r>
        <w:t>1. The patient selects the role Patient and their own DID, which the prototype loads from the record set.</w:t>
      </w:r>
    </w:p>
    <w:p>
      <w:pPr/>
      <w:r>
        <w:t>2. The patient enters the DID of the authorised doctor and the DIDs of the guardians, separated by commas.</w:t>
      </w:r>
    </w:p>
    <w:p>
      <w:pPr/>
      <w:r>
        <w:t>3. The patient selects the data modules from Observation, Medication, Condition and Procedure, and sets the start and expiry times.</w:t>
      </w:r>
    </w:p>
    <w:p>
      <w:pPr/>
      <w:r>
        <w:t>4. The patient presses Initial Consent. The prototype checks that at least one guardian is listed,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pStyle w:val="3"/>
        <w:keepNext/>
      </w:pPr>
      <w:r>
        <w:t>5.8.2 Steps in the service layer</w:t>
      </w:r>
    </w:p>
    <w:p>
      <w:pPr/>
      <w:r>
        <w:t>5. If every check passes, the service layer assigns the consent identifier, stores the object in the state PENDING_SIGNATURE with N set to the number of guardians, writes the CREATE_CONSENT event to the audit ledger, and returns the identifier to the interface, which shows it to the patient.</w:t>
      </w:r>
    </w:p>
    <w:p>
      <w:pPr/>
      <w: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3" name="Picture 2086885383"/>
            <wp:cNvGraphicFramePr>
              <a:graphicFrameLocks noChangeAspect="1"/>
            </wp:cNvGraphicFramePr>
            <a:graphic>
              <a:graphicData uri="http://schemas.openxmlformats.org/drawingml/2006/picture">
                <pic:pic>
                  <pic:nvPicPr>
                    <pic:cNvPr id="0" name="ch5_consent_created.png"/>
                    <pic:cNvPicPr/>
                  </pic:nvPicPr>
                  <pic:blipFill>
                    <a:blip r:embed="rId37"/>
                    <a:stretch>
                      <a:fillRect/>
                    </a:stretch>
                  </pic:blipFill>
                  <pic:spPr>
                    <a:xfrm>
                      <a:off x="0" y="0"/>
                      <a:ext cx="4860000" cy="3645000"/>
                    </a:xfrm>
                    <a:prstGeom prst="rect"/>
                  </pic:spPr>
                </pic:pic>
              </a:graphicData>
            </a:graphic>
          </wp:inline>
        </w:drawing>
      </w:r>
    </w:p>
    <w:p>
      <w:pPr>
        <w:spacing w:before="160" w:after="160"/>
        <w:jc w:val="center"/>
      </w:pPr>
      <w:r>
        <w:rPr>
          <w:sz w:val="20"/>
        </w:rPr>
        <w:t>Figure 5.7: The patient interface of the HALAH prototype after a consent has been created.</w:t>
      </w:r>
    </w:p>
    <w:p>
      <w:pPr>
        <w:pStyle w:val="2"/>
        <w:keepNext/>
      </w:pPr>
      <w:r>
        <w:t>5.9 Prototype Evaluation and Discussion</w:t>
      </w:r>
    </w:p>
    <w:p>
      <w:pPr/>
      <w:r>
        <w:t>Objective one involves the representation of patient consent as an evaluable authorisation object. The result of RO1 is therefore the conceptual model of Sections 5.2 to 5.5, not a set of measurements. The prototype results reported in this section show only that the model can be realised and behaves as specified, so they are reported as outcomes, created or rejected, rather than as numbers; the quantitative evaluation of the complete framework is given in Chapter 10. The results of the validation carried out for this objective are shown in Figure 5.8 and Table 5.4, and the security properties of the architecture are examined in Table 5.5. 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keepNext/>
      </w:pPr>
      <w:r>
        <w:t>5.9.1 Validation of Consent Creation</w:t>
      </w:r>
    </w:p>
    <w:p>
      <w:pPr/>
      <w:r>
        <w:t>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Each creation was followed by the guardian approvals and the access decisions reported in the later chapters, which shows that the created object carried every component that the later checks needed.</w:t>
      </w:r>
    </w:p>
    <w:p>
      <w:pPr/>
      <w: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t>Automated tests. Two tests cover consent creation. The test test_patient_form_checks_the_doctor_and_the_guardians drives the patient form itself: it submits a malformed doctor DID, a guardian without a credential and a duplicate guardian, and asserts that each is refused with the right message, then submits a valid specification and asserts that the consent is created and logged. The test test_consent_persists_across_reload stores a consent, adds an approval, reloads the store from disk and asserts that the stored object is unchanged. The adversarial test A5 (test_A5_empty_scope_is_rejected) belongs to RO4 but also exercises the creation rule that the data scope must not be empty. All of these tests pass in the suite of 46 reported in Chapter 10.</w:t>
      </w:r>
    </w:p>
    <w:p>
      <w:pPr>
        <w:jc w:val="center"/>
      </w:pPr>
      <w:r>
        <w:drawing>
          <wp:inline xmlns:a="http://schemas.openxmlformats.org/drawingml/2006/main" xmlns:pic="http://schemas.openxmlformats.org/drawingml/2006/picture">
            <wp:extent cx="4860000" cy="2930294"/>
            <wp:docPr id="2086885384" name="Picture 2086885384"/>
            <wp:cNvGraphicFramePr>
              <a:graphicFrameLocks noChangeAspect="1"/>
            </wp:cNvGraphicFramePr>
            <a:graphic>
              <a:graphicData uri="http://schemas.openxmlformats.org/drawingml/2006/picture">
                <pic:pic>
                  <pic:nvPicPr>
                    <pic:cNvPr id="0" name="ch5_duplicate_guardian.png"/>
                    <pic:cNvPicPr/>
                  </pic:nvPicPr>
                  <pic:blipFill>
                    <a:blip r:embed="rId38"/>
                    <a:stretch>
                      <a:fillRect/>
                    </a:stretch>
                  </pic:blipFill>
                  <pic:spPr>
                    <a:xfrm>
                      <a:off x="0" y="0"/>
                      <a:ext cx="4860000" cy="2930294"/>
                    </a:xfrm>
                    <a:prstGeom prst="rect"/>
                  </pic:spPr>
                </pic:pic>
              </a:graphicData>
            </a:graphic>
          </wp:inline>
        </w:drawing>
      </w:r>
    </w:p>
    <w:p>
      <w:pPr>
        <w:spacing w:before="160" w:after="160"/>
        <w:jc w:val="center"/>
      </w:pPr>
      <w:r>
        <w:rPr>
          <w:sz w:val="20"/>
        </w:rPr>
        <w:t>Figure 5.8: A specification that names the same guardian twice is rejected by Algorithm 1 before any consent is stored.</w:t>
      </w:r>
    </w:p>
    <w:p>
      <w:pPr/>
      <w:r>
        <w:t>Table 5.4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sz w:val="20"/>
        </w:rPr>
        <w:t>Table 5.4: Validation results of the prototype for consent creation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Component</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Check at creation (Algorithm 1)</w:t>
            </w:r>
          </w:p>
        </w:tc>
        <w:tc>
          <w:tcPr>
            <w:tcW w:type="dxa" w:w="2835"/>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Evidence</w:t>
            </w:r>
          </w:p>
        </w:tc>
        <w:tc>
          <w:tcPr>
            <w:tcW w:type="dxa" w:w="175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Result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  Identity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1 to 3: the patient identity, the authorised doctor DID holding a valid doctor credential, and each guardian DID holding a valid guardian credential.</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Invalid identities rejected before anything is stored; valid identities accepted.</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Authorisation</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3: the guardian set G and the threshold N; no guardian may appear twice.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specification naming the same guardian twice was rejected (Figure 5.8). Scenario 1 of 24 September 2026 created consent f050c29a with the two guardians did:parent:A and did:parent:B.</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Duplicate guardian rejected; consent created with N set to the number of guardians.</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  Policy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4 and 5: the purpose and the data scope; the data scope must not be empty.</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Adversarial test A5 (test_A5_empty_scope_is_rejected). Scenario 1 recorded the four data modules and the purpose Treatment; the purpose vocabulary check is exercised by the automated tests.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Empty scope rejected; purpose and scope recorded in the consent object.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  Time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6: the validity interval T = (ts, te); the expiry time must be later than the start time.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Scenario 1 recorded a validity window ending on 31 December 2026; the prototype refuses an expiry time that is not later than the start time (Section 5.8).</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Validity interval recorded; the interval is enforced at every request by VT (Chapter 9).</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  Lifecycle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8 and 9: the consent identifier is generated and the object is created in the state PENDING_SIGNATURE.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Consents f050c29a, 04da25f5 and 18ab9b62 were created in PENDING_SIGNATURE. Test test_consent_persists_across_reload: the stored object, including its state, is unchanged after a reload from disk.</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Created in PENDING_SIGNATURE; no access is possible until the state is ACTIVE (Chapter 9).</w:t>
            </w:r>
          </w:p>
        </w:tc>
      </w:tr>
      <w:tr>
        <w:trPr>
          <w:cantSplit/>
        </w:trPr>
        <w:tc>
          <w:tcPr>
            <w:tcW w:type="dxa" w:w="153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  Evidence</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11: the CREATE_CONSENT event is written to the audit ledger with the consent identifier, participants and timestamp.</w:t>
            </w:r>
          </w:p>
        </w:tc>
        <w:tc>
          <w:tcPr>
            <w:tcW w:type="dxa" w:w="2835"/>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Every creation is logged; a rejected specification stores and logs nothing.</w:t>
            </w:r>
          </w:p>
        </w:tc>
      </w:tr>
    </w:tbl>
    <w:p>
      <w:pPr>
        <w:pStyle w:val="3"/>
        <w:keepNext/>
      </w:pPr>
      <w:r>
        <w:t>5.9.2 Evaluation of the Architecture against the Security Properties</w:t>
      </w:r>
    </w:p>
    <w:p>
      <w:pPr/>
      <w:r>
        <w:t>The proposed MVC architecture provides several foundational security properties for the current stage. These properties emerge from the interaction between the Model, View, and Controller rather than from any single technology.</w:t>
      </w:r>
    </w:p>
    <w:p>
      <w:pPr/>
      <w:r>
        <w:t>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together with the separation of interaction and enforcement established in Section 5.3, are summarised in Table 5.5, in which collective authorisation integrity and decision accountability appear as multi-party authorisation integrity and authorisation evidence respectively.</w:t>
      </w:r>
    </w:p>
    <w:p>
      <w:pPr>
        <w:keepNext/>
        <w:spacing w:before="160" w:after="160"/>
        <w:jc w:val="center"/>
      </w:pPr>
      <w:r>
        <w:rPr>
          <w:sz w:val="20"/>
        </w:rPr>
        <w:t>Table 5.5: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property</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Architectural mechanism</w:t>
            </w:r>
          </w:p>
        </w:tc>
        <w:tc>
          <w:tcPr>
            <w:tcW w:type="dxa" w:w="3402"/>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significance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Identity-dependent participation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DID and credential verification before a participant can contribute to the authorisation process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unverified entities from being treated as legitimate participants.</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Authority separation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Independent evaluation of identity and role or authority evidence</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successful authentication from being interpreted as unrestricted authorisation.</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Multi-party authorisation integrity</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Threshold evaluation over independently verified approval participants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a single participant from unilaterally activating sensitive healthcare data access when collective approval is required.</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Policy-bounded access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Evaluation of purpose and requested data scope against consent policy</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otherwise valid identities and approvals from being used to obtain data beyond the authorised scope.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Authorisation evidence</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Recording of verification results, approval evidence, policy evaluation, and final decisions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Separation of interaction and enforcement</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The View submits requests while the Controller independently determines the security decision</w:t>
            </w:r>
          </w:p>
        </w:tc>
        <w:tc>
          <w:tcPr>
            <w:tcW w:type="dxa" w:w="3402"/>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user-interface actions from being interpreted directly as trusted authorisation outcomes.</w:t>
            </w:r>
          </w:p>
        </w:tc>
      </w:tr>
    </w:tbl>
    <w:p>
      <w:pPr/>
      <w:r/>
    </w:p>
    <w:p>
      <w:pPr/>
      <w:r>
        <w:t>Each property in Table 5.5 is realised by a component of the architecture and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Separation of interaction and enforcement is the property that the hardening of 1 October 2026 made real: three attacks that the interface already blocked were also accepted by the service functions until the checks were moved into the Controller, as reported in Chapter 10. The architecture therefore does not claim security from MVC itself; it claims it from the placement of every trust-sensitive check inside the Controller, and the tests of the following chapters are the evidence for that claim.</w:t>
      </w:r>
    </w:p>
    <w:p>
      <w:pPr>
        <w:pStyle w:val="3"/>
        <w:keepNext/>
      </w:pPr>
      <w:r>
        <w:t>5.9.3 Discussion</w:t>
      </w:r>
    </w:p>
    <w:p>
      <w:pPr/>
      <w:r>
        <w:t>The use of the consent object for consent creation has several advantages which include completeness, rejection before storage, and evidence. Completeness means that a created consent carries every condition that the later checks need, so no check has to look for its condition outside the object. Rejection before storage means that an invalid specification leaves no record behind, so the store never holds a consent that cannot be evaluated. Evidence means that every creation is written to the audit ledger with its identifier, its participants and its time, so the later decisions can be traced back to the consent they were taken on.</w:t>
      </w:r>
    </w:p>
    <w:p>
      <w:pPr/>
      <w:r>
        <w:t>On the other hand, the trade-off is rigidity. A consent cannot be changed after it has been created, so a change of doctor, guardian or data scope requires a new consent, and the credentials of the doctor and of every guardian must have been issued before the consent can be created (see Chapter 6). In the current interface, the purpose is also fixed to Treatment. Although these may be considered limitations of the method, the certainty that every stored consent is complete and that every creation is recorded outweighs them at this stage, and consent modification is addressed in the next stage of the research (Chapter 9).</w:t>
      </w:r>
    </w:p>
    <w:p>
      <w:pPr>
        <w:pStyle w:val="2"/>
        <w:keepNext/>
      </w:pPr>
      <w:r>
        <w:t>5.10 Conclusion</w:t>
      </w:r>
    </w:p>
    <w:p>
      <w:pPr/>
      <w:r>
        <w:t>In this chapter, we discussed the research architecture on which the whole framework is built. In particular, we discussed the three layers of the architecture, where trust is evaluated and where the boundaries between the layers lie, and how the architecture maps to the six research objectives. In addition, we proposed a model to represent patient consent as the evaluable object C = (I, A, P, T, L, E), created through Algorithm 1 only when every field is valid, assigned a unique identifier, persisted in the state PENDING_SIGNATURE and recorded in the audit ledger. This addressed the first research objective of this thesis.</w:t>
      </w:r>
    </w:p>
    <w:p>
      <w:pPr/>
      <w:r>
        <w:t>In this chapter we also presented the prototype used for validating the solution to research objective 1. This was done using a public synthetic dataset. At the end of the validation process, the results show that valid specifications are created with all six components and that invalid ones are rejected before anything is stored, and the architecture was evaluated against the six security properties it is designed to provide. However, a key finding from the validation was that a consent cannot be changed once it has been created; the users of HALAH will have to create a new consent when its terms change.</w:t>
      </w:r>
    </w:p>
    <w:p>
      <w:pPr/>
      <w:r>
        <w:t>The next chapter will discuss in a methodological manner the steps involved in verifying who the participants are and what authority they hold, which is the solution for research objective 2.</w:t>
      </w:r>
    </w:p>
    <w:sectPr w:rsidR="009262C4">
      <w:headerReference w:type="default" r:id="rId39"/>
      <w:headerReference w:type="even" r:id="rId40"/>
      <w:footerReference w:type="default" r:id="rId34"/>
      <w:footerReference w:type="even" r:id="rId41"/>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2026-10-23T07:38:46Z</dcterms:created>
  <dcterms:modified xsi:type="dcterms:W3CDTF">2026-10-23T07:38:46Z</dcterms:modified>
</cp:coreProperties>
</file>