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2</w:t>
            </w:r>
          </w:p>
        </w:tc>
      </w:tr>
    </w:tbl>
    <w:p>
      <w:pPr>
        <w:pStyle w:val="1"/>
        <w:keepNext/>
        <w:spacing w:before="360"/>
      </w:pPr>
      <w:r/>
      <w:r>
        <w:rPr>
          <w:color w:val="FFFFFF"/>
          <w:sz w:val="2"/>
        </w:rPr>
        <w:t xml:space="preserve">2. </w:t>
      </w:r>
      <w:r>
        <w:rPr>
          <w:smallCaps/>
        </w:rPr>
        <w:t>A Systematic Literature Review</w:t>
      </w:r>
    </w:p>
    <w:p>
      <w:pPr>
        <w:pStyle w:val="2"/>
        <w:keepNext/>
      </w:pPr>
      <w:r>
        <w:t>2.1 Introduction</w:t>
      </w:r>
    </w:p>
    <w:p w14:paraId="33176616" w14:textId="77777777" w:rsidR="009262C4" w:rsidRDefault="00000000">
      <w:pPr>
        <w:spacing w:after="110" w:line="264" w:lineRule="auto"/>
        <w:jc w:val="both"/>
      </w:pPr>
      <w:r>
        <w:t xml:space="preserve">The review does not only list technologies that can be applied to healthcare data sharing. It examines how existing approaches address different conditions required for a trustworthy authorisation decision and where conceptual or architectural gaps remain. Healthcare research has emphasised the importance of patient autonomy, privacy, informed consent, and controlled data sharing (Kaplow et al. 2024; Kharlamov, Hohmann &amp; Parry 2023; McClelland &amp; Harper 2023; Narkhede, Wankhede &amp; Kamble 2025; Webber et al. 2019). Multi-party trust research has investigated immutable data governance, distributed auditability, and decentralised consent management (Andrew et al. 2023; Arbabi et al. 2023; Ghosh et al. 2023; Nguyen et al. 2025; Turan, Hashimzai &amp; Qiam 2025). Research on decentralised identity and verifiable credentials has developed mechanisms for self-controlled identity representation, credential verification, selective disclosure, and privacy-preserving authentication (Deng et al. 2024; Flamini et al. 2024; Mazzocca et al. 2025; Nassar Kyriakidou, Papathanasiou &amp; Polyzos 2023; Parameswarath, Gope &amp; Sikdar 2022; Yin et al. 2025). Access-control research has further investigated role-based, attribute-based, risk-aware, and usage-control approaches for protecting sensitive healthcare information (Jiang et al. 2023; Nazir et al. 2026; Tawfik et al. 2025; Yin et al. 2024). However, the literature also indicates that these mechanisms are commonly developed and evaluated as separate technological components. Having the security mechanisms is one thing. Combining them into one trustworthy authorisation decision is another.</w:t>
      </w:r>
    </w:p>
    <w:p>
      <w:pPr/>
      <w:r>
        <w:rPr>
          <w:color w:val="FF0000"/>
        </w:rPr>
        <w:t>The structure of this chapter is as follows. Section 2.2 presents the six key requirements that a trustworthy multi-party consent authorisation should satisfy and that serve as the basis of the comparison. In Section 2.3, the process adopted for shortlisting the papers chosen for this SLR is discussed, including the criteria for searching the literature, the inclusion and exclusion criteria and the quality evaluation. Section 2.4 presents a summary of all the papers that were shortlisted, 25 in all, in six streams, and states the research gaps from the requirement perspective. In Section 2.5, the trust-oriented multi-party consent authorisation framework proposed in this thesis is positioned against the requirements. Finally, Section 2.6 concludes the SLR.</w:t>
      </w:r>
    </w:p>
    <w:p>
      <w:pPr>
        <w:pStyle w:val="2"/>
        <w:keepNext/>
      </w:pPr>
      <w:r>
        <w:t>2.2 Key Requirements for Trustworthy Multi-Party Consent Authorisation</w:t>
      </w:r>
    </w:p>
    <w:p w14:paraId="5171F85B" w14:textId="77777777" w:rsidR="009262C4" w:rsidRDefault="00000000">
      <w:pPr>
        <w:spacing w:after="110" w:line="264" w:lineRule="auto"/>
        <w:jc w:val="both"/>
      </w:pPr>
      <w: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w:t>
      </w:r>
      <w:r>
        <w:rPr>
          <w:color w:val="FF0000"/>
        </w:rPr>
        <w:t>(Chapter 3)</w:t>
      </w:r>
      <w:r>
        <w:t>, and each sub-research question addresses a distinct dimension of the proposed trust-oriented healthcare authorisation framework.</w:t>
      </w:r>
    </w:p>
    <w:p>
      <w:pPr>
        <w:pStyle w:val="3"/>
        <w:keepNext/>
      </w:pPr>
      <w:r>
        <w:t>2.2.1 Req 1: Representation of consent as an evaluable authorisation object</w:t>
      </w:r>
    </w:p>
    <w:p w14:paraId="1C518F48" w14:textId="77777777" w:rsidR="009262C4" w:rsidRDefault="00000000">
      <w:pPr>
        <w:pStyle w:val="a4"/>
        <w:numPr>
          <w:ilvl w:val="0"/>
          <w:numId w:val="1"/>
        </w:numPr>
        <w:spacing w:after="80" w:line="288" w:lineRule="auto"/>
        <w:jc w:val="both"/>
      </w:pPr>
      <w:r>
        <w:t>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and data scope, temporal validity, lifecycle state, and authorisation evidence so that a consent decision can be evaluated when a subsequent data-access request is made.</w:t>
      </w:r>
    </w:p>
    <w:p>
      <w:pPr>
        <w:pStyle w:val="3"/>
        <w:keepNext/>
      </w:pPr>
      <w:r>
        <w:t>2.2.2 Req 2: Decentralised verification of identity and authority</w:t>
      </w:r>
    </w:p>
    <w:p w14:paraId="7FF276EC" w14:textId="77777777" w:rsidR="009262C4" w:rsidRDefault="00000000">
      <w:pPr>
        <w:pStyle w:val="a4"/>
        <w:numPr>
          <w:ilvl w:val="0"/>
          <w:numId w:val="1"/>
        </w:numPr>
        <w:spacing w:after="80" w:line="288" w:lineRule="auto"/>
        <w:jc w:val="both"/>
      </w:pPr>
      <w:r>
        <w:t>Decentralised Identifiers (DIDs)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pPr>
        <w:pStyle w:val="3"/>
        <w:keepNext/>
      </w:pPr>
      <w:r>
        <w:t>2.2.3 Req 3: Multi-party authorisation through a verifiable threshold</w:t>
      </w:r>
    </w:p>
    <w:p w14:paraId="13C93DAA" w14:textId="77777777" w:rsidR="009262C4" w:rsidRDefault="00000000">
      <w:pPr>
        <w:pStyle w:val="a4"/>
        <w:numPr>
          <w:ilvl w:val="0"/>
          <w:numId w:val="1"/>
        </w:numPr>
        <w:spacing w:after="80" w:line="288" w:lineRule="auto"/>
        <w:jc w:val="both"/>
      </w:pPr>
      <w:r>
        <w:t>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pPr>
        <w:pStyle w:val="3"/>
        <w:keepNext/>
      </w:pPr>
      <w:r>
        <w:t>2.2.4 Req 4: Policy- and context-aware enforcement at the time of access</w:t>
      </w:r>
    </w:p>
    <w:p w14:paraId="2A4F5509" w14:textId="77777777" w:rsidR="009262C4" w:rsidRDefault="00000000">
      <w:pPr>
        <w:pStyle w:val="a4"/>
        <w:numPr>
          <w:ilvl w:val="0"/>
          <w:numId w:val="1"/>
        </w:numPr>
        <w:spacing w:after="80" w:line="288" w:lineRule="auto"/>
        <w:jc w:val="both"/>
      </w:pPr>
      <w:r>
        <w:t>A requester may possess a valid identity, valid credentials, and even the required multi-party approval while still requesting information outside the scope authorised by the patient. The access decision must also be evaluated against the purpose and data-scope constraints explicitly associated with the consent. This applies to every request, because many unauthorised disclosures are caused by legitimate requesters who exceed their scope (Jiang et al. 2023).</w:t>
      </w:r>
    </w:p>
    <w:p>
      <w:pPr>
        <w:pStyle w:val="3"/>
        <w:keepNext/>
      </w:pPr>
      <w:r>
        <w:t>2.2.5 Req 5: Temporal validity and lifecycle control of consent</w:t>
      </w:r>
    </w:p>
    <w:p w14:paraId="407E0F8A" w14:textId="77777777" w:rsidR="009262C4" w:rsidRDefault="00000000">
      <w:pPr>
        <w:pStyle w:val="a4"/>
        <w:numPr>
          <w:ilvl w:val="0"/>
          <w:numId w:val="1"/>
        </w:numPr>
        <w:spacing w:after="80" w:line="288" w:lineRule="auto"/>
        <w:jc w:val="both"/>
      </w:pPr>
      <w:r>
        <w:t>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pPr>
        <w:pStyle w:val="3"/>
        <w:keepNext/>
      </w:pPr>
      <w:r>
        <w:t>2.2.6 Req 6: Verifiable auditability and security assurance</w:t>
      </w:r>
    </w:p>
    <w:p w14:paraId="3F26EFBC" w14:textId="77777777" w:rsidR="009262C4" w:rsidRDefault="00000000">
      <w:pPr>
        <w:pStyle w:val="a4"/>
        <w:numPr>
          <w:ilvl w:val="0"/>
          <w:numId w:val="1"/>
        </w:numPr>
        <w:spacing w:after="80" w:line="288" w:lineRule="auto"/>
        <w:jc w:val="both"/>
      </w:pPr>
      <w:r>
        <w:t>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pPr>
        <w:pStyle w:val="2"/>
        <w:keepNext/>
      </w:pPr>
      <w:r>
        <w:t>2.3 Process Adopted for Shortlisting the Papers for SLR</w:t>
      </w:r>
    </w:p>
    <w:p>
      <w:pPr/>
      <w:r>
        <w:rPr>
          <w:color w:val="FF0000"/>
        </w:rPr>
        <w:t>This section details the process adopted to identify the relevant papers to be reviewed in the SLR. A four-step process was adopted:</w:t>
      </w:r>
    </w:p>
    <w:p>
      <w:pPr/>
      <w:r>
        <w:rPr>
          <w:color w:val="FF0000"/>
        </w:rPr>
        <w:t>Step 1: Searching the literature. This step involves defining the search terms, identifying the data sources and the process of data collection.</w:t>
      </w:r>
    </w:p>
    <w:p>
      <w:pPr/>
      <w:r>
        <w:rPr>
          <w:color w:val="FF0000"/>
        </w:rPr>
        <w:t>Step 2: Inclusion and exclusion criteria. Criteria are defined to guide the selection of the most relevant studies.</w:t>
      </w:r>
    </w:p>
    <w:p>
      <w:pPr/>
      <w:r>
        <w:rPr>
          <w:color w:val="FF0000"/>
        </w:rPr>
        <w:t>Step 3: Quality evaluation. Each of the full-text studies is reviewed against six quality evaluation questions, one for each key requirement.</w:t>
      </w:r>
    </w:p>
    <w:p>
      <w:pPr/>
      <w:r>
        <w:rPr>
          <w:color w:val="FF0000"/>
        </w:rPr>
        <w:t>Step 4: Data analysis. After reviewing the selected studies, data are extracted, recorded and categorised into streams.</w:t>
      </w:r>
    </w:p>
    <w:p w14:paraId="323E63C8" w14:textId="77777777" w:rsidR="009262C4" w:rsidRDefault="00000000">
      <w:pPr>
        <w:spacing w:after="110" w:line="264" w:lineRule="auto"/>
        <w:jc w:val="both"/>
      </w:pPr>
      <w:r>
        <w:t xml:space="preserve">The review process was structured according to the Preferred Reporting Items for Systematic Reviews and Meta-Analyses (PRISMA) 2020 statement (Page et al. 2021).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All screening, coding, and quality assessment were carried out by the author. </w:t>
      </w:r>
      <w:r>
        <w:rPr>
          <w:color w:val="FF0000"/>
        </w:rPr>
        <w:t>The review is guided by the six key requirements of Section 2.2, and the six quality evaluation questions of Step 3 are derived from them, one for each requirement.</w:t>
      </w:r>
    </w:p>
    <w:p>
      <w:pPr>
        <w:pStyle w:val="3"/>
        <w:keepNext/>
      </w:pPr>
      <w:r>
        <w:t>2.3.1 Step 1: Criteria for Searching the Literature</w:t>
      </w:r>
    </w:p>
    <w:p>
      <w:pPr/>
      <w:r>
        <w:rPr>
          <w:color w:val="FF0000"/>
        </w:rPr>
        <w:t>This step involved deciding the databases to search, the search string, the information required from each record and the publication period of the records.</w:t>
      </w:r>
    </w:p>
    <w:p w14:paraId="1E86AC0D" w14:textId="77777777" w:rsidR="009262C4" w:rsidRDefault="00000000">
      <w:pPr>
        <w:spacing w:after="110" w:line="264" w:lineRule="auto"/>
        <w:jc w:val="both"/>
      </w:pPr>
      <w:r>
        <w:t>The literature search was conducted using the following academic databases including 1) IEEE Xplore, 2) ACM Digital Library, 3) ScienceDirect, 4) SpringerLink, 5) ProQuest Science and Technology, 6) Scopus, and 7) Web of Science.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 was ("Healthcare" OR "Health Data" OR "Medical Records") AND ("Consent" OR "Authorisation" OR "Authorization") AND ("Trust" OR "Multi-party" OR "Multi-party Approval"). The search strings were constructed using Boolean operators and were adapted only to the syntax requirements of each database.</w:t>
      </w:r>
    </w:p>
    <w:p>
      <w:pPr/>
      <w:r>
        <w:rPr>
          <w:color w:val="FF0000"/>
        </w:rPr>
        <w:t>Table 2.1 shows the seven databases and the number of records retrieved from each.</w:t>
      </w:r>
    </w:p>
    <w:p>
      <w:pPr>
        <w:keepNext/>
        <w:spacing w:before="160" w:after="160"/>
        <w:jc w:val="center"/>
      </w:pPr>
      <w:r>
        <w:rPr>
          <w:color w:val="FF0000"/>
          <w:sz w:val="20"/>
        </w:rPr>
        <w:t>Table 2.1: Databases searched and records retrieved</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850"/>
        <w:gridCol w:w="5386"/>
        <w:gridCol w:w="2268"/>
      </w:tblGrid>
      <w:tr>
        <w:trPr>
          <w:tblHeader/>
          <w:cantSplit/>
        </w:trPr>
        <w:tc>
          <w:tcPr>
            <w:tcW w:type="dxa" w:w="85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FF0000"/>
                <w:sz w:val="20"/>
              </w:rPr>
              <w:t>S/N</w:t>
            </w:r>
          </w:p>
        </w:tc>
        <w:tc>
          <w:tcPr>
            <w:tcW w:type="dxa" w:w="5386"/>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FF0000"/>
                <w:sz w:val="20"/>
              </w:rPr>
              <w:t>Database</w:t>
            </w:r>
          </w:p>
        </w:tc>
        <w:tc>
          <w:tcPr>
            <w:tcW w:type="dxa" w:w="2268"/>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FF0000"/>
                <w:sz w:val="20"/>
              </w:rPr>
              <w:t>Records</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1</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SpringerLink</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46</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2</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Scopus</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38</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3</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IEEE Xplore</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27</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4</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ProQuest Science and Technology</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24</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5</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Web of Science</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19</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6</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ScienceDirect</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14</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7</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ACM Digital Library</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11</w:t>
            </w:r>
          </w:p>
        </w:tc>
      </w:tr>
      <w:tr>
        <w:trPr>
          <w:cantSplit/>
        </w:trPr>
        <w:tc>
          <w:tcPr>
            <w:tcW w:type="dxa" w:w="85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r>
          </w:p>
        </w:tc>
        <w:tc>
          <w:tcPr>
            <w:tcW w:type="dxa" w:w="5386"/>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Total</w:t>
            </w:r>
          </w:p>
        </w:tc>
        <w:tc>
          <w:tcPr>
            <w:tcW w:type="dxa" w:w="2268"/>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179</w:t>
            </w:r>
          </w:p>
        </w:tc>
      </w:tr>
    </w:tbl>
    <w:p>
      <w:pPr/>
      <w:r>
        <w:rPr>
          <w:color w:val="FF0000"/>
        </w:rPr>
      </w:r>
    </w:p>
    <w:p>
      <w:pPr>
        <w:pStyle w:val="3"/>
        <w:keepNext/>
      </w:pPr>
      <w:r>
        <w:t>2.3.2 Step 2: Inclusion and Exclusion Criteria</w:t>
      </w:r>
    </w:p>
    <w:p>
      <w:pPr/>
      <w:r>
        <w:rPr>
          <w:color w:val="FF0000"/>
        </w:rPr>
        <w:t>Not all the records identified in the previous step are considered in the SLR. They were further shortlisted according to the following inclusion and exclusion criteria.</w:t>
      </w:r>
    </w:p>
    <w:p w14:paraId="2F8331A3" w14:textId="77777777" w:rsidR="009262C4" w:rsidRDefault="00000000">
      <w:pPr>
        <w:spacing w:after="110" w:line="264" w:lineRule="auto"/>
        <w:jc w:val="both"/>
      </w:pPr>
      <w:r>
        <w:t>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 Each study is cited by the year of the journal issue or proceedings volume in which it appeared, not the year it was first published online.</w:t>
      </w:r>
    </w:p>
    <w:p w14:paraId="5713F58F" w14:textId="77777777" w:rsidR="009262C4" w:rsidRDefault="00000000">
      <w:pPr>
        <w:spacing w:after="110" w:line="264" w:lineRule="auto"/>
        <w:jc w:val="both"/>
      </w:pPr>
      <w: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w:t>
      </w:r>
      <w:r>
        <w:rPr/>
        <w:t>between 2020 and 2026</w:t>
      </w:r>
      <w:r>
        <w:t xml:space="preserve">. </w:t>
      </w:r>
      <w:r>
        <w:rPr>
          <w:color w:val="FF0000"/>
        </w:rPr>
        <w:t>The exclusion criteria removed, among others,</w:t>
      </w:r>
      <w:r>
        <w:t xml:space="preserve"> </w:t>
      </w:r>
      <w:r>
        <w:rPr/>
        <w:t>studies outside healthcare or the authorisation scope, studies of authentication alone or with only a superficial mention of consent, non-peer-reviewed work, duplicate publications, and secondary reviews</w:t>
      </w:r>
      <w:r>
        <w:t>, although no study was excluded for failing to support the proposed research gap. Where a study addressed multiple topics, its eligibility was determined according to the relevance of its contribution to the review questions rather than by the presence of a single keyword.</w:t>
      </w:r>
    </w:p>
    <w:p>
      <w:pPr/>
      <w:r>
        <w:rPr>
          <w:color w:val="FF0000"/>
        </w:rPr>
        <w:t>Inclusion criteria:</w:t>
      </w:r>
    </w:p>
    <w:p>
      <w:pPr/>
      <w:r>
        <w:rPr>
          <w:color w:val="FF0000"/>
        </w:rPr>
        <w:t>1. Healthcare data sharing (IC1).</w:t>
      </w:r>
    </w:p>
    <w:p>
      <w:pPr/>
      <w:r>
        <w:rPr>
          <w:color w:val="FF0000"/>
        </w:rPr>
        <w:t>2. Consent or authorisation relevant to data access (IC2).</w:t>
      </w:r>
    </w:p>
    <w:p>
      <w:pPr/>
      <w:r>
        <w:rPr>
          <w:color w:val="FF0000"/>
        </w:rPr>
        <w:t>3. A model, mechanism, system or evaluation that addresses a review question (IC3).</w:t>
      </w:r>
    </w:p>
    <w:p>
      <w:pPr/>
      <w:r>
        <w:rPr>
          <w:color w:val="FF0000"/>
        </w:rPr>
        <w:t>4. Peer-reviewed English paper with full text (IC4 to IC7).</w:t>
      </w:r>
    </w:p>
    <w:p>
      <w:pPr/>
      <w:r>
        <w:rPr>
          <w:color w:val="FF0000"/>
        </w:rPr>
        <w:t>5. Publication between 2020 and 2026.</w:t>
      </w:r>
    </w:p>
    <w:p>
      <w:pPr/>
      <w:r>
        <w:rPr>
          <w:color w:val="FF0000"/>
        </w:rPr>
        <w:t>Exclusion criteria:</w:t>
      </w:r>
    </w:p>
    <w:p>
      <w:pPr/>
      <w:r>
        <w:rPr>
          <w:color w:val="FF0000"/>
        </w:rPr>
        <w:t>1. Outside healthcare or the authorisation scope.</w:t>
      </w:r>
    </w:p>
    <w:p>
      <w:pPr/>
      <w:r>
        <w:rPr>
          <w:color w:val="FF0000"/>
        </w:rPr>
        <w:t>2. Authentication alone or a superficial mention of consent.</w:t>
      </w:r>
    </w:p>
    <w:p>
      <w:pPr/>
      <w:r>
        <w:rPr>
          <w:color w:val="FF0000"/>
        </w:rPr>
        <w:t>3. Non-peer-reviewed work and duplicate publications.</w:t>
      </w:r>
    </w:p>
    <w:p>
      <w:pPr/>
      <w:r>
        <w:rPr>
          <w:color w:val="FF0000"/>
        </w:rPr>
        <w:t>The stages of evaluating and selecting the relevant papers for the SLR are summarised in Table 2.2.</w:t>
      </w:r>
    </w:p>
    <w:p>
      <w:pPr>
        <w:keepNext/>
        <w:spacing w:before="160" w:after="160"/>
        <w:jc w:val="center"/>
      </w:pPr>
      <w:r>
        <w:rPr>
          <w:color w:val="FF0000"/>
          <w:sz w:val="20"/>
        </w:rPr>
        <w:t>Table 2.2: Summary of the stages of evaluating and selecting the relevant papers for the SLR</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247"/>
        <w:gridCol w:w="2268"/>
        <w:gridCol w:w="3061"/>
        <w:gridCol w:w="1928"/>
      </w:tblGrid>
      <w:tr>
        <w:trPr>
          <w:tblHeader/>
          <w:cantSplit/>
        </w:trPr>
        <w:tc>
          <w:tcPr>
            <w:tcW w:type="dxa" w:w="1247"/>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FF0000"/>
                <w:sz w:val="20"/>
              </w:rPr>
              <w:t>Evaluation stage</w:t>
            </w:r>
          </w:p>
        </w:tc>
        <w:tc>
          <w:tcPr>
            <w:tcW w:type="dxa" w:w="2268"/>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FF0000"/>
                <w:sz w:val="20"/>
              </w:rPr>
              <w:t>Method</w:t>
            </w:r>
          </w:p>
        </w:tc>
        <w:tc>
          <w:tcPr>
            <w:tcW w:type="dxa" w:w="306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FF0000"/>
                <w:sz w:val="20"/>
              </w:rPr>
              <w:t>Assessment criteria</w:t>
            </w:r>
          </w:p>
        </w:tc>
        <w:tc>
          <w:tcPr>
            <w:tcW w:type="dxa" w:w="1928"/>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FF0000"/>
                <w:sz w:val="20"/>
              </w:rPr>
              <w:t>Records</w:t>
            </w:r>
          </w:p>
        </w:tc>
      </w:tr>
      <w:tr>
        <w:trPr>
          <w:cantSplit/>
        </w:trPr>
        <w:tc>
          <w:tcPr>
            <w:tcW w:type="dxa" w:w="124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1st</w:t>
            </w:r>
          </w:p>
        </w:tc>
        <w:tc>
          <w:tcPr>
            <w:tcW w:type="dxa" w:w="226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Identify the related studies from the seven databases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Match the search string</w:t>
            </w:r>
          </w:p>
        </w:tc>
        <w:tc>
          <w:tcPr>
            <w:tcW w:type="dxa" w:w="192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179 identified</w:t>
            </w:r>
          </w:p>
        </w:tc>
      </w:tr>
      <w:tr>
        <w:trPr>
          <w:cantSplit/>
        </w:trPr>
        <w:tc>
          <w:tcPr>
            <w:tcW w:type="dxa" w:w="124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2nd</w:t>
            </w:r>
          </w:p>
        </w:tc>
        <w:tc>
          <w:tcPr>
            <w:tcW w:type="dxa" w:w="226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Remove duplicate records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Same title, author, DOI and publication year</w:t>
            </w:r>
          </w:p>
        </w:tc>
        <w:tc>
          <w:tcPr>
            <w:tcW w:type="dxa" w:w="192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21 removed, 158 remain</w:t>
            </w:r>
          </w:p>
        </w:tc>
      </w:tr>
      <w:tr>
        <w:trPr>
          <w:cantSplit/>
        </w:trPr>
        <w:tc>
          <w:tcPr>
            <w:tcW w:type="dxa" w:w="124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3rd</w:t>
            </w:r>
          </w:p>
        </w:tc>
        <w:tc>
          <w:tcPr>
            <w:tcW w:type="dxa" w:w="226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Screen the titles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Within healthcare consent or authorisation; otherwise exclude</w:t>
            </w:r>
          </w:p>
        </w:tc>
        <w:tc>
          <w:tcPr>
            <w:tcW w:type="dxa" w:w="192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76 excluded, 82 remain</w:t>
            </w:r>
          </w:p>
        </w:tc>
      </w:tr>
      <w:tr>
        <w:trPr>
          <w:cantSplit/>
        </w:trPr>
        <w:tc>
          <w:tcPr>
            <w:tcW w:type="dxa" w:w="124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4th</w:t>
            </w:r>
          </w:p>
        </w:tc>
        <w:tc>
          <w:tcPr>
            <w:tcW w:type="dxa" w:w="226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Screen the abstracts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Relevant to a review question; otherwise exclude</w:t>
            </w:r>
          </w:p>
        </w:tc>
        <w:tc>
          <w:tcPr>
            <w:tcW w:type="dxa" w:w="192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43 excluded, 39 remain</w:t>
            </w:r>
          </w:p>
        </w:tc>
      </w:tr>
      <w:tr>
        <w:trPr>
          <w:cantSplit/>
        </w:trPr>
        <w:tc>
          <w:tcPr>
            <w:tcW w:type="dxa" w:w="1247"/>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5th</w:t>
            </w:r>
          </w:p>
        </w:tc>
        <w:tc>
          <w:tcPr>
            <w:tcW w:type="dxa" w:w="2268"/>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Assess the full texts</w:t>
            </w:r>
          </w:p>
        </w:tc>
        <w:tc>
          <w:tcPr>
            <w:tcW w:type="dxa" w:w="306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Eligibility criteria and the quality evaluation of Step 3</w:t>
            </w:r>
          </w:p>
        </w:tc>
        <w:tc>
          <w:tcPr>
            <w:tcW w:type="dxa" w:w="1928"/>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FF0000"/>
                <w:sz w:val="20"/>
              </w:rPr>
              <w:t>14 excluded, 25 included</w:t>
            </w:r>
          </w:p>
        </w:tc>
      </w:tr>
    </w:tbl>
    <w:p>
      <w:pPr/>
      <w:r>
        <w:rPr>
          <w:color w:val="FF0000"/>
        </w:rPr>
      </w:r>
    </w:p>
    <w:p w14:paraId="33C04365" w14:textId="77777777" w:rsidR="009262C4" w:rsidRDefault="00000000">
      <w:pPr>
        <w:spacing w:after="110" w:line="264" w:lineRule="auto"/>
        <w:jc w:val="both"/>
      </w:pPr>
      <w:r>
        <w:t xml:space="preserve">Figure 2.1 presents the PRISMA flow diagram for this review, which summarises the identification, screening, eligibility, and inclusion stages of the SLR. The seven database searches returned 179 records: 46 from SpringerLink, 38 from Scopus, 27 from IEEE Xplore, 24 from ProQuest, 19 from Web of Science, 14 from ScienceDirect, and 11 from the ACM Digital Library. After 21 duplicates were removed, 158 records were screened by title, and 76 were excluded. The abstracts of the remaining 82 records were screened, and 43 were excluded. The full texts of 39 studies were then assessed for eligibility, 14 were excluded, and 25 studies were included in the analysis. </w:t>
      </w:r>
    </w:p>
    <w:p w14:paraId="0F90A6E0" w14:textId="77777777" w:rsidR="009262C4" w:rsidRDefault="009262C4">
      <w:pPr>
        <w:spacing w:after="160"/>
      </w:pPr>
    </w:p>
    <w:p w14:paraId="3B5E86DD" w14:textId="77777777" w:rsidR="009262C4" w:rsidRDefault="00000000">
      <w:pPr>
        <w:keepNext/>
        <w:spacing w:before="160" w:after="60"/>
        <w:jc w:val="center"/>
      </w:pPr>
      <w:r>
        <w:rPr>
          <w:noProof/>
        </w:rPr>
        <w:drawing>
          <wp:inline distT="0" distB="0" distL="0" distR="0" wp14:anchorId="4EFC57EC" wp14:editId="41C5C802">
            <wp:extent cx="5715000" cy="2929659"/>
            <wp:effectExtent l="0" t="0" r="0" b="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29659"/>
                    </a:xfrm>
                    <a:prstGeom prst="rect">
                      <a:avLst/>
                    </a:prstGeom>
                  </pic:spPr>
                </pic:pic>
              </a:graphicData>
            </a:graphic>
          </wp:inline>
        </w:drawing>
      </w:r>
    </w:p>
    <w:p w14:paraId="34689B8F" w14:textId="77777777" w:rsidR="009262C4" w:rsidRDefault="00000000">
      <w:pPr>
        <w:spacing w:after="160" w:before="160"/>
        <w:jc w:val="center"/>
      </w:pPr>
      <w:r>
        <w:rPr>
          <w:b/>
          <w:bCs/>
          <w:sz w:val="20"/>
          <w:szCs w:val="18"/>
        </w:rPr>
        <w:t xml:space="preserve">Figure 2.1: </w:t>
      </w:r>
      <w:r>
        <w:rPr>
          <w:sz w:val="20"/>
          <w:szCs w:val="18"/>
        </w:rPr>
        <w:t>PRISMA 2020 flow diagram of the study identification, screening, eligibility and inclusion stages.</w:t>
      </w:r>
    </w:p>
    <w:p>
      <w:pPr>
        <w:pStyle w:val="3"/>
        <w:keepNext/>
      </w:pPr>
      <w:r>
        <w:t>2.3.3 Step 3: Quality Evaluation</w:t>
      </w:r>
    </w:p>
    <w:p>
      <w:pPr/>
      <w:r>
        <w:rPr>
          <w:color w:val="FF0000"/>
        </w:rPr>
        <w:t>The 39 full-text studies were retrieved and critically evaluated based on the six quality evaluation questions, one for each key requirement of Section 2.2, as follows:</w:t>
      </w:r>
    </w:p>
    <w:p>
      <w:pPr>
        <w:spacing w:after="40"/>
      </w:pPr>
      <w:r>
        <w:rPr>
          <w:color w:val="FF0000"/>
        </w:rPr>
        <w:t>QA1: Does the study define a consent model covering identity, authority, policy, and evidence?</w:t>
      </w:r>
    </w:p>
    <w:p>
      <w:pPr>
        <w:spacing w:after="40"/>
      </w:pPr>
      <w:r>
        <w:rPr>
          <w:color w:val="FF0000"/>
        </w:rPr>
        <w:t>QA2: Does the study verify participant identities and their authorisation authority?</w:t>
      </w:r>
    </w:p>
    <w:p>
      <w:pPr>
        <w:spacing w:after="40"/>
      </w:pPr>
      <w:r>
        <w:rPr>
          <w:color w:val="FF0000"/>
        </w:rPr>
        <w:t>QA3: Does the study support consent decisions requiring approval from multiple authorised participants?</w:t>
      </w:r>
    </w:p>
    <w:p>
      <w:pPr>
        <w:spacing w:after="40"/>
      </w:pPr>
      <w:r>
        <w:rPr>
          <w:color w:val="FF0000"/>
        </w:rPr>
        <w:t>QA4: Does the study enforce purpose, data scope, and approval rules before allowing access?</w:t>
      </w:r>
    </w:p>
    <w:p>
      <w:pPr>
        <w:spacing w:after="40"/>
      </w:pPr>
      <w:r>
        <w:rPr>
          <w:color w:val="FF0000"/>
        </w:rPr>
        <w:t>QA5: Does the study manage consent validity, expiry, and revocation?</w:t>
      </w:r>
    </w:p>
    <w:p>
      <w:pPr>
        <w:spacing w:after="40"/>
      </w:pPr>
      <w:r>
        <w:rPr>
          <w:color w:val="FF0000"/>
        </w:rPr>
        <w:t>QA6: Does the study validate security and access decisions through formal analysis or implementation testing?</w:t>
      </w:r>
    </w:p>
    <w:p>
      <w:pPr/>
      <w:r>
        <w:rPr>
          <w:color w:val="FF0000"/>
        </w:rPr>
        <w:t>Each question was answered Yes or No, and any study which has at least three Yes answers to the six questions, and meets the eligibility criteria of Step 2, is included in this SLR. Of the 39 full-text studies, 25 satisfied the criteria, as shown in Table 2.3. Each included study was then coded Yes or No against each of the six requirements, Req 1 to Req 6, with a page reference for every Yes. A study is core if its gap-impact verdict is contradicts, weakens or narrows, or if it provides a multi-party approval mechanism. Of the 25 included studies, S1 to S25, 23 are core studies and 2 are supporting studies (Albalwy, Brass &amp; Davies 2021; Li et al. 2026a).</w:t>
      </w:r>
    </w:p>
    <w:p>
      <w:pPr>
        <w:pStyle w:val="3"/>
        <w:keepNext/>
      </w:pPr>
      <w:r>
        <w:t>2.3.4 Step 4: Shortlisted Papers for SLR and Categorising Them into Broad Areas</w:t>
      </w:r>
    </w:p>
    <w:p>
      <w:pPr/>
      <w:r>
        <w:rPr>
          <w:color w:val="FF0000"/>
        </w:rPr>
        <w:t>Each of the shortlisted papers was analysed according to its scope, topic and contribution to the review questions. Based on the analysis, each study was placed in one of six streams, one per requirement: consent representation (Req 1), identity and authority (Req 2), multi-party authorisation (Req 3), policy and context (Req 4), temporal and lifecycle (Req 5) and security assurance (Req 6). Table 2.3 lists the 25 primary studies with their authors, year and title. The papers in each stream are summarised in the next section, and their issues and limitations with respect to the key requirements defined in Section 2.2 are discussed.</w:t>
      </w:r>
    </w:p>
    <w:p w14:paraId="2C249D89" w14:textId="77777777" w:rsidR="009262C4" w:rsidRDefault="00000000">
      <w:pPr>
        <w:keepNext/>
        <w:spacing w:before="160" w:after="160"/>
        <w:jc w:val="center"/>
      </w:pPr>
      <w:r>
        <w:rPr>
          <w:b/>
          <w:bCs/>
          <w:color w:val="FF0000"/>
          <w:sz w:val="20"/>
          <w:szCs w:val="18"/>
        </w:rPr>
        <w:t>Table 2.3:</w:t>
      </w:r>
      <w:r>
        <w:rPr>
          <w:b/>
          <w:bCs/>
          <w:sz w:val="20"/>
          <w:szCs w:val="18"/>
        </w:rPr>
        <w:t xml:space="preserve"> </w:t>
      </w:r>
      <w:r>
        <w:rPr>
          <w:sz w:val="20"/>
          <w:szCs w:val="18"/>
        </w:rPr>
        <w:t>Listing of the 25 primary studies identified after the selection process</w:t>
      </w:r>
    </w:p>
    <w:tbl>
      <w:tblPr>
        <w:tblW w:w="9128" w:type="dxa"/>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val="0000" w:firstRow="0" w:lastRow="0" w:firstColumn="0" w:lastColumn="0" w:noHBand="0" w:noVBand="0"/>
      </w:tblPr>
      <w:tblGrid>
        <w:gridCol w:w="737"/>
        <w:gridCol w:w="2268"/>
        <w:gridCol w:w="5499"/>
      </w:tblGrid>
      <w:tr w:rsidR="009262C4" w14:paraId="4A276FDF" w14:textId="77777777">
        <w:trPr>
          <w:cantSplit/>
          <w:tblHeader/>
        </w:trPr>
        <w:tc>
          <w:tcPr>
            <w:tcW w:w="737"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13BC496B"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Study</w:t>
            </w:r>
          </w:p>
        </w:tc>
        <w:tc>
          <w:tcPr>
            <w:tcW w:w="2268"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39594DA3" w14:textId="77777777" w:rsidR="009262C4" w:rsidRDefault="00000000">
            <w:pPr>
              <w:keepNext/>
              <w:spacing w:before="40" w:after="40" w:line="240" w:lineRule="auto"/>
              <w:jc w:val="left"/>
            </w:pPr>
            <w:r>
              <w:rPr>
                <w:rFonts w:ascii="Palatino Linotype" w:hAnsi="Palatino Linotype" w:cs="Palatino Linotype"/>
                <w:b/>
                <w:bCs/>
                <w:color w:val="FF0000"/>
                <w:sz w:val="20"/>
                <w:szCs w:val="17"/>
              </w:rPr>
              <w:t xml:space="preserve">Authors and year</w:t>
            </w:r>
          </w:p>
        </w:tc>
        <w:tc>
          <w:tcPr>
            <w:tcW w:w="5499"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65AA66D2" w14:textId="77777777" w:rsidR="009262C4" w:rsidRDefault="00000000">
            <w:pPr>
              <w:keepNext/>
              <w:spacing w:before="40" w:after="40" w:line="240" w:lineRule="auto"/>
              <w:jc w:val="left"/>
            </w:pPr>
            <w:r>
              <w:rPr>
                <w:rFonts w:ascii="Palatino Linotype" w:hAnsi="Palatino Linotype" w:cs="Palatino Linotype"/>
                <w:b/>
                <w:bCs/>
                <w:color w:val="FF0000"/>
                <w:sz w:val="20"/>
                <w:szCs w:val="17"/>
              </w:rPr>
              <w:t xml:space="preserve">Article title</w:t>
            </w:r>
          </w:p>
        </w:tc>
      </w:tr>
      <w:tr w:rsidR="009262C4" w14:paraId="277610A5"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5FBAD0E" w14:textId="77777777" w:rsidR="009262C4" w:rsidRDefault="00000000">
            <w:pPr>
              <w:spacing w:before="40" w:after="40" w:line="240" w:lineRule="auto"/>
              <w:jc w:val="left"/>
            </w:pPr>
            <w:r>
              <w:rPr>
                <w:rFonts w:ascii="Palatino Linotype" w:hAnsi="Palatino Linotype" w:cs="Palatino Linotype"/>
                <w:color w:val="000000"/>
                <w:sz w:val="20"/>
                <w:szCs w:val="17"/>
              </w:rPr>
              <w:t>S1</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32AD346" w14:textId="77777777" w:rsidR="009262C4" w:rsidRDefault="00000000">
            <w:pPr>
              <w:spacing w:before="40" w:after="40" w:line="240" w:lineRule="auto"/>
              <w:jc w:val="left"/>
            </w:pPr>
            <w:r>
              <w:rPr>
                <w:rFonts w:ascii="Palatino Linotype" w:hAnsi="Palatino Linotype" w:cs="Palatino Linotype"/>
                <w:color w:val="000000"/>
                <w:sz w:val="20"/>
                <w:szCs w:val="17"/>
              </w:rPr>
              <w:t>Abbasi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8C42C3E" w14:textId="77777777" w:rsidR="009262C4" w:rsidRDefault="00000000">
            <w:pPr>
              <w:spacing w:before="40" w:after="40" w:line="240" w:lineRule="auto"/>
              <w:jc w:val="left"/>
            </w:pPr>
            <w:r>
              <w:rPr>
                <w:rFonts w:ascii="Palatino Linotype" w:hAnsi="Palatino Linotype" w:cs="Palatino Linotype"/>
                <w:color w:val="000000"/>
                <w:sz w:val="20"/>
                <w:szCs w:val="17"/>
              </w:rPr>
              <w:t>Nexa: Enabling Secure, Scalable, and Decentralized Management of Electronic Health Records Using Threshold Cryptography and Public Blockchains</w:t>
            </w:r>
          </w:p>
        </w:tc>
      </w:tr>
      <w:tr w:rsidR="009262C4" w14:paraId="548DB82F"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76964AD" w14:textId="77777777" w:rsidR="009262C4" w:rsidRDefault="00000000">
            <w:pPr>
              <w:spacing w:before="40" w:after="40" w:line="240" w:lineRule="auto"/>
              <w:jc w:val="left"/>
            </w:pPr>
            <w:r>
              <w:rPr>
                <w:rFonts w:ascii="Palatino Linotype" w:hAnsi="Palatino Linotype" w:cs="Palatino Linotype"/>
                <w:color w:val="000000"/>
                <w:sz w:val="20"/>
                <w:szCs w:val="17"/>
              </w:rPr>
              <w:t>S2</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1483FC7"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Albalwy et al. (2021)</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6A1F0AE" w14:textId="77777777" w:rsidR="009262C4" w:rsidRDefault="00000000">
            <w:pPr>
              <w:spacing w:before="40" w:after="40" w:line="240" w:lineRule="auto"/>
              <w:jc w:val="left"/>
            </w:pPr>
            <w:r>
              <w:rPr>
                <w:rFonts w:ascii="Palatino Linotype" w:hAnsi="Palatino Linotype" w:cs="Palatino Linotype"/>
                <w:color w:val="000000"/>
                <w:sz w:val="20"/>
                <w:szCs w:val="17"/>
              </w:rPr>
              <w:t>A Blockchain-based dynamic consent architecture to support clinical genomic data sharing (ConsentChain): Proof-of-concept study</w:t>
            </w:r>
          </w:p>
        </w:tc>
      </w:tr>
      <w:tr w:rsidR="009262C4" w14:paraId="472B59DC"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BDFCB26" w14:textId="77777777" w:rsidR="009262C4" w:rsidRDefault="00000000">
            <w:pPr>
              <w:spacing w:before="40" w:after="40" w:line="240" w:lineRule="auto"/>
              <w:jc w:val="left"/>
            </w:pPr>
            <w:r>
              <w:rPr>
                <w:rFonts w:ascii="Palatino Linotype" w:hAnsi="Palatino Linotype" w:cs="Palatino Linotype"/>
                <w:color w:val="000000"/>
                <w:sz w:val="20"/>
                <w:szCs w:val="17"/>
              </w:rPr>
              <w:t>S3</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381561C" w14:textId="77777777" w:rsidR="009262C4" w:rsidRDefault="00000000">
            <w:pPr>
              <w:spacing w:before="40" w:after="40" w:line="240" w:lineRule="auto"/>
              <w:jc w:val="left"/>
            </w:pPr>
            <w:r>
              <w:rPr>
                <w:rFonts w:ascii="Palatino Linotype" w:hAnsi="Palatino Linotype" w:cs="Palatino Linotype"/>
                <w:color w:val="000000"/>
                <w:sz w:val="20"/>
                <w:szCs w:val="17"/>
              </w:rPr>
              <w:t>Al Amin et al. (2023)</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CA442B3" w14:textId="77777777" w:rsidR="009262C4" w:rsidRDefault="00000000">
            <w:pPr>
              <w:spacing w:before="40" w:after="40" w:line="240" w:lineRule="auto"/>
              <w:jc w:val="left"/>
            </w:pPr>
            <w:r>
              <w:rPr>
                <w:rFonts w:ascii="Palatino Linotype" w:hAnsi="Palatino Linotype" w:cs="Palatino Linotype"/>
                <w:color w:val="000000"/>
                <w:sz w:val="20"/>
                <w:szCs w:val="17"/>
              </w:rPr>
              <w:t>Informed Consent as Patient Driven Policy for Clinical Diagnosis and Treatment: A Smart Contract Based Approach</w:t>
            </w:r>
          </w:p>
        </w:tc>
      </w:tr>
      <w:tr w:rsidR="009262C4" w14:paraId="692DB973"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5233871" w14:textId="77777777" w:rsidR="009262C4" w:rsidRDefault="00000000">
            <w:pPr>
              <w:spacing w:before="40" w:after="40" w:line="240" w:lineRule="auto"/>
              <w:jc w:val="left"/>
            </w:pPr>
            <w:r>
              <w:rPr>
                <w:rFonts w:ascii="Palatino Linotype" w:hAnsi="Palatino Linotype" w:cs="Palatino Linotype"/>
                <w:color w:val="000000"/>
                <w:sz w:val="20"/>
                <w:szCs w:val="17"/>
              </w:rPr>
              <w:t>S4</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3939FE" w14:textId="77777777" w:rsidR="009262C4" w:rsidRDefault="00000000">
            <w:pPr>
              <w:spacing w:before="40" w:after="40" w:line="240" w:lineRule="auto"/>
              <w:jc w:val="left"/>
            </w:pPr>
            <w:r>
              <w:rPr>
                <w:rFonts w:ascii="Palatino Linotype" w:hAnsi="Palatino Linotype" w:cs="Palatino Linotype"/>
                <w:color w:val="000000"/>
                <w:sz w:val="20"/>
                <w:szCs w:val="17"/>
              </w:rPr>
              <w:t>Ekholm et al. (2025)</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7384542" w14:textId="77777777" w:rsidR="009262C4" w:rsidRDefault="00000000">
            <w:pPr>
              <w:spacing w:before="40" w:after="40" w:line="240" w:lineRule="auto"/>
              <w:jc w:val="left"/>
            </w:pPr>
            <w:r>
              <w:rPr>
                <w:rFonts w:ascii="Palatino Linotype" w:hAnsi="Palatino Linotype" w:cs="Palatino Linotype"/>
                <w:color w:val="000000"/>
                <w:sz w:val="20"/>
                <w:szCs w:val="17"/>
              </w:rPr>
              <w:t>Implementing electronic informed consent in rare disease genomics</w:t>
            </w:r>
          </w:p>
        </w:tc>
      </w:tr>
      <w:tr w:rsidR="009262C4" w14:paraId="59A83339"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A3065E5" w14:textId="77777777" w:rsidR="009262C4" w:rsidRDefault="00000000">
            <w:pPr>
              <w:spacing w:before="40" w:after="40" w:line="240" w:lineRule="auto"/>
              <w:jc w:val="left"/>
            </w:pPr>
            <w:r>
              <w:rPr>
                <w:rFonts w:ascii="Palatino Linotype" w:hAnsi="Palatino Linotype" w:cs="Palatino Linotype"/>
                <w:color w:val="000000"/>
                <w:sz w:val="20"/>
                <w:szCs w:val="17"/>
              </w:rPr>
              <w:t>S5</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DC1B1FF" w14:textId="77777777" w:rsidR="009262C4" w:rsidRDefault="00000000">
            <w:pPr>
              <w:spacing w:before="40" w:after="40" w:line="240" w:lineRule="auto"/>
              <w:jc w:val="left"/>
            </w:pPr>
            <w:r>
              <w:rPr>
                <w:rFonts w:ascii="Palatino Linotype" w:hAnsi="Palatino Linotype" w:cs="Palatino Linotype"/>
                <w:color w:val="000000"/>
                <w:sz w:val="20"/>
                <w:szCs w:val="17"/>
              </w:rPr>
              <w:t>Eneh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C262A7F"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Demo: EdgeConsent: On-Chain Attribute-Based Access Control for Data Consent Management</w:t>
            </w:r>
          </w:p>
        </w:tc>
      </w:tr>
      <w:tr w:rsidR="009262C4" w14:paraId="3A3C15BF"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4C1E9E6" w14:textId="77777777" w:rsidR="009262C4" w:rsidRDefault="00000000">
            <w:pPr>
              <w:spacing w:before="40" w:after="40" w:line="240" w:lineRule="auto"/>
              <w:jc w:val="left"/>
            </w:pPr>
            <w:r>
              <w:rPr>
                <w:rFonts w:ascii="Palatino Linotype" w:hAnsi="Palatino Linotype" w:cs="Palatino Linotype"/>
                <w:color w:val="000000"/>
                <w:sz w:val="20"/>
                <w:szCs w:val="17"/>
              </w:rPr>
              <w:t>S6</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E36EE60" w14:textId="77777777" w:rsidR="009262C4" w:rsidRDefault="00000000">
            <w:pPr>
              <w:spacing w:before="40" w:after="40" w:line="240" w:lineRule="auto"/>
              <w:jc w:val="left"/>
            </w:pPr>
            <w:r>
              <w:rPr>
                <w:rFonts w:ascii="Palatino Linotype" w:hAnsi="Palatino Linotype" w:cs="Palatino Linotype"/>
                <w:color w:val="000000"/>
                <w:sz w:val="20"/>
                <w:szCs w:val="17"/>
              </w:rPr>
              <w:t>Hagström et al. (2024)</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9D150DF" w14:textId="77777777" w:rsidR="009262C4" w:rsidRDefault="00000000">
            <w:pPr>
              <w:spacing w:before="40" w:after="40" w:line="240" w:lineRule="auto"/>
              <w:jc w:val="left"/>
            </w:pPr>
            <w:r>
              <w:rPr>
                <w:rFonts w:ascii="Palatino Linotype" w:hAnsi="Palatino Linotype" w:cs="Palatino Linotype"/>
                <w:color w:val="000000"/>
                <w:sz w:val="20"/>
                <w:szCs w:val="17"/>
              </w:rPr>
              <w:t>Minors’ and guardian access to and use of a national patient portal: A retrospective comparative case study of Sweden and Finland</w:t>
            </w:r>
          </w:p>
        </w:tc>
      </w:tr>
      <w:tr w:rsidR="009262C4" w14:paraId="6D0D08AA"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E1B2577" w14:textId="77777777" w:rsidR="009262C4" w:rsidRDefault="00000000">
            <w:pPr>
              <w:spacing w:before="40" w:after="40" w:line="240" w:lineRule="auto"/>
              <w:jc w:val="left"/>
            </w:pPr>
            <w:r>
              <w:rPr>
                <w:rFonts w:ascii="Palatino Linotype" w:hAnsi="Palatino Linotype" w:cs="Palatino Linotype"/>
                <w:color w:val="000000"/>
                <w:sz w:val="20"/>
                <w:szCs w:val="17"/>
              </w:rPr>
              <w:t>S7</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792157"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Jaiman and Urovi (2020)</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DB70D26" w14:textId="77777777" w:rsidR="009262C4" w:rsidRDefault="00000000">
            <w:pPr>
              <w:spacing w:before="40" w:after="40" w:line="240" w:lineRule="auto"/>
              <w:jc w:val="left"/>
            </w:pPr>
            <w:r>
              <w:rPr>
                <w:rFonts w:ascii="Palatino Linotype" w:hAnsi="Palatino Linotype" w:cs="Palatino Linotype"/>
                <w:color w:val="000000"/>
                <w:sz w:val="20"/>
                <w:szCs w:val="17"/>
              </w:rPr>
              <w:t>A Consent Model for Blockchain-Based Health Data Sharing Platforms</w:t>
            </w:r>
          </w:p>
        </w:tc>
      </w:tr>
      <w:tr w:rsidR="009262C4" w14:paraId="437C48B1"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8124F14" w14:textId="77777777" w:rsidR="009262C4" w:rsidRDefault="00000000">
            <w:pPr>
              <w:spacing w:before="40" w:after="40" w:line="240" w:lineRule="auto"/>
              <w:jc w:val="left"/>
            </w:pPr>
            <w:r>
              <w:rPr>
                <w:rFonts w:ascii="Palatino Linotype" w:hAnsi="Palatino Linotype" w:cs="Palatino Linotype"/>
                <w:color w:val="000000"/>
                <w:sz w:val="20"/>
                <w:szCs w:val="17"/>
              </w:rPr>
              <w:lastRenderedPageBreak/>
              <w:t>S8</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1708CB4" w14:textId="77777777" w:rsidR="009262C4" w:rsidRDefault="00000000">
            <w:pPr>
              <w:spacing w:before="40" w:after="40" w:line="240" w:lineRule="auto"/>
              <w:jc w:val="left"/>
            </w:pPr>
            <w:r>
              <w:rPr>
                <w:rFonts w:ascii="Palatino Linotype" w:hAnsi="Palatino Linotype" w:cs="Palatino Linotype"/>
                <w:color w:val="000000"/>
                <w:sz w:val="20"/>
                <w:szCs w:val="17"/>
              </w:rPr>
              <w:t>Zhao and Su (2024)</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FFACC32" w14:textId="77777777" w:rsidR="009262C4" w:rsidRDefault="00000000">
            <w:pPr>
              <w:spacing w:before="40" w:after="40" w:line="240" w:lineRule="auto"/>
              <w:jc w:val="left"/>
            </w:pPr>
            <w:r>
              <w:rPr>
                <w:rFonts w:ascii="Palatino Linotype" w:hAnsi="Palatino Linotype" w:cs="Palatino Linotype"/>
                <w:color w:val="000000"/>
                <w:sz w:val="20"/>
                <w:szCs w:val="17"/>
              </w:rPr>
              <w:t>A threshold traceable delegation authorization scheme for data sharing in healthcare</w:t>
            </w:r>
          </w:p>
        </w:tc>
      </w:tr>
      <w:tr w:rsidR="009262C4" w14:paraId="5F6D2AF5"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FD9541" w14:textId="77777777" w:rsidR="009262C4" w:rsidRDefault="00000000">
            <w:pPr>
              <w:spacing w:before="40" w:after="40" w:line="240" w:lineRule="auto"/>
              <w:jc w:val="left"/>
            </w:pPr>
            <w:r>
              <w:rPr>
                <w:rFonts w:ascii="Palatino Linotype" w:hAnsi="Palatino Linotype" w:cs="Palatino Linotype"/>
                <w:color w:val="000000"/>
                <w:sz w:val="20"/>
                <w:szCs w:val="17"/>
              </w:rPr>
              <w:t>S9</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853A81E" w14:textId="77777777" w:rsidR="009262C4" w:rsidRDefault="00000000">
            <w:pPr>
              <w:spacing w:before="40" w:after="40" w:line="240" w:lineRule="auto"/>
              <w:jc w:val="left"/>
            </w:pPr>
            <w:r>
              <w:rPr>
                <w:rFonts w:ascii="Palatino Linotype" w:hAnsi="Palatino Linotype" w:cs="Palatino Linotype"/>
                <w:color w:val="000000"/>
                <w:sz w:val="20"/>
                <w:szCs w:val="17"/>
              </w:rPr>
              <w:t>Li et al. (2026a)</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953D7C9"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Privacy-Preserving Fine-Grained EMR Access Control for IoMT: A Hybrid RBAC-Smart Contract Scheme With Attribute-Based Authorization</w:t>
            </w:r>
          </w:p>
        </w:tc>
      </w:tr>
      <w:tr w:rsidR="009262C4" w14:paraId="11829EE5"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A15EECA" w14:textId="77777777" w:rsidR="009262C4" w:rsidRDefault="00000000">
            <w:pPr>
              <w:spacing w:before="40" w:after="40" w:line="240" w:lineRule="auto"/>
              <w:jc w:val="left"/>
            </w:pPr>
            <w:r>
              <w:rPr>
                <w:rFonts w:ascii="Palatino Linotype" w:hAnsi="Palatino Linotype" w:cs="Palatino Linotype"/>
                <w:color w:val="000000"/>
                <w:sz w:val="20"/>
                <w:szCs w:val="17"/>
              </w:rPr>
              <w:t>S10</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676A9E7" w14:textId="77777777" w:rsidR="009262C4" w:rsidRDefault="00000000">
            <w:pPr>
              <w:spacing w:before="40" w:after="40" w:line="240" w:lineRule="auto"/>
              <w:jc w:val="left"/>
            </w:pPr>
            <w:r>
              <w:rPr>
                <w:rFonts w:ascii="Palatino Linotype" w:hAnsi="Palatino Linotype" w:cs="Palatino Linotype"/>
                <w:color w:val="000000"/>
                <w:sz w:val="20"/>
                <w:szCs w:val="17"/>
              </w:rPr>
              <w:t>Madine et al. (2020)</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B8ED551" w14:textId="77777777" w:rsidR="009262C4" w:rsidRDefault="00000000">
            <w:pPr>
              <w:spacing w:before="40" w:after="40" w:line="240" w:lineRule="auto"/>
              <w:jc w:val="left"/>
            </w:pPr>
            <w:r>
              <w:rPr>
                <w:rFonts w:ascii="Palatino Linotype" w:hAnsi="Palatino Linotype" w:cs="Palatino Linotype"/>
                <w:color w:val="000000"/>
                <w:sz w:val="20"/>
                <w:szCs w:val="17"/>
              </w:rPr>
              <w:t>Fully Decentralized Multi-Party Consent Management for Secure Sharing of Patient Health Records</w:t>
            </w:r>
          </w:p>
        </w:tc>
      </w:tr>
      <w:tr w:rsidR="009262C4" w14:paraId="088BB455"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B167C46" w14:textId="77777777" w:rsidR="009262C4" w:rsidRDefault="00000000">
            <w:pPr>
              <w:spacing w:before="40" w:after="40" w:line="240" w:lineRule="auto"/>
              <w:jc w:val="left"/>
            </w:pPr>
            <w:r>
              <w:rPr>
                <w:rFonts w:ascii="Palatino Linotype" w:hAnsi="Palatino Linotype" w:cs="Palatino Linotype"/>
                <w:color w:val="000000"/>
                <w:sz w:val="20"/>
                <w:szCs w:val="17"/>
              </w:rPr>
              <w:t>S11</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8AA7568" w14:textId="77777777" w:rsidR="009262C4" w:rsidRDefault="00000000">
            <w:pPr>
              <w:spacing w:before="40" w:after="40" w:line="240" w:lineRule="auto"/>
              <w:jc w:val="left"/>
            </w:pPr>
            <w:r>
              <w:rPr>
                <w:rFonts w:ascii="Palatino Linotype" w:hAnsi="Palatino Linotype" w:cs="Palatino Linotype"/>
                <w:color w:val="000000"/>
                <w:sz w:val="20"/>
                <w:szCs w:val="17"/>
              </w:rPr>
              <w:t>Maruthi and Singh (2025)</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6F18898"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Enhancing Security and Privacy of IoMT Data for Unconscious Patient With Blockchain</w:t>
            </w:r>
          </w:p>
        </w:tc>
      </w:tr>
      <w:tr w:rsidR="009262C4" w14:paraId="7C8EF4D3"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291C73D" w14:textId="77777777" w:rsidR="009262C4" w:rsidRDefault="00000000">
            <w:pPr>
              <w:spacing w:before="40" w:after="40" w:line="240" w:lineRule="auto"/>
              <w:jc w:val="left"/>
            </w:pPr>
            <w:r>
              <w:rPr>
                <w:rFonts w:ascii="Palatino Linotype" w:hAnsi="Palatino Linotype" w:cs="Palatino Linotype"/>
                <w:color w:val="000000"/>
                <w:sz w:val="20"/>
                <w:szCs w:val="17"/>
              </w:rPr>
              <w:t>S12</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D956F5C" w14:textId="77777777" w:rsidR="009262C4" w:rsidRDefault="00000000">
            <w:pPr>
              <w:spacing w:before="40" w:after="40" w:line="240" w:lineRule="auto"/>
              <w:jc w:val="left"/>
            </w:pPr>
            <w:r>
              <w:rPr>
                <w:rFonts w:ascii="Palatino Linotype" w:hAnsi="Palatino Linotype" w:cs="Palatino Linotype"/>
                <w:color w:val="000000"/>
                <w:sz w:val="20"/>
                <w:szCs w:val="17"/>
              </w:rPr>
              <w:t>Mei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AC685C5" w14:textId="77777777" w:rsidR="009262C4" w:rsidRDefault="00000000">
            <w:pPr>
              <w:spacing w:before="40" w:after="40" w:line="240" w:lineRule="auto"/>
              <w:jc w:val="left"/>
            </w:pPr>
            <w:r>
              <w:rPr>
                <w:rFonts w:ascii="Palatino Linotype" w:hAnsi="Palatino Linotype" w:cs="Palatino Linotype"/>
                <w:color w:val="000000"/>
                <w:sz w:val="20"/>
                <w:szCs w:val="17"/>
              </w:rPr>
              <w:t>Efficient Dual-Revocation CP-ABE for Secure and Fine-Grained Data Sharing in IoMT</w:t>
            </w:r>
          </w:p>
        </w:tc>
      </w:tr>
      <w:tr w:rsidR="009262C4" w14:paraId="38E4B69C"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533179" w14:textId="77777777" w:rsidR="009262C4" w:rsidRDefault="00000000">
            <w:pPr>
              <w:spacing w:before="40" w:after="40" w:line="240" w:lineRule="auto"/>
              <w:jc w:val="left"/>
            </w:pPr>
            <w:r>
              <w:rPr>
                <w:rFonts w:ascii="Palatino Linotype" w:hAnsi="Palatino Linotype" w:cs="Palatino Linotype"/>
                <w:color w:val="000000"/>
                <w:sz w:val="20"/>
                <w:szCs w:val="17"/>
              </w:rPr>
              <w:t>S13</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99DBB4E" w14:textId="77777777" w:rsidR="009262C4" w:rsidRDefault="00000000">
            <w:pPr>
              <w:spacing w:before="40" w:after="40" w:line="240" w:lineRule="auto"/>
              <w:jc w:val="left"/>
            </w:pPr>
            <w:r>
              <w:rPr>
                <w:rFonts w:ascii="Palatino Linotype" w:hAnsi="Palatino Linotype" w:cs="Palatino Linotype"/>
                <w:color w:val="000000"/>
                <w:sz w:val="20"/>
                <w:szCs w:val="17"/>
              </w:rPr>
              <w:t>Panagoulias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2A75CE1" w14:textId="77777777" w:rsidR="009262C4" w:rsidRDefault="00000000">
            <w:pPr>
              <w:spacing w:before="40" w:after="40" w:line="240" w:lineRule="auto"/>
              <w:jc w:val="left"/>
            </w:pPr>
            <w:r>
              <w:rPr>
                <w:rFonts w:ascii="Palatino Linotype" w:hAnsi="Palatino Linotype" w:cs="Palatino Linotype"/>
                <w:color w:val="000000"/>
                <w:sz w:val="20"/>
                <w:szCs w:val="17"/>
              </w:rPr>
              <w:t>Blockchain-Enabled Trust and Compliance for Clinical AI: Decentralized Governance Without Decentralized Data Storage</w:t>
            </w:r>
          </w:p>
        </w:tc>
      </w:tr>
      <w:tr w:rsidR="009262C4" w14:paraId="31B38100"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93E3F1C" w14:textId="77777777" w:rsidR="009262C4" w:rsidRDefault="00000000">
            <w:pPr>
              <w:spacing w:before="40" w:after="40" w:line="240" w:lineRule="auto"/>
              <w:jc w:val="left"/>
            </w:pPr>
            <w:r>
              <w:rPr>
                <w:rFonts w:ascii="Palatino Linotype" w:hAnsi="Palatino Linotype" w:cs="Palatino Linotype"/>
                <w:color w:val="000000"/>
                <w:sz w:val="20"/>
                <w:szCs w:val="17"/>
              </w:rPr>
              <w:t>S14</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407F71B" w14:textId="77777777" w:rsidR="009262C4" w:rsidRDefault="00000000">
            <w:pPr>
              <w:spacing w:before="40" w:after="40" w:line="240" w:lineRule="auto"/>
              <w:jc w:val="left"/>
            </w:pPr>
            <w:r>
              <w:rPr>
                <w:rFonts w:ascii="Palatino Linotype" w:hAnsi="Palatino Linotype" w:cs="Palatino Linotype"/>
                <w:color w:val="000000"/>
                <w:sz w:val="20"/>
                <w:szCs w:val="17"/>
              </w:rPr>
              <w:t>Phuyal et al. (2026b)</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376196B"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Enabling Cross-Institution Health Data Sharing in Norway: EUDI Wallets, On-Chain Consent, and openEHR↔FHIR Translation</w:t>
            </w:r>
          </w:p>
        </w:tc>
      </w:tr>
      <w:tr w:rsidR="009262C4" w14:paraId="4435B8BB"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E68A8AD" w14:textId="77777777" w:rsidR="009262C4" w:rsidRDefault="00000000">
            <w:pPr>
              <w:spacing w:before="40" w:after="40" w:line="240" w:lineRule="auto"/>
              <w:jc w:val="left"/>
            </w:pPr>
            <w:r>
              <w:rPr>
                <w:rFonts w:ascii="Palatino Linotype" w:hAnsi="Palatino Linotype" w:cs="Palatino Linotype"/>
                <w:color w:val="000000"/>
                <w:sz w:val="20"/>
                <w:szCs w:val="17"/>
              </w:rPr>
              <w:t>S15</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01BE039" w14:textId="77777777" w:rsidR="009262C4" w:rsidRDefault="00000000">
            <w:pPr>
              <w:spacing w:before="40" w:after="40" w:line="240" w:lineRule="auto"/>
              <w:jc w:val="left"/>
            </w:pPr>
            <w:r>
              <w:rPr>
                <w:rFonts w:ascii="Palatino Linotype" w:hAnsi="Palatino Linotype" w:cs="Palatino Linotype"/>
                <w:color w:val="000000"/>
                <w:sz w:val="20"/>
                <w:szCs w:val="17"/>
              </w:rPr>
              <w:t>Phuyal et al. (2026a)</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4EE8F7B" w14:textId="77777777" w:rsidR="009262C4" w:rsidRDefault="00000000">
            <w:pPr>
              <w:spacing w:before="40" w:after="40" w:line="240" w:lineRule="auto"/>
              <w:jc w:val="left"/>
            </w:pPr>
            <w:r>
              <w:rPr>
                <w:rFonts w:ascii="Palatino Linotype" w:hAnsi="Palatino Linotype" w:cs="Palatino Linotype"/>
                <w:color w:val="000000"/>
                <w:sz w:val="20"/>
                <w:szCs w:val="17"/>
              </w:rPr>
              <w:t>A Blockchain-Based Architecture for Dynamic and Auditable Patient Consent in Secondary Use of Health Data</w:t>
            </w:r>
          </w:p>
        </w:tc>
      </w:tr>
      <w:tr w:rsidR="009262C4" w14:paraId="4AAB7C76"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BFCB60C" w14:textId="77777777" w:rsidR="009262C4" w:rsidRDefault="00000000">
            <w:pPr>
              <w:spacing w:before="40" w:after="40" w:line="240" w:lineRule="auto"/>
              <w:jc w:val="left"/>
            </w:pPr>
            <w:r>
              <w:rPr>
                <w:rFonts w:ascii="Palatino Linotype" w:hAnsi="Palatino Linotype" w:cs="Palatino Linotype"/>
                <w:color w:val="000000"/>
                <w:sz w:val="20"/>
                <w:szCs w:val="17"/>
              </w:rPr>
              <w:t>S16</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8E0DB94" w14:textId="77777777" w:rsidR="009262C4" w:rsidRDefault="00000000">
            <w:pPr>
              <w:spacing w:before="40" w:after="40" w:line="240" w:lineRule="auto"/>
              <w:jc w:val="left"/>
            </w:pPr>
            <w:r>
              <w:rPr>
                <w:rFonts w:ascii="Palatino Linotype" w:hAnsi="Palatino Linotype" w:cs="Palatino Linotype"/>
                <w:color w:val="000000"/>
                <w:sz w:val="20"/>
                <w:szCs w:val="17"/>
              </w:rPr>
              <w:t>Punia et al. (2025)</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6064DCF" w14:textId="77777777" w:rsidR="009262C4" w:rsidRDefault="00000000">
            <w:pPr>
              <w:spacing w:before="40" w:after="40" w:line="240" w:lineRule="auto"/>
              <w:jc w:val="left"/>
            </w:pPr>
            <w:r>
              <w:rPr>
                <w:rFonts w:ascii="Palatino Linotype" w:hAnsi="Palatino Linotype" w:cs="Palatino Linotype"/>
                <w:color w:val="000000"/>
                <w:sz w:val="20"/>
                <w:szCs w:val="17"/>
              </w:rPr>
              <w:t>An access control system for cloud-based healthcare systems driven by blockchain</w:t>
            </w:r>
          </w:p>
        </w:tc>
      </w:tr>
      <w:tr w:rsidR="009262C4" w14:paraId="14ECA6AC"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FD29708" w14:textId="77777777" w:rsidR="009262C4" w:rsidRDefault="00000000">
            <w:pPr>
              <w:spacing w:before="40" w:after="40" w:line="240" w:lineRule="auto"/>
              <w:jc w:val="left"/>
            </w:pPr>
            <w:r>
              <w:rPr>
                <w:rFonts w:ascii="Palatino Linotype" w:hAnsi="Palatino Linotype" w:cs="Palatino Linotype"/>
                <w:color w:val="000000"/>
                <w:sz w:val="20"/>
                <w:szCs w:val="17"/>
              </w:rPr>
              <w:t>S17</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CF8D16B" w14:textId="77777777" w:rsidR="009262C4" w:rsidRDefault="00000000">
            <w:pPr>
              <w:spacing w:before="40" w:after="40" w:line="240" w:lineRule="auto"/>
              <w:jc w:val="left"/>
            </w:pPr>
            <w:r>
              <w:rPr>
                <w:rFonts w:ascii="Palatino Linotype" w:hAnsi="Palatino Linotype" w:cs="Palatino Linotype"/>
                <w:color w:val="000000"/>
                <w:sz w:val="20"/>
                <w:szCs w:val="17"/>
              </w:rPr>
              <w:t>Román-Martínez et al. (2023)</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CE4416C" w14:textId="77777777" w:rsidR="009262C4" w:rsidRDefault="00000000">
            <w:pPr>
              <w:spacing w:before="40" w:after="40" w:line="240" w:lineRule="auto"/>
              <w:jc w:val="left"/>
            </w:pPr>
            <w:r>
              <w:rPr>
                <w:rFonts w:ascii="Palatino Linotype" w:hAnsi="Palatino Linotype" w:cs="Palatino Linotype"/>
                <w:color w:val="000000"/>
                <w:sz w:val="20"/>
                <w:szCs w:val="17"/>
              </w:rPr>
              <w:t>Blockchain-Based Service-Oriented Architecture for Consent Management, Access Control, and Auditing</w:t>
            </w:r>
          </w:p>
        </w:tc>
      </w:tr>
      <w:tr w:rsidR="009262C4" w14:paraId="23570959"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5C2E2B5" w14:textId="77777777" w:rsidR="009262C4" w:rsidRDefault="00000000">
            <w:pPr>
              <w:spacing w:before="40" w:after="40" w:line="240" w:lineRule="auto"/>
              <w:jc w:val="left"/>
            </w:pPr>
            <w:r>
              <w:rPr>
                <w:rFonts w:ascii="Palatino Linotype" w:hAnsi="Palatino Linotype" w:cs="Palatino Linotype"/>
                <w:color w:val="000000"/>
                <w:sz w:val="20"/>
                <w:szCs w:val="17"/>
              </w:rPr>
              <w:t>S18</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0802BDF" w14:textId="77777777" w:rsidR="009262C4" w:rsidRDefault="00000000">
            <w:pPr>
              <w:spacing w:before="40" w:after="40" w:line="240" w:lineRule="auto"/>
              <w:jc w:val="left"/>
            </w:pPr>
            <w:r>
              <w:rPr>
                <w:rFonts w:ascii="Palatino Linotype" w:hAnsi="Palatino Linotype" w:cs="Palatino Linotype"/>
                <w:color w:val="000000"/>
                <w:sz w:val="20"/>
                <w:szCs w:val="17"/>
              </w:rPr>
              <w:t>Hema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0612BCB" w14:textId="77777777" w:rsidR="009262C4" w:rsidRDefault="00000000">
            <w:pPr>
              <w:spacing w:before="40" w:after="40" w:line="240" w:lineRule="auto"/>
              <w:jc w:val="left"/>
            </w:pPr>
            <w:r>
              <w:rPr>
                <w:rFonts w:ascii="Palatino Linotype" w:hAnsi="Palatino Linotype" w:cs="Palatino Linotype"/>
                <w:color w:val="000000"/>
                <w:sz w:val="20"/>
                <w:szCs w:val="17"/>
              </w:rPr>
              <w:t>Patient Centric Cryptographic Protection of Cloud Electronic Health Records</w:t>
            </w:r>
          </w:p>
        </w:tc>
      </w:tr>
      <w:tr w:rsidR="009262C4" w14:paraId="3B04220B"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D0E6669" w14:textId="77777777" w:rsidR="009262C4" w:rsidRDefault="00000000">
            <w:pPr>
              <w:spacing w:before="40" w:after="40" w:line="240" w:lineRule="auto"/>
              <w:jc w:val="left"/>
            </w:pPr>
            <w:r>
              <w:rPr>
                <w:rFonts w:ascii="Palatino Linotype" w:hAnsi="Palatino Linotype" w:cs="Palatino Linotype"/>
                <w:color w:val="000000"/>
                <w:sz w:val="20"/>
                <w:szCs w:val="17"/>
              </w:rPr>
              <w:t>S19</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C7BA423" w14:textId="77777777" w:rsidR="009262C4" w:rsidRDefault="00000000">
            <w:pPr>
              <w:spacing w:before="40" w:after="40" w:line="240" w:lineRule="auto"/>
              <w:jc w:val="left"/>
            </w:pPr>
            <w:r>
              <w:rPr>
                <w:rFonts w:ascii="Palatino Linotype" w:hAnsi="Palatino Linotype" w:cs="Palatino Linotype"/>
                <w:color w:val="000000"/>
                <w:sz w:val="20"/>
                <w:szCs w:val="17"/>
              </w:rPr>
              <w:t>SooHoo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C8A2D85"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Development of the authentication and authorization processes for the iAgree portal, a platform for patient-controlled data sharing across health systems</w:t>
            </w:r>
          </w:p>
        </w:tc>
      </w:tr>
      <w:tr w:rsidR="009262C4" w14:paraId="731DDFDF"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89AC502" w14:textId="77777777" w:rsidR="009262C4" w:rsidRDefault="00000000">
            <w:pPr>
              <w:spacing w:before="40" w:after="40" w:line="240" w:lineRule="auto"/>
              <w:jc w:val="left"/>
            </w:pPr>
            <w:r>
              <w:rPr>
                <w:rFonts w:ascii="Palatino Linotype" w:hAnsi="Palatino Linotype" w:cs="Palatino Linotype"/>
                <w:color w:val="000000"/>
                <w:sz w:val="20"/>
                <w:szCs w:val="17"/>
              </w:rPr>
              <w:t>S20</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4849C5E" w14:textId="77777777" w:rsidR="009262C4" w:rsidRDefault="00000000">
            <w:pPr>
              <w:spacing w:before="40" w:after="40" w:line="240" w:lineRule="auto"/>
              <w:jc w:val="left"/>
            </w:pPr>
            <w:r>
              <w:rPr>
                <w:rFonts w:ascii="Palatino Linotype" w:hAnsi="Palatino Linotype" w:cs="Palatino Linotype"/>
                <w:color w:val="000000"/>
                <w:sz w:val="20"/>
                <w:szCs w:val="17"/>
              </w:rPr>
              <w:t>Tan et al. (2024)</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9E5946A" w14:textId="77777777" w:rsidR="009262C4" w:rsidRDefault="00000000">
            <w:pPr>
              <w:spacing w:before="40" w:after="40" w:line="240" w:lineRule="auto"/>
              <w:jc w:val="left"/>
            </w:pPr>
            <w:r>
              <w:rPr>
                <w:rFonts w:ascii="Palatino Linotype" w:hAnsi="Palatino Linotype" w:cs="Palatino Linotype"/>
                <w:color w:val="000000"/>
                <w:sz w:val="20"/>
                <w:szCs w:val="17"/>
              </w:rPr>
              <w:t>Secure and privacy-preserving sharing of personal health records with multi-party pre-authorization verification</w:t>
            </w:r>
          </w:p>
        </w:tc>
      </w:tr>
      <w:tr w:rsidR="009262C4" w14:paraId="2D5A344C"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C2256FC" w14:textId="77777777" w:rsidR="009262C4" w:rsidRDefault="00000000">
            <w:pPr>
              <w:spacing w:before="40" w:after="40" w:line="240" w:lineRule="auto"/>
              <w:jc w:val="left"/>
            </w:pPr>
            <w:r>
              <w:rPr>
                <w:rFonts w:ascii="Palatino Linotype" w:hAnsi="Palatino Linotype" w:cs="Palatino Linotype"/>
                <w:color w:val="000000"/>
                <w:sz w:val="20"/>
                <w:szCs w:val="17"/>
              </w:rPr>
              <w:t>S21</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C6FEDD2" w14:textId="77777777" w:rsidR="009262C4" w:rsidRDefault="00000000">
            <w:pPr>
              <w:spacing w:before="40" w:after="40" w:line="240" w:lineRule="auto"/>
              <w:jc w:val="left"/>
            </w:pPr>
            <w:r>
              <w:rPr>
                <w:rFonts w:ascii="Palatino Linotype" w:hAnsi="Palatino Linotype" w:cs="Palatino Linotype"/>
                <w:color w:val="000000"/>
                <w:sz w:val="20"/>
                <w:szCs w:val="17"/>
              </w:rPr>
              <w:t>Tith et al. (2020)</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426A5B5" w14:textId="77777777" w:rsidR="009262C4" w:rsidRDefault="00000000">
            <w:pPr>
              <w:spacing w:before="40" w:after="40" w:line="240" w:lineRule="auto"/>
              <w:jc w:val="left"/>
            </w:pPr>
            <w:r>
              <w:rPr>
                <w:rFonts w:ascii="Palatino Linotype" w:hAnsi="Palatino Linotype" w:cs="Palatino Linotype"/>
                <w:color w:val="000000"/>
                <w:sz w:val="20"/>
                <w:szCs w:val="17"/>
              </w:rPr>
              <w:t>Patient consent management by a purpose-based consent model for electronic health record based on blockchain technology</w:t>
            </w:r>
          </w:p>
        </w:tc>
      </w:tr>
      <w:tr w:rsidR="009262C4" w14:paraId="7A2F173A"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8950EA3" w14:textId="77777777" w:rsidR="009262C4" w:rsidRDefault="00000000">
            <w:pPr>
              <w:spacing w:before="40" w:after="40" w:line="240" w:lineRule="auto"/>
              <w:jc w:val="left"/>
            </w:pPr>
            <w:r>
              <w:rPr>
                <w:rFonts w:ascii="Palatino Linotype" w:hAnsi="Palatino Linotype" w:cs="Palatino Linotype"/>
                <w:color w:val="000000"/>
                <w:sz w:val="20"/>
                <w:szCs w:val="17"/>
              </w:rPr>
              <w:t>S22</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95F8AEA" w14:textId="77777777" w:rsidR="009262C4" w:rsidRDefault="00000000">
            <w:pPr>
              <w:spacing w:before="40" w:after="40" w:line="240" w:lineRule="auto"/>
              <w:jc w:val="left"/>
            </w:pPr>
            <w:r>
              <w:rPr>
                <w:rFonts w:ascii="Palatino Linotype" w:hAnsi="Palatino Linotype" w:cs="Palatino Linotype"/>
                <w:color w:val="000000"/>
                <w:sz w:val="20"/>
                <w:szCs w:val="17"/>
              </w:rPr>
              <w:t>Tremper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D31F7D2" w14:textId="77777777" w:rsidR="009262C4" w:rsidRDefault="00000000">
            <w:pPr>
              <w:spacing w:before="40" w:after="40" w:line="240" w:lineRule="auto"/>
              <w:jc w:val="left"/>
            </w:pPr>
            <w:r>
              <w:rPr>
                <w:rFonts w:ascii="Palatino Linotype" w:hAnsi="Palatino Linotype" w:cs="Palatino Linotype"/>
                <w:color w:val="000000"/>
                <w:sz w:val="20"/>
                <w:szCs w:val="17"/>
              </w:rPr>
              <w:t>Mainzelliste: Ten years of pseudonymization, record linkage, and informed consent management</w:t>
            </w:r>
          </w:p>
        </w:tc>
      </w:tr>
      <w:tr w:rsidR="009262C4" w14:paraId="5562642B"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B9B0CF2" w14:textId="77777777" w:rsidR="009262C4" w:rsidRDefault="00000000">
            <w:pPr>
              <w:spacing w:before="40" w:after="40" w:line="240" w:lineRule="auto"/>
              <w:jc w:val="left"/>
            </w:pPr>
            <w:r>
              <w:rPr>
                <w:rFonts w:ascii="Palatino Linotype" w:hAnsi="Palatino Linotype" w:cs="Palatino Linotype"/>
                <w:color w:val="000000"/>
                <w:sz w:val="20"/>
                <w:szCs w:val="17"/>
              </w:rPr>
              <w:t>S23</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64C89F1" w14:textId="77777777" w:rsidR="009262C4" w:rsidRDefault="00000000">
            <w:pPr>
              <w:spacing w:before="40" w:after="40" w:line="240" w:lineRule="auto"/>
              <w:jc w:val="left"/>
            </w:pPr>
            <w:r>
              <w:rPr>
                <w:rFonts w:ascii="Palatino Linotype" w:hAnsi="Palatino Linotype" w:cs="Palatino Linotype"/>
                <w:color w:val="000000"/>
                <w:sz w:val="20"/>
                <w:szCs w:val="17"/>
              </w:rPr>
              <w:t>Tseng et al. (2025)</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52EDAA9" w14:textId="77777777" w:rsidR="009262C4" w:rsidRDefault="00000000">
            <w:pPr>
              <w:spacing w:before="40" w:after="40" w:line="240" w:lineRule="auto"/>
              <w:jc w:val="left"/>
            </w:pPr>
            <w:r>
              <w:rPr>
                <w:rFonts w:ascii="Palatino Linotype" w:hAnsi="Palatino Linotype" w:cs="Palatino Linotype"/>
                <w:color w:val="000000"/>
                <w:sz w:val="20"/>
                <w:szCs w:val="17"/>
              </w:rPr>
              <w:t>EMR-Chain: Decentralized Electronic Medical Record Exchange System</w:t>
            </w:r>
          </w:p>
        </w:tc>
      </w:tr>
      <w:tr w:rsidR="009262C4" w14:paraId="025A53E1"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AA9B3D7" w14:textId="77777777" w:rsidR="009262C4" w:rsidRDefault="00000000">
            <w:pPr>
              <w:spacing w:before="40" w:after="40" w:line="240" w:lineRule="auto"/>
              <w:jc w:val="left"/>
            </w:pPr>
            <w:r>
              <w:rPr>
                <w:rFonts w:ascii="Palatino Linotype" w:hAnsi="Palatino Linotype" w:cs="Palatino Linotype"/>
                <w:color w:val="000000"/>
                <w:sz w:val="20"/>
                <w:szCs w:val="17"/>
              </w:rPr>
              <w:t>S24</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B65205D" w14:textId="77777777" w:rsidR="009262C4" w:rsidRDefault="00000000">
            <w:pPr>
              <w:spacing w:before="40" w:after="40" w:line="240" w:lineRule="auto"/>
              <w:jc w:val="left"/>
            </w:pPr>
            <w:r>
              <w:rPr>
                <w:rFonts w:ascii="Palatino Linotype" w:hAnsi="Palatino Linotype" w:cs="Palatino Linotype"/>
                <w:color w:val="000000"/>
                <w:sz w:val="20"/>
                <w:szCs w:val="17"/>
              </w:rPr>
              <w:t>Wu et al. (2022)</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768C00E"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Apply Trust Computing and Privacy Preserving Smart Contracts to Manage, Share, and Analyze Multi-site Clinical Trial Data</w:t>
            </w:r>
          </w:p>
        </w:tc>
      </w:tr>
      <w:tr w:rsidR="009262C4" w14:paraId="75EC961A"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vAlign w:val="top"/>
          </w:tcPr>
          <w:p w14:paraId="5E5084A7" w14:textId="77777777" w:rsidR="009262C4" w:rsidRDefault="00000000">
            <w:pPr>
              <w:spacing w:before="40" w:after="40" w:line="240" w:lineRule="auto"/>
              <w:jc w:val="left"/>
            </w:pPr>
            <w:r>
              <w:rPr>
                <w:rFonts w:ascii="Palatino Linotype" w:hAnsi="Palatino Linotype" w:cs="Palatino Linotype"/>
                <w:color w:val="000000"/>
                <w:sz w:val="20"/>
                <w:szCs w:val="17"/>
              </w:rPr>
              <w:t>S25</w:t>
            </w:r>
          </w:p>
        </w:tc>
        <w:tc>
          <w:tcPr>
            <w:tcW w:w="2268" w:type="dxa"/>
            <w:tcBorders>
              <w:top w:val="nil"/>
              <w:left w:val="nil"/>
              <w:bottom w:val="nil"/>
              <w:right w:val="nil"/>
              <w:insideH w:val="nil"/>
              <w:insideV w:val="nil"/>
            </w:tcBorders>
            <w:tcMar>
              <w:top w:w="40" w:type="dxa"/>
              <w:left w:w="80" w:type="dxa"/>
              <w:bottom w:w="40" w:type="dxa"/>
              <w:right w:w="80" w:type="dxa"/>
            </w:tcMar>
            <w:vAlign w:val="top"/>
          </w:tcPr>
          <w:p w14:paraId="51FDD110" w14:textId="77777777" w:rsidR="009262C4" w:rsidRDefault="00000000">
            <w:pPr>
              <w:spacing w:before="40" w:after="40" w:line="240" w:lineRule="auto"/>
              <w:jc w:val="left"/>
            </w:pPr>
            <w:r>
              <w:rPr>
                <w:rFonts w:ascii="Palatino Linotype" w:hAnsi="Palatino Linotype" w:cs="Palatino Linotype"/>
                <w:color w:val="000000"/>
                <w:sz w:val="20"/>
                <w:szCs w:val="17"/>
              </w:rPr>
              <w:t>Wu and Zhang (2025)</w:t>
            </w:r>
          </w:p>
        </w:tc>
        <w:tc>
          <w:tcPr>
            <w:tcW w:w="5499" w:type="dxa"/>
            <w:tcBorders>
              <w:top w:val="nil"/>
              <w:left w:val="nil"/>
              <w:bottom w:val="nil"/>
              <w:right w:val="nil"/>
              <w:insideH w:val="nil"/>
              <w:insideV w:val="nil"/>
            </w:tcBorders>
            <w:tcMar>
              <w:top w:w="40" w:type="dxa"/>
              <w:left w:w="80" w:type="dxa"/>
              <w:bottom w:w="40" w:type="dxa"/>
              <w:right w:w="80" w:type="dxa"/>
            </w:tcMar>
            <w:vAlign w:val="top"/>
          </w:tcPr>
          <w:p w14:paraId="65CDD245" w14:textId="77777777" w:rsidR="009262C4" w:rsidRDefault="00000000">
            <w:pPr>
              <w:spacing w:before="40" w:after="40" w:line="240" w:lineRule="auto"/>
              <w:jc w:val="left"/>
            </w:pPr>
            <w:r>
              <w:rPr>
                <w:rFonts w:ascii="Palatino Linotype" w:hAnsi="Palatino Linotype" w:cs="Palatino Linotype"/>
                <w:color w:val="000000"/>
                <w:sz w:val="20"/>
                <w:szCs w:val="17"/>
              </w:rPr>
              <w:t>HealthDID: An efficient and authorizable multi-party privacy-preserving EMR sharing system based on DID</w:t>
            </w:r>
          </w:p>
        </w:tc>
      </w:tr>
    </w:tbl>
    <w:p w14:paraId="104769F2" w14:textId="77777777" w:rsidR="009262C4" w:rsidRDefault="009262C4">
      <w:pPr>
        <w:spacing w:after="160"/>
      </w:pPr>
    </w:p>
    <w:p>
      <w:pPr>
        <w:pStyle w:val="2"/>
        <w:keepNext/>
      </w:pPr>
      <w:r>
        <w:t>2.4 Summary of Papers Shortlisted in the SLR</w:t>
      </w:r>
    </w:p>
    <w:p w14:paraId="186AF6E6" w14:textId="77777777" w:rsidR="009262C4" w:rsidRDefault="00000000">
      <w:pPr>
        <w:spacing w:after="110" w:line="264" w:lineRule="auto"/>
        <w:jc w:val="both"/>
      </w:pPr>
      <w:r>
        <w:t xml:space="preserve">The extracted data were organised into thematic categories corresponding to the research questions. Each included study was assigned to one stream, normally the one on which it is coded most strongly. S6 (Hagström et al. 2024) is placed in the multi-party stream for its guardian access gate, although it is not graded Yes on Req 3. </w:t>
      </w:r>
    </w:p>
    <w:p>
      <w:pPr>
        <w:pStyle w:val="3"/>
        <w:keepNext/>
      </w:pPr>
      <w:r>
        <w:t>2.4.1 Consent representation and blockchain-based consent governance (Req 1)</w:t>
      </w:r>
    </w:p>
    <w:p w14:paraId="186AF6E6" w14:textId="77777777" w:rsidR="009262C4" w:rsidRDefault="00000000">
      <w:pPr>
        <w:spacing w:after="110" w:line="264" w:lineRule="auto"/>
        <w:jc w:val="both"/>
      </w:pPr>
      <w:r>
        <w:t xml:space="preserve">Two of the three studies of this stream are deployed platforms that do not fully satisfy Req 1. SooHoo et al. (2026) describe the iAgree portal across three United States health systems with a permissioned Ethereum audit contract, but consent enforcement is outside its scope. Tremper et al. (2026) report ten years of the Mainzelliste service with FHIR consent directives, but specify no check semantics and no demonstrated enforcement of withdrawal. The two platforms are single-party systems. Al Amin et al. (2023) model informed consent as a patient-driven policy object with hash integrity, but specify no purpose condition and report no measured results. The supporting references represent consent as a permission indicating whether a particular party is allowed to perform a specified operation (Akter &amp; Sanam 2025; Prashanth et al. 2024), as conditions fixed at encryption time (Zhang, Kan &amp; Huang 2022), or as a key issued by the patient for each request (Teeda &amp; Subba Rao 2026). The existence of a consent record does not necessarily explain whether the conditions required for a subsequent access request are still satisfied. </w:t>
      </w:r>
      <w:r>
        <w:rPr>
          <w:color w:val="FF0000"/>
        </w:rPr>
        <w:t>Table 2.4 summarises the description, the issues and limitations, and the requirement grades of the studies in this stream.</w:t>
      </w:r>
    </w:p>
    <w:p>
      <w:pPr>
        <w:keepNext/>
        <w:spacing w:before="160" w:after="160"/>
        <w:jc w:val="center"/>
      </w:pPr>
      <w:r>
        <w:rPr>
          <w:color w:val="FF0000"/>
          <w:sz w:val="20"/>
        </w:rPr>
        <w:t>Table 2.4: Descriptions, issues and limitations of the studies on consent representation</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S3 Al Amin et al. (2023)</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Informed consent is modelled as a patient-driven policy object with hash integrity, which an authorisation module conjoins with other policies inside a smart contract.</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Purpose is not a condition, the time and expiry conditions are specified but not enforced, the only multi-party element is a 2-of-2 co-signature at registration, and the Goerli evaluation reports no measured results.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S19 SooHoo et al. (2026)</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The authentication and authorisation processes of the iAgree portal across three United States health systems, using OAuth2, SMART on FHIR, and one-time passwords, with a permissioned Ethereum audit contract.</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Consent enforcement is outside its scope, a single patient decides, identity and authority are not separated, revocation is claimed but not tested, and there are no formal methods.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S22 Tremper et al. (2026)</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Ten years of the Mainzelliste production service for pseudonymisation, record linkage, and informed consent management, with purpose-scoped FHIR consent directives and automated consent checks.</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The consent checks have no specified semantics and no demonstrated enforcement of withdrawal, its multi-party computation parties are linkage units rather than authorisers, and no consent decision is verified.</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r>
    </w:tbl>
    <w:p>
      <w:pPr/>
      <w:r>
        <w:rPr>
          <w:color w:val="FF0000"/>
        </w:rPr>
      </w:r>
    </w:p>
    <w:p>
      <w:pPr>
        <w:pStyle w:val="3"/>
        <w:keepNext/>
      </w:pPr>
      <w:r>
        <w:t>2.4.2 Decentralised identity and authority trust (Req 2)</w:t>
      </w:r>
    </w:p>
    <w:p w14:paraId="5A8E98C4" w14:textId="77777777" w:rsidR="009262C4" w:rsidRDefault="00000000">
      <w:pPr>
        <w:spacing w:after="110" w:line="264" w:lineRule="auto"/>
        <w:jc w:val="both"/>
      </w:pPr>
      <w:r/>
      <w:r>
        <w:rPr>
          <w:color w:val="FF0000"/>
        </w:rPr>
        <w:t>Req 2, which needs both identity and authority, is graded Yes in only 7 of the 25 studies in Table 2.10.</w:t>
      </w:r>
      <w:r>
        <w:t xml:space="preserve"> Phuyal et al. (2026b)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which is among the strongest Req 2 evidence in the corpus. However, a single patient grants consent, the stored expiry is not checked, there is no threat model, and the companion architecture (Phuyal et al. 2026a) is design-only. Tseng et al. (2025)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pPr/>
      <w:r>
        <w:rPr>
          <w:color w:val="FF0000"/>
        </w:rPr>
        <w:t>Table 2.5 summarises the description, the issues and limitations, and the requirement grades of the studies in this stream.</w:t>
      </w:r>
    </w:p>
    <w:p>
      <w:pPr>
        <w:keepNext/>
        <w:spacing w:before="160" w:after="160"/>
        <w:jc w:val="center"/>
      </w:pPr>
      <w:r>
        <w:rPr>
          <w:color w:val="FF0000"/>
          <w:sz w:val="20"/>
        </w:rPr>
        <w:t>Table 2.5: Descriptions, issues and limitations of the studies on identity and authority</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S14 Phuyal et al. (2026b)</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A single patient grants consent, the stored expiry is not checked, purpose is handled only at the interface, and there is no threat model.</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S15 Phuyal et al. (2026a)</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A design-science architecture for dynamic and auditable patient consent in secondary use, using FHIR Consent with purpose, scope, actors, and validity period, anchored on chain, with conceptual VC validation at a gateway.</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The architecture is design-only and is neither implemented nor evaluated, and delegation through VCs is not joint multi-party approval.</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S23 Tseng et al. (2025)</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EMR-Chain, a decentralised electronic medical record exchange that verifies authority-issued roles separately from X.509 identities and enforces token expiry at the validator.</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It has no W3C identifiers, purpose is logged but never evaluated, scope is hospital-level only, the patient and requester signatures authenticate the request rather than add an independent authoriser, and revocation does not invalidate issued tokens.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r>
    </w:tbl>
    <w:p>
      <w:pPr/>
      <w:r>
        <w:rPr>
          <w:color w:val="FF0000"/>
        </w:rPr>
      </w:r>
    </w:p>
    <w:p>
      <w:pPr>
        <w:pStyle w:val="3"/>
        <w:keepNext/>
      </w:pPr>
      <w:r>
        <w:t>2.4.3 Multi-party authorisation and collaborative consent (Req 3)</w:t>
      </w:r>
    </w:p>
    <w:p w14:paraId="2B876E6C" w14:textId="77777777" w:rsidR="009262C4" w:rsidRDefault="00000000">
      <w:pPr>
        <w:spacing w:after="110" w:line="264" w:lineRule="auto"/>
        <w:jc w:val="both"/>
      </w:pPr>
      <w:r/>
      <w:r>
        <w:rPr>
          <w:color w:val="FF0000"/>
        </w:rPr>
        <w:t>Req 3 is graded Yes in 6 of the 25 studies and No in 19, across six mechanism classes.</w:t>
      </w:r>
      <w:r>
        <w:t xml:space="preserve"> Madine et al. (2020) require a regulator and a guardian threshold on the incapacitated path, but a single patient key suffices on the normal path. Wu et al. (2022) apply a (t, n) investigator threshold to record admission and revocation, and Abbasi et al. (2026) use a Shamir (5, 3) threshold for key custody. Punia et al. (2025) conjoin an M-of-N multi-signature with an attribute and role policy, but a single emergency officer can bypass the threshold. Tan et al. (2024) use patient-appointed verifiers as a contingency, (Ekholm et al. 2025) reports guardian co-consent at registration time, and (Hagström et al. 2024) gates guardian access by the minor's consent and a clinician's capacity assessment. No reviewed study evaluates a threshold predicate over a patient-designated guardian set on every request, and none does so together with the policy, temporal, and lifecycle conditions. Multi-party verification of identity should not be considered equivalent to multi-party authorisation of data access.</w:t>
      </w:r>
    </w:p>
    <w:p>
      <w:pPr/>
      <w:r>
        <w:rPr>
          <w:color w:val="FF0000"/>
        </w:rPr>
        <w:t>Table 2.6 summarises the description, the issues and limitations, and the requirement grades of the studies in this stream.</w:t>
      </w:r>
    </w:p>
    <w:p>
      <w:pPr>
        <w:keepNext/>
        <w:spacing w:before="160" w:after="160"/>
        <w:jc w:val="center"/>
      </w:pPr>
      <w:r>
        <w:rPr>
          <w:color w:val="FF0000"/>
          <w:sz w:val="20"/>
        </w:rPr>
        <w:t>Table 2.6: Descriptions, issues and limitations of the studies on multi-party authorisation</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S1 Abbasi et al. (2026)</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Decentralised EHR management in which a Shamir (5, 3) threshold reconstructs a symmetric key, and automated oracles release their shares according to the requester's on-chain role.</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The threshold is over key custodians rather than authorisers, the patient share is not required, purpose is not evaluated, and no authorisation decision is verified despite extensive performance measurement.</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S4 Ekholm et al. (2025)</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A deployed electronic informed consent platform for rare disease genomics, in which a minor's consent is valid only when all legal guardians sign, and guardianship is verified against the Swedish Population Register.</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The guardian co-consent applies at registration rather than at each access request, the platform is centralised and described with little technical detail, and there is no temporal, purpose, or formal assurance condition.</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S6 Hagström et al. (2024)</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A comparative case study of national patient portals, in which a clinician's capacity assessment and the minor's consent jointly gate guardian access, with register-verified guardianship and enforced age windows.</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The mechanism is centralised and applied at documentation time, and the guardian is the party whose proxy access is gated rather than a co-authoriser of the patient's access decision.</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S10 Madine et al. (2020)</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Fully decentralised multi-party consent management in which, on the incapacitated path, approvals from a regulator and a guardian threshold are required on one access request, and stale attestations stop counting.</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On the normal path a single patient key authorises, so multi-party approval is a contingency. Purpose and data-category policy are absent, revocation after delivery is not possible, and there is no formal assurance.</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S16 Punia et al. (2025)</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MedXBlock, a blockchain-driven access control system for cloud healthcare that combines an institutional M-of-N multi-signature with a conjunctive role and attribute policy evaluated with deny-by-default.</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The signers are doctors and administrators rather than patient-side parties, the threshold sits outside the decision predicate and a single emergency officer can bypass it, there is no purpose term, and no authorisation decision is verified.</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S20 Tan et al. (2024)</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Sharing of personal health records with multi-party pre-authorisation verification, in which a (t, n) threshold of patient-appointed verifiers each validate the grant, its expiry, and the revocation list before releasing a key share.</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The joint approval is a pre-delegated contingency for an unconscious patient rather than a standing condition, purpose and data scope are not evaluated, and the gate is not evaluated empirically as an authorisation decision.</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S24 Wu et al. (2022)</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Trust computing and privacy-preserving smart contracts for multi-site clinical trial data, in which a (t, n) investigator threshold signature governs trial admission to the ledger and consent revocation.</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The consent grant is unilateral, the voters are institution-side investigators, the vote reduces to a hash-integrity check, there is no policy engine, and there is no formal assurance.</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r>
    </w:tbl>
    <w:p>
      <w:pPr/>
      <w:r>
        <w:rPr>
          <w:color w:val="FF0000"/>
        </w:rPr>
      </w:r>
    </w:p>
    <w:p>
      <w:pPr>
        <w:pStyle w:val="3"/>
        <w:keepNext/>
      </w:pPr>
      <w:r>
        <w:t>2.4.4 Policy- and context-aware access control (Req 4)</w:t>
      </w:r>
    </w:p>
    <w:p w14:paraId="05A3E933" w14:textId="77777777" w:rsidR="009262C4" w:rsidRDefault="00000000">
      <w:pPr>
        <w:spacing w:after="110" w:line="264" w:lineRule="auto"/>
        <w:jc w:val="both"/>
      </w:pPr>
      <w:r>
        <w:t xml:space="preserve">Tith et al. (2020) match a purpose tree in chaincode, and Jaiman and Urovi (2020) match ontology terms against the patient's consent. Albalwy et al. (2021) evaluate a hashed policy tree of data type, role, and purpose, and Román-Martínez et al. (2023) evaluate the FHIR purpose-of-use through XACML. </w:t>
      </w:r>
      <w:r>
        <w:rPr>
          <w:color w:val="FF0000"/>
        </w:rPr>
        <w:t>Req 4 is graded Yes in 10 studies and No in 15 in Table 2.10.</w:t>
      </w:r>
      <w:r>
        <w:t xml:space="preserve"> However, purpose-of-use enters the decision in only six studies (Eneh et al. 2026; Panagoulias et al. 2026), </w:t>
      </w:r>
      <w:r>
        <w:rPr>
          <w:color w:val="FF0000"/>
        </w:rPr>
        <w:t>and every one is graded No on Req 3</w:t>
      </w:r>
      <w:r>
        <w:t>. Consequently, purpose and data-scope constraints are not carried by the consent object C and evaluated together with the identity, authority, and multi-party conditions.</w:t>
      </w:r>
    </w:p>
    <w:p>
      <w:pPr/>
      <w:r>
        <w:rPr>
          <w:color w:val="FF0000"/>
        </w:rPr>
        <w:t>Table 2.7 summarises the description, the issues and limitations, and the requirement grades of the studies in this stream.</w:t>
      </w:r>
    </w:p>
    <w:p>
      <w:pPr>
        <w:keepNext/>
        <w:spacing w:before="160" w:after="160"/>
        <w:jc w:val="center"/>
      </w:pPr>
      <w:r>
        <w:rPr>
          <w:color w:val="FF0000"/>
          <w:sz w:val="20"/>
        </w:rPr>
        <w:t>Table 2.7: Descriptions, issues and limitations of the studies on policy and context</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S2 Albalwy et al. (2021)</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A blockchain-based dynamic consent proof of concept for clinical genomic data, in which a hashed policy tree of data type, role, and purpose is evaluated by the smart contract.</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A single patient sets and cancels consent, the requester's role and credentials are not verified, time is applied only at the delivery layer, and there is no formal assurance.</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S7 Jaiman and Urovi (2020)</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A consent model in which ontology terms requested by a data requester are matched against the patient's consent inside the smart contract, with denial tested across requester profiles.</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Security assurance is explicitly outside its scope, and there is no multi-party approval.</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S17 Román-Martínez et al. (2023)</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A blockchain-based service-oriented architecture on Hyperledger Fabric for consent management, access control, and auditing, in which FHIR purpose-of-use limits are evaluated per resource through XACML.</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There is no withdrawal or expiry path, and the experiments validate only the blockchain component.</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S21 Tith et al. (2020)</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A purpose-based consent model on Hyperledger Fabric, in which a consent tuple of role, doctor identifiers, action, and intended purpose is matched against a purpose tree in chaincode at request time.</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Consent is given by a single patient, the tuple has no temporal element, the effect of withdrawal is not tested, identity uses Fabric certificates without DID or VC, and there is no formal verification.</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r>
    </w:tbl>
    <w:p>
      <w:pPr/>
      <w:r>
        <w:rPr>
          <w:color w:val="FF0000"/>
        </w:rPr>
      </w:r>
    </w:p>
    <w:p>
      <w:pPr>
        <w:pStyle w:val="3"/>
        <w:keepNext/>
      </w:pPr>
      <w:r>
        <w:t>2.4.5 Temporal validity and consent lifecycle (Req 5)</w:t>
      </w:r>
    </w:p>
    <w:p w14:paraId="7C35F356" w14:textId="77777777" w:rsidR="009262C4" w:rsidRDefault="00000000">
      <w:pPr>
        <w:spacing w:after="110" w:line="264" w:lineRule="auto"/>
        <w:jc w:val="both"/>
      </w:pPr>
      <w:r>
        <w:t xml:space="preserve">A consent that is valid at one point in time cannot necessarily be assumed to remain valid indefinitely. Eneh et al. (2026) present EdgeConsent, which enforces temporal validity inside the decision predicate, although its lifecycle is only an active flag. Temporal validity must also be evaluated together with the lifecycle state of the consent. Hema et al. (2026) bind the expiry into key derivation, and Panagoulias et al. (2026) enforce revocation at decision time across 43,500 simulated attempts in a single-node ledger. </w:t>
      </w:r>
      <w:r>
        <w:rPr>
          <w:color w:val="FF0000"/>
        </w:rPr>
        <w:t xml:space="preserve">Req 5 is graded Yes in 8 studies, </w:t>
      </w:r>
      <w:r>
        <w:rPr>
          <w:color w:val="FF0000"/>
        </w:rPr>
        <w:t>a post-revocation denial is demonstrated only by Phuyal et al. (2026b), which enforces revocation but not expiry, so it does not fully satisfy Req 5,</w:t>
      </w:r>
      <w:r>
        <w:rPr>
          <w:color w:val="FF0000"/>
        </w:rPr>
        <w:t xml:space="preserve"> and the four stream-5 systems that enforce time inside the decision are all single-party, with Li et al. (2026a) doing so through the credential rather than the consent.</w:t>
      </w:r>
    </w:p>
    <w:p>
      <w:pPr/>
      <w:r>
        <w:rPr>
          <w:color w:val="FF0000"/>
        </w:rPr>
        <w:t>Table 2.8 summarises the description, the issues and limitations, and the requirement grades of the studies in this stream.</w:t>
      </w:r>
    </w:p>
    <w:p>
      <w:pPr>
        <w:keepNext/>
        <w:spacing w:before="160" w:after="160"/>
        <w:jc w:val="center"/>
      </w:pPr>
      <w:r>
        <w:rPr>
          <w:color w:val="FF0000"/>
          <w:sz w:val="20"/>
        </w:rPr>
        <w:t>Table 2.8: Descriptions, issues and limitations of the studies on temporal validity and lifecycle</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S5 Eneh et al. (2026)</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EdgeConsent, a demonstration of on-chain attribute-based access control in which consent rules with purpose, data category, and notBefore and notAfter bounds are evaluated at decision time.</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A two-page demonstration with weak identity and authority trust and no DID or VC, no multi-party approval, a lifecycle that is only an active flag, and preliminary local evaluation without formal assurance.</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S9 Li et al. (2026a)</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A hybrid RBAC and smart contract scheme with attribute-based authentication for fine-grained EMR access in IoMT, which enforces credential expiry at every sharing interaction.</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Time is enforced in the decision through the credential rather than the consent, which is why Req 5 is graded Yes, but the consent itself carries no enforced validity window, and there is no multi-party approval.</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S13 Panagoulias et al. (2026)</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Blockchain-enabled trust and compliance for clinical AI, in which an Allow predicate over time, revocation, role, and purpose is evaluated before execution and denials are recorded, verified across simulated attempts with zero consent drift.</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A simulated single-node prototype with set-membership policy and aggregate deny attribution, without multi-party approval or identity depth, and the authors declare no formal assurance.</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S18 Hema et al. (2026)</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Patient-centric cryptographic protection of cloud EHRs, in which a signed consent token, role, and expiry are inputs to key derivation, so that access becomes a cryptographic precondition and role-scoped keys separate authority from identity.</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Consent is issued from a single patient key, identity relies on a cloud authentication service without DID or VC, and assurance is limited to an adversary model.</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r>
    </w:tbl>
    <w:p>
      <w:pPr/>
      <w:r>
        <w:rPr>
          <w:color w:val="FF0000"/>
        </w:rPr>
      </w:r>
    </w:p>
    <w:p>
      <w:pPr>
        <w:pStyle w:val="3"/>
        <w:keepNext/>
      </w:pPr>
      <w:r>
        <w:t>2.4.6 Formal security assurance and empirical validation (Req 6)</w:t>
      </w:r>
    </w:p>
    <w:p w14:paraId="3CC511B8" w14:textId="77777777" w:rsidR="009262C4" w:rsidRDefault="00000000">
      <w:pPr>
        <w:spacing w:after="110" w:line="264" w:lineRule="auto"/>
        <w:jc w:val="both"/>
      </w:pPr>
      <w:r>
        <w:t xml:space="preserve">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(2025) present HealthDID, with three game-based definitions and three theorems proved by reduction, although the proofs cover only the identity and authority fragment. Zhao and Su (2024) and Maruthi and Singh (2025) prove threshold gates in isolation, and Mei et al. (2026) prove a static encryption predicate. </w:t>
      </w:r>
      <w:r>
        <w:rPr>
          <w:color w:val="FF0000"/>
        </w:rPr>
        <w:t>Req 6 is graded Yes in 9 of the 25 studies: formal assurance is provided by only 4 of them, and the other 5 rest on empirical validation.</w:t>
      </w:r>
      <w:r>
        <w:t xml:space="preserve"> An inverse relation between predicate breadth and assurance strength was observed. Few studies execute adversarial scenarios that examine whether security controls can resist deliberate attempts to circumvent the authorisation process.</w:t>
      </w:r>
    </w:p>
    <w:p>
      <w:pPr/>
      <w:r>
        <w:rPr>
          <w:color w:val="FF0000"/>
        </w:rPr>
        <w:t>Table 2.9 summarises the description, the issues and limitations, and the requirement grades of the studies in this stream.</w:t>
      </w:r>
    </w:p>
    <w:p>
      <w:pPr>
        <w:keepNext/>
        <w:spacing w:before="160" w:after="160"/>
        <w:jc w:val="center"/>
      </w:pPr>
      <w:r>
        <w:rPr>
          <w:color w:val="FF0000"/>
          <w:sz w:val="20"/>
        </w:rPr>
        <w:t>Table 2.9: Descriptions, issues and limitations of the studies on security assurance</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color w:val="FF0000"/>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S8 Zhao and Su (2024)</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A threshold traceable delegation scheme in which the patient delegates a threshold of l already-authorised users, who must jointly authorise an out-of-policy requester, with unforgeability argued under DBDH.</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The authorisers are consumer-side delegates rather than patient-side stakeholders, the patient's own decision is unilateral, a trusted authority escrows keys, and there is no temporal, lifecycle, or purpose condition.</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S11 Maruthi and Singh (2025)</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Protection of IoMT data for unconscious patients, in which t-of-n patient-designated relatives release access through threshold proxy re-encryption, and the hospital and relatives are authenticated on chain.</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Policy and temporal conditions are not evaluated, and the proofs cover the threshold gate in isolation rather than the complete decision.</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S12 Mei et al. (2026)</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An efficient dual-revocation CP-ABE scheme for IoMT that terminates access immediately through ciphertext update, motivated by consent withdrawal, with a security reduction under q-BDHE.</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The proof covers a static encryption predicate, revocation operates at scheme level rather than on a consent object, and there is no multi-party approval.</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S25 Wu and Zhang (2025)</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HealthDID, a DID-based privacy-preserving EMR sharing system with three game-based definitions and three theorems proved by reduction, in which a zero-knowledge proof binds the authorisation to a specific requester.</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The proofs cover only the identity and authority fragment, multi-party refers to the privacy requirements of several stakeholders rather than joint approval, and there are no policy, temporal, or lifecycle conditions.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color w:val="FF0000"/>
                <w:sz w:val="17"/>
              </w:rPr>
              <w:t>Yes</w:t>
            </w:r>
          </w:p>
        </w:tc>
      </w:tr>
    </w:tbl>
    <w:p>
      <w:pPr/>
      <w:r>
        <w:rPr>
          <w:color w:val="FF0000"/>
        </w:rPr>
      </w:r>
    </w:p>
    <w:p>
      <w:pPr>
        <w:pStyle w:val="3"/>
        <w:keepNext/>
      </w:pPr>
      <w:r>
        <w:t>2.4.7 Research Gaps in the Existing Studies from the Requirement Perspective</w:t>
      </w:r>
    </w:p>
    <w:p>
      <w:pPr/>
      <w:r>
        <w:t>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r>
        <w:t>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r>
        <w:rPr>
          <w:color w:val="FF0000"/>
        </w:rPr>
        <w:t>, or that the consent is still valid in time and lifecycle state at the moment of the request</w:t>
      </w:r>
      <w:r>
        <w:t>.</w:t>
      </w:r>
    </w:p>
    <w:p>
      <w:pPr/>
      <w:r>
        <w:t>This distinction is important because recording consent and enforcing trustworthy authorisation 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r>
        <w:t>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w:t>
      </w:r>
      <w:r>
        <w:rPr>
          <w:color w:val="FF0000"/>
        </w:rPr>
        <w:t>, and the temporal validity and lifecycle state of the consent at the time of the request</w:t>
      </w:r>
      <w:r>
        <w:t>. The research therefore conceptualises trust not as a static attribute possessed by a particular entity or technology, but as an emergent property of a verifiable authorisation process.</w:t>
      </w:r>
    </w:p>
    <w:p>
      <w:pPr/>
      <w:r>
        <w:t>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r>
        <w:t>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r>
        <w:rPr>
          <w:color w:val="FF0000"/>
        </w:rPr>
        <w:t>, and ensuring that the authorisation remains valid only within the time interval and lifecycle state of the consent</w:t>
      </w:r>
      <w:r>
        <w:t>. 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14:paraId="513A3425" w14:textId="77777777" w:rsidR="009262C4" w:rsidRDefault="00000000">
      <w:pPr>
        <w:spacing w:after="110" w:line="264" w:lineRule="auto"/>
        <w:jc w:val="both"/>
      </w:pPr>
      <w:r>
        <w:t xml:space="preserve">Existing approaches solve single dimensions of trustworthy data sharing, each at a different layer of the security problem. No individual mechanism can independently establish that a healthcare data-access decision is trustworthy. The systems that enforce purpose and time are authored by a single patient and lack a formal argument. The multi-party systems carry no purpose condition, whereas the proved schemes either omit policy, temporal validity, and lifecycle or, as in (Mei et al. 2026), prove only a static encryption predicate. </w:t>
      </w:r>
      <w:r>
        <w:rPr>
          <w:color w:val="FF0000"/>
        </w:rPr>
        <w:t>Table 2.10 summarises</w:t>
      </w:r>
      <w:r>
        <w:t xml:space="preserve"> the 25 studies against the six requirements, where Yes denotes that the requirement is fully satisfied and No that it is not fully satisfied. </w:t>
      </w:r>
      <w:r>
        <w:rPr>
          <w:color w:val="FF0000"/>
        </w:rPr>
        <w:t>In the Req 6 column each study takes the higher of its formal assurance grade and its empirical validation grade.</w:t>
      </w:r>
    </w:p>
    <w:p w14:paraId="40EF47DB" w14:textId="77777777" w:rsidR="009262C4" w:rsidRDefault="00000000">
      <w:pPr>
        <w:keepNext/>
        <w:spacing w:before="160" w:after="160"/>
        <w:jc w:val="center"/>
      </w:pPr>
      <w:r>
        <w:rPr>
          <w:b/>
          <w:bCs/>
          <w:color w:val="FF0000"/>
          <w:sz w:val="20"/>
          <w:szCs w:val="18"/>
        </w:rPr>
        <w:t>Table 2.10:</w:t>
      </w:r>
      <w:r>
        <w:rPr>
          <w:b/>
          <w:bCs/>
          <w:sz w:val="20"/>
          <w:szCs w:val="18"/>
        </w:rPr>
        <w:t xml:space="preserve"> </w:t>
      </w:r>
      <w:r>
        <w:rPr>
          <w:sz w:val="20"/>
          <w:szCs w:val="18"/>
        </w:rPr>
        <w:t>Comparison of the included studies against the key requirements</w:t>
      </w:r>
    </w:p>
    <w:tbl>
      <w:tblPr>
        <w:tblW w:w="9128" w:type="dxa"/>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val="0000" w:firstRow="0" w:lastRow="0" w:firstColumn="0" w:lastColumn="0" w:noHBand="0" w:noVBand="0"/>
      </w:tblPr>
      <w:tblGrid>
        <w:gridCol w:w="3402"/>
        <w:gridCol w:w="850"/>
        <w:gridCol w:w="850"/>
        <w:gridCol w:w="850"/>
        <w:gridCol w:w="850"/>
        <w:gridCol w:w="850"/>
        <w:gridCol w:w="850"/>
      </w:tblGrid>
      <w:tr w:rsidR="009262C4" w14:paraId="7BC8D64E" w14:textId="77777777">
        <w:trPr>
          <w:cantSplit/>
          <w:tblHeader/>
        </w:trPr>
        <w:tc>
          <w:tcPr>
            <w:tcW w:w="3402"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36A48349"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Study</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604D627B"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1</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13C7F628"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2</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793B1E77"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3</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6C0CB570"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4</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3E996D6B"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5</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1F0772B9"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6</w:t>
            </w:r>
          </w:p>
        </w:tc>
      </w:tr>
      <w:tr w:rsidR="009262C4" w14:paraId="1198B3A7"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D269E4" w14:textId="77777777" w:rsidR="009262C4" w:rsidRDefault="00000000">
            <w:pPr>
              <w:spacing w:before="40" w:after="40" w:line="240" w:lineRule="auto"/>
              <w:jc w:val="left"/>
            </w:pPr>
            <w:r>
              <w:rPr>
                <w:rFonts w:ascii="Palatino Linotype" w:hAnsi="Palatino Linotype" w:cs="Palatino Linotype"/>
                <w:color w:val="000000"/>
                <w:sz w:val="20"/>
                <w:szCs w:val="17"/>
              </w:rPr>
              <w:t>S1 Abbasi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D353DE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E9473E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02E319D"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7323AA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D0245F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41AD0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2E0525FB"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A30BEAC"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S2 Albalwy et al. (2021)</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0F9E62"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3BDD8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0AE92A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43C1DBB"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4D505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E102FC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38873140"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68ED55E" w14:textId="77777777" w:rsidR="009262C4" w:rsidRDefault="00000000">
            <w:pPr>
              <w:spacing w:before="40" w:after="40" w:line="240" w:lineRule="auto"/>
              <w:jc w:val="left"/>
            </w:pPr>
            <w:r>
              <w:rPr>
                <w:rFonts w:ascii="Palatino Linotype" w:hAnsi="Palatino Linotype" w:cs="Palatino Linotype"/>
                <w:color w:val="000000"/>
                <w:sz w:val="20"/>
                <w:szCs w:val="17"/>
              </w:rPr>
              <w:t>S3 Al Amin et al. (2023)</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09C400F"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55228D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BF4713B"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A8B63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263250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090A7E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4CFEF1BA"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5794249" w14:textId="77777777" w:rsidR="009262C4" w:rsidRDefault="00000000">
            <w:pPr>
              <w:spacing w:before="40" w:after="40" w:line="240" w:lineRule="auto"/>
              <w:jc w:val="left"/>
            </w:pPr>
            <w:r>
              <w:rPr>
                <w:rFonts w:ascii="Palatino Linotype" w:hAnsi="Palatino Linotype" w:cs="Palatino Linotype"/>
                <w:color w:val="000000"/>
                <w:sz w:val="20"/>
                <w:szCs w:val="17"/>
              </w:rPr>
              <w:t>S4 Ekholm et al. (2025)</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7F0C2C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A6D71CF"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B3F568"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9DA5D2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933F70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999D14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433BC8B0"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B8C5159" w14:textId="77777777" w:rsidR="009262C4" w:rsidRDefault="00000000">
            <w:pPr>
              <w:spacing w:before="40" w:after="40" w:line="240" w:lineRule="auto"/>
              <w:jc w:val="left"/>
            </w:pPr>
            <w:r>
              <w:rPr>
                <w:rFonts w:ascii="Palatino Linotype" w:hAnsi="Palatino Linotype" w:cs="Palatino Linotype"/>
                <w:color w:val="000000"/>
                <w:sz w:val="20"/>
                <w:szCs w:val="17"/>
              </w:rPr>
              <w:t>S5 Eneh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119A8F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072BE5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CFD614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F88E8C1"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25634C4"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033186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454CCACD"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78ED44A" w14:textId="77777777" w:rsidR="009262C4" w:rsidRDefault="00000000">
            <w:pPr>
              <w:spacing w:before="40" w:after="40" w:line="240" w:lineRule="auto"/>
              <w:jc w:val="left"/>
            </w:pPr>
            <w:r>
              <w:rPr>
                <w:rFonts w:ascii="Palatino Linotype" w:hAnsi="Palatino Linotype" w:cs="Palatino Linotype"/>
                <w:color w:val="000000"/>
                <w:sz w:val="20"/>
                <w:szCs w:val="17"/>
              </w:rPr>
              <w:t>S6 Hagström et al. (2024)</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D7306A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0D22FF8"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A87231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D594B9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5B6E3B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4499101"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5437E801"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E0CE2A1"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S7 Jaiman and Urovi (2020)</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F5F1141"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D25D17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EE2914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4ED68EE"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2DF353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8099F7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0BDCE4BC"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FCC62A6" w14:textId="77777777" w:rsidR="009262C4" w:rsidRDefault="00000000">
            <w:pPr>
              <w:spacing w:before="40" w:after="40" w:line="240" w:lineRule="auto"/>
              <w:jc w:val="left"/>
            </w:pPr>
            <w:r>
              <w:rPr>
                <w:rFonts w:ascii="Palatino Linotype" w:hAnsi="Palatino Linotype" w:cs="Palatino Linotype"/>
                <w:color w:val="000000"/>
                <w:sz w:val="20"/>
                <w:szCs w:val="17"/>
              </w:rPr>
              <w:t>S8 Zhao and Su (2024)</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EF176E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06BA52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CACBC1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9B7907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22D4F2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F41D6DF"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005AA4CE"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43FAADB" w14:textId="77777777" w:rsidR="009262C4" w:rsidRDefault="00000000">
            <w:pPr>
              <w:spacing w:before="40" w:after="40" w:line="240" w:lineRule="auto"/>
              <w:jc w:val="left"/>
            </w:pPr>
            <w:r>
              <w:rPr>
                <w:rFonts w:ascii="Palatino Linotype" w:hAnsi="Palatino Linotype" w:cs="Palatino Linotype"/>
                <w:color w:val="000000"/>
                <w:sz w:val="20"/>
                <w:szCs w:val="17"/>
              </w:rPr>
              <w:t>S9 Li et al. (2026a)</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98A73F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F90A85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B97265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0A6A07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365B171"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F55243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5ED5A622"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0711215" w14:textId="77777777" w:rsidR="009262C4" w:rsidRDefault="00000000">
            <w:pPr>
              <w:spacing w:before="40" w:after="40" w:line="240" w:lineRule="auto"/>
              <w:jc w:val="left"/>
            </w:pPr>
            <w:r>
              <w:rPr>
                <w:rFonts w:ascii="Palatino Linotype" w:hAnsi="Palatino Linotype" w:cs="Palatino Linotype"/>
                <w:color w:val="000000"/>
                <w:sz w:val="20"/>
                <w:szCs w:val="17"/>
              </w:rPr>
              <w:t>S10 Madine et al. (2020)</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CCF7FA7"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F611198"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9ECCBA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C4DEB4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4472D27"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99BF36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32FA4AE6"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5535FE3" w14:textId="77777777" w:rsidR="009262C4" w:rsidRDefault="00000000">
            <w:pPr>
              <w:spacing w:before="40" w:after="40" w:line="240" w:lineRule="auto"/>
              <w:jc w:val="left"/>
            </w:pPr>
            <w:r>
              <w:rPr>
                <w:rFonts w:ascii="Palatino Linotype" w:hAnsi="Palatino Linotype" w:cs="Palatino Linotype"/>
                <w:color w:val="000000"/>
                <w:sz w:val="20"/>
                <w:szCs w:val="17"/>
              </w:rPr>
              <w:t>S11 Maruthi and Singh (2025)</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A9252C5"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A7E181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6F4A5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834AC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1D8EBC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9DA9E5D"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28487676"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7182FB9" w14:textId="77777777" w:rsidR="009262C4" w:rsidRDefault="00000000">
            <w:pPr>
              <w:spacing w:before="40" w:after="40" w:line="240" w:lineRule="auto"/>
              <w:jc w:val="left"/>
            </w:pPr>
            <w:r>
              <w:rPr>
                <w:rFonts w:ascii="Palatino Linotype" w:hAnsi="Palatino Linotype" w:cs="Palatino Linotype"/>
                <w:color w:val="000000"/>
                <w:sz w:val="20"/>
                <w:szCs w:val="17"/>
              </w:rPr>
              <w:t>S12 Mei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5EBA1B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BA7338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870CAA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A1AAE1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C94E718"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772558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6B6FB79C"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EF552D9" w14:textId="77777777" w:rsidR="009262C4" w:rsidRDefault="00000000">
            <w:pPr>
              <w:spacing w:before="40" w:after="40" w:line="240" w:lineRule="auto"/>
              <w:jc w:val="left"/>
            </w:pPr>
            <w:r>
              <w:rPr>
                <w:rFonts w:ascii="Palatino Linotype" w:hAnsi="Palatino Linotype" w:cs="Palatino Linotype"/>
                <w:color w:val="000000"/>
                <w:sz w:val="20"/>
                <w:szCs w:val="17"/>
              </w:rPr>
              <w:t>S13 Panagoulias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47841B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47D350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2687F4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DE7749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370049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6C0E5C"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30EE1003"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7E3D3DC" w14:textId="77777777" w:rsidR="009262C4" w:rsidRDefault="00000000">
            <w:pPr>
              <w:spacing w:before="40" w:after="40" w:line="240" w:lineRule="auto"/>
              <w:jc w:val="left"/>
            </w:pPr>
            <w:r>
              <w:rPr>
                <w:rFonts w:ascii="Palatino Linotype" w:hAnsi="Palatino Linotype" w:cs="Palatino Linotype"/>
                <w:color w:val="000000"/>
                <w:sz w:val="20"/>
                <w:szCs w:val="17"/>
              </w:rPr>
              <w:t>S14 Phuyal et al. (2026b)</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A435FE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5C24D7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A22014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597EC1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0490C65"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D6D3099"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6BDE0A2F"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7E90E4D" w14:textId="77777777" w:rsidR="009262C4" w:rsidRDefault="00000000">
            <w:pPr>
              <w:spacing w:before="40" w:after="40" w:line="240" w:lineRule="auto"/>
              <w:jc w:val="left"/>
            </w:pPr>
            <w:r>
              <w:rPr>
                <w:rFonts w:ascii="Palatino Linotype" w:hAnsi="Palatino Linotype" w:cs="Palatino Linotype"/>
                <w:color w:val="000000"/>
                <w:sz w:val="20"/>
                <w:szCs w:val="17"/>
              </w:rPr>
              <w:t>S15 Phuyal et al. (2026a)</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2D6696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6966E8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41C2B2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7AF975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64D8BD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7FBA46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1EADAE9B"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0398AF6" w14:textId="77777777" w:rsidR="009262C4" w:rsidRDefault="00000000">
            <w:pPr>
              <w:spacing w:before="40" w:after="40" w:line="240" w:lineRule="auto"/>
              <w:jc w:val="left"/>
            </w:pPr>
            <w:r>
              <w:rPr>
                <w:rFonts w:ascii="Palatino Linotype" w:hAnsi="Palatino Linotype" w:cs="Palatino Linotype"/>
                <w:color w:val="000000"/>
                <w:sz w:val="20"/>
                <w:szCs w:val="17"/>
              </w:rPr>
              <w:t>S16 Punia et al. (2025)</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A94C9C5"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90D729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3F10302"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00D57DD"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AF0A7F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D68205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436A2F1C"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81033AC" w14:textId="77777777" w:rsidR="009262C4" w:rsidRDefault="00000000">
            <w:pPr>
              <w:spacing w:before="40" w:after="40" w:line="240" w:lineRule="auto"/>
              <w:jc w:val="left"/>
            </w:pPr>
            <w:r>
              <w:rPr>
                <w:rFonts w:ascii="Palatino Linotype" w:hAnsi="Palatino Linotype" w:cs="Palatino Linotype"/>
                <w:color w:val="000000"/>
                <w:sz w:val="20"/>
                <w:szCs w:val="17"/>
              </w:rPr>
              <w:t>S17 Román-Martínez et al. (2023)</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09B0C46"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732BB8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050619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6BC9EE4"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D28842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66247D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52EB5DA8"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B9E2D9F" w14:textId="77777777" w:rsidR="009262C4" w:rsidRDefault="00000000">
            <w:pPr>
              <w:spacing w:before="40" w:after="40" w:line="240" w:lineRule="auto"/>
              <w:jc w:val="left"/>
            </w:pPr>
            <w:r>
              <w:rPr>
                <w:rFonts w:ascii="Palatino Linotype" w:hAnsi="Palatino Linotype" w:cs="Palatino Linotype"/>
                <w:color w:val="000000"/>
                <w:sz w:val="20"/>
                <w:szCs w:val="17"/>
              </w:rPr>
              <w:t>S18 Hema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E490E8B"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3BFC5E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F18463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149E21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A73D58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8D3DDA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6B04A2AC"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A74D7E4" w14:textId="77777777" w:rsidR="009262C4" w:rsidRDefault="00000000">
            <w:pPr>
              <w:spacing w:before="40" w:after="40" w:line="240" w:lineRule="auto"/>
              <w:jc w:val="left"/>
            </w:pPr>
            <w:r>
              <w:rPr>
                <w:rFonts w:ascii="Palatino Linotype" w:hAnsi="Palatino Linotype" w:cs="Palatino Linotype"/>
                <w:color w:val="000000"/>
                <w:sz w:val="20"/>
                <w:szCs w:val="17"/>
              </w:rPr>
              <w:t>S19 SooHoo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F8B01D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2D2A84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68E08A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1EEC15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F7B015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CEE3F7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51B995D6"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E18B69" w14:textId="77777777" w:rsidR="009262C4" w:rsidRDefault="00000000">
            <w:pPr>
              <w:spacing w:before="40" w:after="40" w:line="240" w:lineRule="auto"/>
              <w:jc w:val="left"/>
            </w:pPr>
            <w:r>
              <w:rPr>
                <w:rFonts w:ascii="Palatino Linotype" w:hAnsi="Palatino Linotype" w:cs="Palatino Linotype"/>
                <w:color w:val="000000"/>
                <w:sz w:val="20"/>
                <w:szCs w:val="17"/>
              </w:rPr>
              <w:t>S20 Tan et al. (2024)</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6ADF66B"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AD30DFB"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DCC4F57"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20CB1CB"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C0D95E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03BD07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5A0D7B05"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7B61173" w14:textId="77777777" w:rsidR="009262C4" w:rsidRDefault="00000000">
            <w:pPr>
              <w:spacing w:before="40" w:after="40" w:line="240" w:lineRule="auto"/>
              <w:jc w:val="left"/>
            </w:pPr>
            <w:r>
              <w:rPr>
                <w:rFonts w:ascii="Palatino Linotype" w:hAnsi="Palatino Linotype" w:cs="Palatino Linotype"/>
                <w:color w:val="000000"/>
                <w:sz w:val="20"/>
                <w:szCs w:val="17"/>
              </w:rPr>
              <w:t>S21 Tith et al. (2020)</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EC85964"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71A51C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7BF3FD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F00F611"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ECD7CB"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31F7D0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6B457C76"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2354F19" w14:textId="77777777" w:rsidR="009262C4" w:rsidRDefault="00000000">
            <w:pPr>
              <w:spacing w:before="40" w:after="40" w:line="240" w:lineRule="auto"/>
              <w:jc w:val="left"/>
            </w:pPr>
            <w:r>
              <w:rPr>
                <w:rFonts w:ascii="Palatino Linotype" w:hAnsi="Palatino Linotype" w:cs="Palatino Linotype"/>
                <w:color w:val="000000"/>
                <w:sz w:val="20"/>
                <w:szCs w:val="17"/>
              </w:rPr>
              <w:t>S22 Tremper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285B9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14E336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015D85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18919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696129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6530DC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6F2BEA30"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3C4B8F8" w14:textId="77777777" w:rsidR="009262C4" w:rsidRDefault="00000000">
            <w:pPr>
              <w:spacing w:before="40" w:after="40" w:line="240" w:lineRule="auto"/>
              <w:jc w:val="left"/>
            </w:pPr>
            <w:r>
              <w:rPr>
                <w:rFonts w:ascii="Palatino Linotype" w:hAnsi="Palatino Linotype" w:cs="Palatino Linotype"/>
                <w:color w:val="000000"/>
                <w:sz w:val="20"/>
                <w:szCs w:val="17"/>
              </w:rPr>
              <w:t>S23 Tseng et al. (2025)</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CF8F6E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62502F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4EE972B"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02A084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78BE2A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C832B9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166EB1DF"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2C42555" w14:textId="77777777" w:rsidR="009262C4" w:rsidRDefault="00000000">
            <w:pPr>
              <w:spacing w:before="40" w:after="40" w:line="240" w:lineRule="auto"/>
              <w:jc w:val="left"/>
            </w:pPr>
            <w:r>
              <w:rPr>
                <w:rFonts w:ascii="Palatino Linotype" w:hAnsi="Palatino Linotype" w:cs="Palatino Linotype"/>
                <w:color w:val="000000"/>
                <w:sz w:val="20"/>
                <w:szCs w:val="17"/>
              </w:rPr>
              <w:t>S24 Wu et al. (2022)</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9D8E4F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0D42B8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6969E1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B3B3C6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A894535"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F3103E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75A90F3E"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vAlign w:val="top"/>
          </w:tcPr>
          <w:p w14:paraId="2FAA777A" w14:textId="77777777" w:rsidR="009262C4" w:rsidRDefault="00000000">
            <w:pPr>
              <w:spacing w:before="40" w:after="40" w:line="240" w:lineRule="auto"/>
              <w:jc w:val="left"/>
            </w:pPr>
            <w:r>
              <w:rPr>
                <w:rFonts w:ascii="Palatino Linotype" w:hAnsi="Palatino Linotype" w:cs="Palatino Linotype"/>
                <w:color w:val="000000"/>
                <w:sz w:val="20"/>
                <w:szCs w:val="17"/>
              </w:rPr>
              <w:t>S25 Wu and Zhang (2025)</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39B65764"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23436987"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6C341D7B"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265BF5C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30F114D5"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2BB9100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bl>
    <w:p w14:paraId="71BAC5E4" w14:textId="77777777" w:rsidR="009262C4" w:rsidRDefault="009262C4">
      <w:pPr>
        <w:spacing w:after="160"/>
      </w:pPr>
    </w:p>
    <w:p w14:paraId="2546AC26" w14:textId="77777777" w:rsidR="009262C4" w:rsidRDefault="00000000">
      <w:pPr>
        <w:spacing w:after="110" w:line="264" w:lineRule="auto"/>
        <w:jc w:val="both"/>
      </w:pPr>
      <w:r>
        <w:t xml:space="preserve">The matrix supports four observations. First, counting only full satisfaction, Req 1 is met by 12 of the 25 studies, Req 2 by 7, Req 3 by 6, Req 4 by 10, Req 5 by 8, and Req 6 by 9. Second, no study satisfies all </w:t>
        <w:lastRenderedPageBreak/>
        <w:t>six, the maximum of four is reached by (Madine et al. 2020) and (Panagoulias et al. 2026), and five studies fully satisfy none. Third, Req 1 with Req 4 is the most frequent pair, in seven studies, whereas Req 2 and Req 4 never co-occur in full. Req 3 co-occurs with Req 4 only in (Punia et al. 2025), whose threshold lies outside the policy predicate and whose policy carries no purpose term. Similarly, Req 3 co-occurs with Req 6 only in (Maruthi &amp; Singh 2025; Zhao &amp; Su 2024). Fourth, the two quadruples are complementary, since Madine et al. (2020) lack full policy and assurance, whereas Panagoulias et al. (2026) lack multi-party approval and full identity depth.</w:t>
      </w:r>
    </w:p>
    <w:p w14:paraId="2346EC12" w14:textId="77777777" w:rsidR="009262C4" w:rsidRDefault="00000000">
      <w:pPr>
        <w:spacing w:after="110" w:line="264" w:lineRule="auto"/>
        <w:jc w:val="both"/>
      </w:pPr>
      <w:r>
        <w:t xml:space="preserve">The comparison shows that the contribution of this research is the explicit relationship it establishes among existing technologies, not their replacement. The consent object C carries the identity, authority, threshold, policy, temporal, and lifecycle conditions together, so that their relationship is verifiable. </w:t>
      </w:r>
      <w:r>
        <w:rPr>
          <w:color w:val="FF0000"/>
        </w:rPr>
        <w:t>Section 2.5</w:t>
      </w:r>
      <w:r>
        <w:t xml:space="preserve"> positions the proposed framework relative to these requirements. The conjunction is formally specified and validated through allow-and-deny test cases and attack cases, whereas its formal verification and the remaining lifecycle extensions of RQ5 are left for the next stage </w:t>
      </w:r>
      <w:r>
        <w:rPr>
          <w:color w:val="FF0000"/>
        </w:rPr>
        <w:t>(Chapters 9 and 10)</w:t>
      </w:r>
      <w:r>
        <w:t>.</w:t>
      </w:r>
    </w:p>
    <w:p w14:paraId="612126A9" w14:textId="77777777" w:rsidR="009262C4" w:rsidRDefault="00000000">
      <w:pPr>
        <w:spacing w:after="110" w:line="264" w:lineRule="auto"/>
        <w:jc w:val="both"/>
      </w:pPr>
      <w:r>
        <w:t xml:space="preserve">The literature review identifies a consistent pattern of fragmentation across existing research. Across the corpus, Req 3 is the least satisfied requirement, while within Req 6, formal assurance alone is provided by 4 studies, argued informally by 9, and absent in 12. The other five Yes grades for </w:t>
      </w:r>
      <w:r>
        <w:rPr>
          <w:color w:val="FF0000"/>
        </w:rPr>
        <w:t>Req 6 in Table 2.10</w:t>
      </w:r>
      <w:r>
        <w:t xml:space="preserve"> rest on empirical validation.</w:t>
      </w:r>
    </w:p>
    <w:p w14:paraId="4FD4FF47" w14:textId="77777777" w:rsidR="009262C4" w:rsidRDefault="00000000">
      <w:pPr>
        <w:spacing w:after="110" w:line="264" w:lineRule="auto"/>
        <w:jc w:val="both"/>
      </w:pPr>
      <w:r>
        <w:t>The review corrects one framing. Multi-party authorisation of patient consent is not absent from the literature, since the full-text coding shows it in six forms.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14:paraId="3952377C" w14:textId="77777777" w:rsidR="009262C4" w:rsidRDefault="00000000">
      <w:pPr>
        <w:spacing w:after="110" w:line="264" w:lineRule="auto"/>
        <w:jc w:val="both"/>
      </w:pPr>
      <w:r>
        <w:t xml:space="preserve">The review establishes two gaps. The first is a </w:t>
      </w:r>
      <w:r>
        <w:rPr>
          <w:b/>
          <w:bCs/>
        </w:rPr>
        <w:t>conjunction gap</w:t>
      </w:r>
      <w:r>
        <w:t xml:space="preserve">, since no study conjoins identity, authority, threshold, policy, temporal, and lifecycle conditions in one decision predicate in which multi-party approval is a standing condition and the patient defines the approving set. The second is an </w:t>
      </w:r>
      <w:r>
        <w:rPr>
          <w:b/>
          <w:bCs/>
        </w:rPr>
        <w:t>assurance gap</w:t>
      </w:r>
      <w:r>
        <w:t xml:space="preserve">, since co-existing conditions are neither proved nor tested as an authorisation decision,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w:t>
      </w:r>
      <w:r>
        <w:rPr>
          <w:color w:val="FF0000"/>
        </w:rPr>
        <w:t>stated in Chapter 3</w:t>
      </w:r>
      <w:r>
        <w:t xml:space="preserve">, and each gap corresponds to the research question and objective of the same number </w:t>
      </w:r>
      <w:r>
        <w:rPr>
          <w:color w:val="FF0000"/>
        </w:rPr>
        <w:t>in Chapter 3</w:t>
      </w:r>
      <w:r>
        <w:t>.</w:t>
      </w:r>
      <w:r>
        <w:rPr>
          <w:color w:val="FF0000"/>
        </w:rPr>
        <w:t xml:space="preserve"> The figure also shows how the proposed framework addresses the two gaps and gives, for each requirement, the number of the 25 analysed studies graded Yes in Table 2.10.</w:t>
      </w:r>
    </w:p>
    <w:p w14:paraId="22277115" w14:textId="77777777" w:rsidR="009262C4" w:rsidRDefault="00000000">
      <w:pPr>
        <w:keepNext/>
        <w:spacing w:before="160" w:after="60"/>
        <w:jc w:val="center"/>
      </w:pPr>
      <w:r>
        <w:rPr>
          <w:noProof/>
        </w:rPr>
        <w:lastRenderedPageBreak/>
        <w:drawing>
          <wp:inline distT="0" distB="0" distL="0" distR="0" wp14:anchorId="5B96D54F" wp14:editId="448216B5">
            <wp:extent cx="4572000" cy="2295525"/>
            <wp:effectExtent l="0" t="0" r="0" b="0"/>
            <wp:docPr id="1228340192"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95525"/>
                    </a:xfrm>
                    <a:prstGeom prst="rect">
                      <a:avLst/>
                    </a:prstGeom>
                  </pic:spPr>
                </pic:pic>
              </a:graphicData>
            </a:graphic>
          </wp:inline>
        </w:drawing>
      </w:r>
    </w:p>
    <w:p w14:paraId="5E29EEB8" w14:textId="77777777" w:rsidR="009262C4" w:rsidRDefault="00000000">
      <w:pPr>
        <w:spacing w:after="160" w:before="160"/>
        <w:jc w:val="center"/>
      </w:pPr>
      <w:r>
        <w:rPr>
          <w:b/>
          <w:bCs/>
          <w:sz w:val="20"/>
          <w:szCs w:val="18"/>
        </w:rPr>
        <w:t xml:space="preserve">Figure 2.2: </w:t>
      </w:r>
      <w:r>
        <w:rPr>
          <w:sz w:val="20"/>
          <w:szCs w:val="18"/>
        </w:rPr>
        <w:t>Synthesis of the review: the conjunction gap and the assurance gap</w:t>
      </w:r>
    </w:p>
    <w:p>
      <w:pPr/>
      <w:r>
        <w:rPr>
          <w:color w:val="FF0000"/>
        </w:rPr>
        <w:t>As presented in Tables 2.4 to 2.10, researchers have focused on securing individual aspects of healthcare data sharing: recording consent, verifying identity, approving access, and restricting the data that are released. However, from the perspective of the six requirements stated in Section 2.2, the existing work has the following drawbacks:</w:t>
      </w:r>
    </w:p>
    <w:p>
      <w:pPr>
        <w:tabs>
          <w:tab w:pos="510" w:val="left"/>
        </w:tabs>
        <w:spacing w:after="120"/>
        <w:ind w:left="510" w:hanging="283"/>
      </w:pPr>
      <w:r>
        <w:rPr>
          <w:color w:val="FF0000"/>
        </w:rPr>
        <w:t>•</w:t>
        <w:tab/>
      </w:r>
      <w:r>
        <w:rPr>
          <w:i/>
          <w:color w:val="FF0000"/>
          <w:u w:val="single"/>
        </w:rPr>
        <w:t>Inability to represent consent as an evaluable authorisation object (Req 1):</w:t>
      </w:r>
      <w:r>
        <w:rPr>
          <w:color w:val="FF0000"/>
        </w:rPr>
        <w:t xml:space="preserve"> Existing consent approaches treat consent primarily as a record of a patient’s permission (Akter &amp; Sanam 2025; Prashanth et al. 2024), and some claim consent but leave it out of the access decision (Sawant &amp; Gomes 2026). The evaluable consent objects reported since 2020 (Albalwy, Brass &amp; Davies 2021; Eneh et al. 2026; Phuyal et al. 2026b; Shanmugham &amp; Senthilkumar 2026; Tith et al. 2020) carry only a subset of the identity, authority, threshold, policy, temporal and lifecycle conditions, and they are issued by a single party. Without such a representation, the existing literature does not allow an access request to be evaluated against the conditions that the patient actually set.</w:t>
      </w:r>
    </w:p>
    <w:p>
      <w:pPr>
        <w:tabs>
          <w:tab w:pos="510" w:val="left"/>
        </w:tabs>
        <w:spacing w:after="120"/>
        <w:ind w:left="510" w:hanging="283"/>
      </w:pPr>
      <w:r>
        <w:rPr>
          <w:color w:val="FF0000"/>
        </w:rPr>
        <w:t>•</w:t>
        <w:tab/>
      </w:r>
      <w:r>
        <w:rPr>
          <w:i/>
          <w:color w:val="FF0000"/>
          <w:u w:val="single"/>
        </w:rPr>
        <w:t>Inability to verify authority separately from identity (Req 2):</w:t>
      </w:r>
      <w:r>
        <w:rPr>
          <w:color w:val="FF0000"/>
        </w:rPr>
        <w:t xml:space="preserve"> A valid decentralised identity establishes who a participant is (Mazzocca et al. 2025), but it does not establish what that participant is authorised to do. Authority is verified separately from authentication in only 10 of the 25 studies, and Req 2 is graded Yes in 7 of them (Table 2.10). Without this separation, an authenticated participant is treated as an authorised one.</w:t>
      </w:r>
    </w:p>
    <w:p>
      <w:pPr>
        <w:tabs>
          <w:tab w:pos="510" w:val="left"/>
        </w:tabs>
        <w:spacing w:after="120"/>
        <w:ind w:left="510" w:hanging="283"/>
      </w:pPr>
      <w:r>
        <w:rPr>
          <w:color w:val="FF0000"/>
        </w:rPr>
        <w:t>•</w:t>
        <w:tab/>
      </w:r>
      <w:r>
        <w:rPr>
          <w:i/>
          <w:color w:val="FF0000"/>
          <w:u w:val="single"/>
        </w:rPr>
        <w:t>Absence of multi-party approval as a standing condition of every access decision (Req 3):</w:t>
      </w:r>
      <w:r>
        <w:rPr>
          <w:color w:val="FF0000"/>
        </w:rPr>
        <w:t xml:space="preserve"> Multi-party approval appears in the reviewed studies as a contingency path, an admission gate or a registration-time co-consent (Madine et al. 2020; Punia et al. 2025; Tan, Chi &amp; Lam 2024). The approving set is defined on the institutional or delegate side (Punia et al. 2025; Wu et al. 2022; Zhao &amp; Su 2024), or it is appointed by the patient but evaluated only as a contingency path or as a key-custody threshold (Maruthi &amp; Singh 2025; Tan, Chi &amp; Lam 2024). Req 3 is the least satisfied requirement, graded Yes in 6 studies (Table 2.10). None of the papers examined makes approval by a patient-defined set a condition of every access decision.</w:t>
      </w:r>
    </w:p>
    <w:p>
      <w:pPr>
        <w:tabs>
          <w:tab w:pos="510" w:val="left"/>
        </w:tabs>
        <w:spacing w:after="120"/>
        <w:ind w:left="510" w:hanging="283"/>
      </w:pPr>
      <w:r>
        <w:rPr>
          <w:color w:val="FF0000"/>
        </w:rPr>
        <w:t>•</w:t>
        <w:tab/>
      </w:r>
      <w:r>
        <w:rPr>
          <w:i/>
          <w:color w:val="FF0000"/>
          <w:u w:val="single"/>
        </w:rPr>
        <w:t>Inability to bind purpose and data scope to the same decision as identity, authority and approval (Req 4):</w:t>
      </w:r>
      <w:r>
        <w:rPr>
          <w:color w:val="FF0000"/>
        </w:rPr>
        <w:t xml:space="preserve"> Purpose and data-scope constraints are enforced by 10 of the 25 studies (Table 2.10), but in none of them are they bound to the same decision as identity, authority and multi-party approval; in the reviewed studies, multi-party approval is never conjoined with a purpose condition (Madine et al. 2020; Punia et al. 2025; Tan, Chi &amp; Lam 2024). Without this binding, a valid identity and sufficient approvals can be used to obtain data outside the authorised scope.</w:t>
      </w:r>
    </w:p>
    <w:p>
      <w:pPr>
        <w:tabs>
          <w:tab w:pos="510" w:val="left"/>
        </w:tabs>
        <w:spacing w:after="120"/>
        <w:ind w:left="510" w:hanging="283"/>
      </w:pPr>
      <w:r>
        <w:rPr>
          <w:color w:val="FF0000"/>
        </w:rPr>
        <w:t>•</w:t>
        <w:tab/>
      </w:r>
      <w:r>
        <w:rPr>
          <w:i/>
          <w:color w:val="FF0000"/>
          <w:u w:val="single"/>
        </w:rPr>
        <w:t>Absence of temporal and lifecycle evaluation at the time of each access request (Req 5):</w:t>
      </w:r>
      <w:r>
        <w:rPr>
          <w:color w:val="FF0000"/>
        </w:rPr>
        <w:t xml:space="preserve"> Req 5 is graded Yes in 8 of the 25 studies (Table 2.10). In these studies, the validity period, the lifecycle state and the revocation of a consent are enforced on a credential or at registration rather than evaluated when the request is made. Without such evaluation, a consent that has expired or been revoked remains usable once its approvals have been recorded.</w:t>
      </w:r>
    </w:p>
    <w:p>
      <w:pPr>
        <w:tabs>
          <w:tab w:pos="510" w:val="left"/>
        </w:tabs>
        <w:spacing w:after="120"/>
        <w:ind w:left="510" w:hanging="283"/>
      </w:pPr>
      <w:r>
        <w:rPr>
          <w:color w:val="FF0000"/>
        </w:rPr>
        <w:t>•</w:t>
        <w:tab/>
      </w:r>
      <w:r>
        <w:rPr>
          <w:i/>
          <w:color w:val="FF0000"/>
          <w:u w:val="single"/>
        </w:rPr>
        <w:t>Absence of formal and empirical assurance of the complete decision (Req 6):</w:t>
      </w:r>
      <w:r>
        <w:rPr>
          <w:color w:val="FF0000"/>
        </w:rPr>
        <w:t xml:space="preserve"> Within Req 6, formal assurance is provided by 4 studies, argued informally by 9, and absent in the rest (Section 2.4.6). The studies that coordinate several mechanisms in one decision (Ferreira et al. 2025; Panagoulias et al. 2026; Phuyal et al. 2026b; Punia et al. 2025; Shanmugham &amp; Senthilkumar 2026) test their own decisions, but none of them proves or tests a conjunction that includes multi-party approval, and any proof covers only a fragment of the predicate. Without such assurance, the correctness of the decision as a whole rests on the correctness of its parts.</w:t>
      </w:r>
    </w:p>
    <w:p w14:paraId="09B7FC9D" w14:textId="77777777" w:rsidR="009262C4" w:rsidRDefault="00000000">
      <w:pPr>
        <w:spacing w:after="110" w:line="264" w:lineRule="auto"/>
        <w:jc w:val="both"/>
      </w:pPr>
      <w:r>
        <w:t xml:space="preserve">The review has limitations. A single search string and a single round of coding mean that a small number of relevant studies may have been missed. </w:t>
      </w:r>
    </w:p>
    <w:p>
      <w:pPr/>
      <w:r>
        <w:rPr>
          <w:color w:val="FF0000"/>
        </w:rPr>
        <w:t>In the next section, we present our proposed framework to address the gaps.</w:t>
      </w:r>
    </w:p>
    <w:p>
      <w:pPr>
        <w:pStyle w:val="2"/>
        <w:keepNext/>
      </w:pPr>
      <w:r>
        <w:t>2.5 Trust-Oriented Multi-Party Consent Authorisation Framework</w:t>
      </w:r>
    </w:p>
    <w:p w14:paraId="504CD972" w14:textId="77777777" w:rsidR="009262C4" w:rsidRDefault="00000000">
      <w:pPr>
        <w:spacing w:after="110" w:line="264" w:lineRule="auto"/>
        <w:jc w:val="both"/>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w:t>
      </w:r>
      <w:r>
        <w:rPr>
          <w:color w:val="FF0000"/>
        </w:rPr>
        <w:t>Sections 2.5.1 to 2.5.6 state how the proposed framework, implemented in the HALAH prototype, addresses each requirement and the research objective that delivers it.</w:t>
      </w:r>
    </w:p>
    <w:p>
      <w:pPr>
        <w:pStyle w:val="3"/>
        <w:keepNext/>
      </w:pPr>
      <w:r>
        <w:t>2.5.1 Representation of Consent as an Evaluable Authorisation Object (Req 1)</w:t>
      </w:r>
    </w:p>
    <w:p>
      <w:pPr/>
      <w:r>
        <w:t xml:space="preserve">Consent is represented as the evaluable object C = (I, A, P, T, L, E), created through Algorithm 1 and evaluated at every access request. </w:t>
      </w:r>
      <w:r>
        <w:rPr>
          <w:color w:val="FF0000"/>
        </w:rPr>
        <w:t>This requirement is delivered by RO1, presented in Chapter 5.</w:t>
      </w:r>
    </w:p>
    <w:p>
      <w:pPr>
        <w:pStyle w:val="3"/>
        <w:keepNext/>
      </w:pPr>
      <w:r>
        <w:t>2.5.2 Decentralised Verification of Identity and Authority (Req 2)</w:t>
      </w:r>
    </w:p>
    <w:p>
      <w:pPr/>
      <w:r>
        <w:t xml:space="preserve">DID and VC verification separates identity from authority and is evaluated as VI through Algorithm 2. The prototype checks the DID format, verifies each guardian's credential before the signature is added, and verifies the requesting doctor's credential at every access request. Full DID resolution is planned for the next stage. </w:t>
      </w:r>
      <w:r>
        <w:rPr>
          <w:color w:val="FF0000"/>
        </w:rPr>
        <w:t>This requirement is delivered by RO2, presented in Chapter 6.</w:t>
      </w:r>
    </w:p>
    <w:p>
      <w:pPr>
        <w:pStyle w:val="3"/>
        <w:keepNext/>
      </w:pPr>
      <w:r>
        <w:t>2.5.3 Multi-Party Authorisation through a Verifiable Threshold (Req 3)</w:t>
      </w:r>
    </w:p>
    <w:p>
      <w:pPr/>
      <w:r>
        <w:t xml:space="preserve">N-of-N approval by the guardian set G with EIP-712 guardian signatures (Bloemen, Logvinov &amp; Evans 2017), evaluated as VA through Algorithm 3. </w:t>
      </w:r>
      <w:r>
        <w:rPr>
          <w:color w:val="FF0000"/>
        </w:rPr>
        <w:t>This requirement is delivered by RO3, presented in Chapter 7.</w:t>
      </w:r>
    </w:p>
    <w:p>
      <w:pPr>
        <w:pStyle w:val="3"/>
        <w:keepNext/>
      </w:pPr>
      <w:r>
        <w:t>2.5.4 Policy- and Context-Aware Enforcement at the Time of Access (Req 4)</w:t>
      </w:r>
    </w:p>
    <w:p>
      <w:pPr/>
      <w:r>
        <w:t xml:space="preserve">Purpose and a non-empty data scope within the consent are evaluated as VP through Algorithm 4. </w:t>
      </w:r>
      <w:r>
        <w:rPr>
          <w:color w:val="FF0000"/>
        </w:rPr>
        <w:t>This requirement is delivered by RO4, presented in Chapter 8.</w:t>
      </w:r>
    </w:p>
    <w:p>
      <w:pPr>
        <w:pStyle w:val="3"/>
        <w:keepNext/>
      </w:pPr>
      <w:r>
        <w:t>2.5.5 Temporal Validity and Lifecycle Control of Consent (Req 5)</w:t>
      </w:r>
    </w:p>
    <w:p>
      <w:pPr/>
      <w:r>
        <w:t xml:space="preserve">The validity window VT, revocation, the lifecycle states, and the on-chain revocation on Sepolia are implemented, as specified in Algorithm 5. The SUSPENDED state and the lifecycle transition check are not yet implemented. </w:t>
      </w:r>
      <w:r>
        <w:rPr>
          <w:color w:val="FF0000"/>
        </w:rPr>
        <w:t>This requirement is delivered by RO5, presented in Chapter 9.</w:t>
      </w:r>
    </w:p>
    <w:p>
      <w:pPr>
        <w:pStyle w:val="3"/>
        <w:keepNext/>
      </w:pPr>
      <w:r>
        <w:t>2.5.6 Verifiable Auditability and Security Assurance (Req 6)</w:t>
      </w:r>
    </w:p>
    <w:p>
      <w:pPr/>
      <w:r>
        <w:t xml:space="preserve">Audit ledger evidence and 46 automated tests, including twelve attack scenarios A1 to A12. The testing part of Algorithm 6 is done. Formal analysis is left for the next stage. </w:t>
      </w:r>
      <w:r>
        <w:rPr>
          <w:color w:val="FF0000"/>
        </w:rPr>
        <w:t>This requirement is delivered by RO6, presented in Chapter 10.</w:t>
      </w:r>
    </w:p>
    <w:p>
      <w:pPr>
        <w:pStyle w:val="2"/>
        <w:keepNext/>
      </w:pPr>
      <w:r>
        <w:rPr>
          <w:color w:val="FF0000"/>
        </w:rPr>
        <w:t>2.6 Conclusion</w:t>
      </w:r>
    </w:p>
    <w:p>
      <w:pPr/>
      <w:r>
        <w:rPr>
          <w:color w:val="FF0000"/>
        </w:rPr>
        <w:t>This chapter reviewed the literature on multi-party consent and trustworthy data sharing in healthcare. Six requirements were stated for a trustworthy multi-party consent authorisation: an evaluable consent object, decentralised verification of identity and authority, multi-party authorisation through a verifiable threshold, policy- and context-aware enforcement at the time of access, temporal validity and lifecycle control, and verifiable auditability and security assurance. The literature was searched in seven databases, screened under the PRISMA 2020 statement, and evaluated against six quality questions, and 25 primary studies were analysed in full against the requirements.</w:t>
      </w:r>
    </w:p>
    <w:p>
      <w:pPr/>
      <w:r>
        <w:rPr>
          <w:color w:val="FF0000"/>
        </w:rPr>
        <w:t>The review shows that each requirement is met by some of the studies, but that no study meets them together. Multi-party approval, where it appears, is a contingency path, an admission gate or a registration-time co-consent, not a standing condition of every access decision with an approving set defined by the patient. Purpose and data scope are rarely bound to the same decision as identity, authority and approval, and temporal validity and revocation are usually enforced on a credential rather than at the time of each request. Where several conditions are combined, the combined decision is neither proved nor systematically tested. These findings form the conjunction gap and the assurance gap. The next chapter states these gaps, the research questions that follow from them, and the objectives of this thesis.</w:t>
      </w:r>
    </w:p>
    <w:sectPr w:rsidR="009262C4">
      <w:headerReference w:type="default" r:id="rId37"/>
      <w:headerReference w:type="even" r:id="rId38"/>
      <w:footerReference w:type="default" r:id="rId34"/>
      <w:footerReference w:type="even" r:id="rId39"/>
      <w:pgSz w:w="11906" w:h="16838"/>
      <w:pgMar w:top="1417" w:right="1701" w:bottom="1417"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36" Type="http://schemas.openxmlformats.org/officeDocument/2006/relationships/theme" Target="theme/theme1.xml"/><Relationship Id="rId4" Type="http://schemas.openxmlformats.org/officeDocument/2006/relationships/webSettings" Target="webSettings.xml"/><Relationship Id="rId35" Type="http://schemas.openxmlformats.org/officeDocument/2006/relationships/fontTable" Target="fontTable.xml"/><Relationship Id="rId8" Type="http://schemas.openxmlformats.org/officeDocument/2006/relationships/image" Target="media/image2.png"/><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2026-10-23T07:58:06Z</dcterms:created>
  <dcterms:modified xsi:type="dcterms:W3CDTF">2026-10-23T07:58:06Z</dcterms:modified>
</cp:coreProperties>
</file>