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keepNext/>
        <w:spacing w:before="360"/>
      </w:pPr>
      <w:r/>
      <w:r>
        <w:rPr>
          <w:color w:val="FFFFFF"/>
          <w:sz w:val="2"/>
        </w:rPr>
        <w:t xml:space="preserve">2. </w:t>
      </w:r>
      <w:r>
        <w:rPr>
          <w:smallCaps/>
        </w:rPr>
        <w:t>A Systematic Literature Review</w:t>
      </w:r>
    </w:p>
    <w:p>
      <w:pPr>
        <w:pStyle w:val="2"/>
        <w:keepNext/>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keepNext/>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keepNext/>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keepNext/>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keepNext/>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keepNext/>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keepNext/>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keepNext/>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keepNext/>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six quality evaluation questions, one for each key requirement.</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 xml:space="preserve">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w:t>
      </w:r>
      <w:r>
        <w:t>The review is guided by the six key requirements of Section 2.2, and the six quality evaluation questions of Step 3 are derived from them, one for each requirement.</w:t>
      </w:r>
    </w:p>
    <w:p>
      <w:pPr>
        <w:pStyle w:val="3"/>
        <w:keepNext/>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sz w:val="20"/>
              </w:rPr>
              <w:t>S/N</w:t>
            </w:r>
          </w:p>
        </w:tc>
        <w:tc>
          <w:tcPr>
            <w:tcW w:type="dxa" w:w="5386"/>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sz w:val="20"/>
              </w:rPr>
              <w:t>Database</w:t>
            </w:r>
          </w:p>
        </w:tc>
        <w:tc>
          <w:tcPr>
            <w:tcW w:type="dxa" w:w="2268"/>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sz w:val="20"/>
              </w:rPr>
              <w:t>Records</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1</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SpringerLink</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46</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2</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Scopus</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38</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3</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IEEE Xplore</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27</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4</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ProQuest Science and Technology</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24</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5</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Web of Science</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19</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6</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ScienceDirect</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14</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7</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ACM Digital Library</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11</w:t>
            </w:r>
          </w:p>
        </w:tc>
      </w:tr>
      <w:tr>
        <w:trPr>
          <w:cantSplit/>
        </w:trPr>
        <w:tc>
          <w:tcPr>
            <w:tcW w:type="dxa" w:w="85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r>
          </w:p>
        </w:tc>
        <w:tc>
          <w:tcPr>
            <w:tcW w:type="dxa" w:w="5386"/>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Total</w:t>
            </w:r>
          </w:p>
        </w:tc>
        <w:tc>
          <w:tcPr>
            <w:tcW w:type="dxa" w:w="2268"/>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179</w:t>
            </w:r>
          </w:p>
        </w:tc>
      </w:tr>
    </w:tbl>
    <w:p>
      <w:pPr/>
      <w:r/>
    </w:p>
    <w:p>
      <w:pPr>
        <w:pStyle w:val="3"/>
        <w:keepNext/>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t>between 2020 and 2026</w:t>
      </w:r>
      <w:r>
        <w:t xml:space="preserve">. </w:t>
      </w:r>
      <w:r>
        <w:t>The exclusion criteria removed, among others,</w:t>
      </w:r>
      <w:r>
        <w:t xml:space="preserve"> </w:t>
      </w:r>
      <w: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Healthcare data sharing (IC1).</w:t>
      </w:r>
    </w:p>
    <w:p>
      <w:pPr/>
      <w:r>
        <w:t>2. Consent or authorisation relevant to data access (IC2).</w:t>
      </w:r>
    </w:p>
    <w:p>
      <w:pPr/>
      <w:r>
        <w:t>3. A model, mechanism, system or evaluation that addresses a review question (IC3).</w:t>
      </w:r>
    </w:p>
    <w:p>
      <w:pPr/>
      <w:r>
        <w:t>4. Peer-reviewed English paper with full text (IC4 to IC7).</w:t>
      </w:r>
    </w:p>
    <w:p>
      <w:pPr/>
      <w:r>
        <w:t>5. Publication between 2020 and 2026.</w:t>
      </w:r>
    </w:p>
    <w:p>
      <w:pPr/>
      <w:r>
        <w:t>Exclusion criteria:</w:t>
      </w:r>
    </w:p>
    <w:p>
      <w:pPr/>
      <w:r>
        <w:t>1. Outside healthcare or the authorisation scope.</w:t>
      </w:r>
    </w:p>
    <w:p>
      <w:pPr/>
      <w:r>
        <w:t>2. Authentication alone or a superficial mention of consent.</w:t>
      </w:r>
    </w:p>
    <w:p>
      <w:pPr/>
      <w:r>
        <w:t>3. Non-peer-reviewed work and duplicate publications.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sz w:val="20"/>
              </w:rPr>
              <w:t>Evaluation stage</w:t>
            </w:r>
          </w:p>
        </w:tc>
        <w:tc>
          <w:tcPr>
            <w:tcW w:type="dxa" w:w="2268"/>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sz w:val="20"/>
              </w:rPr>
              <w:t>Method</w:t>
            </w:r>
          </w:p>
        </w:tc>
        <w:tc>
          <w:tcPr>
            <w:tcW w:type="dxa" w:w="306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sz w:val="20"/>
              </w:rPr>
              <w:t>Assessment criteria</w:t>
            </w:r>
          </w:p>
        </w:tc>
        <w:tc>
          <w:tcPr>
            <w:tcW w:type="dxa" w:w="1928"/>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sz w:val="20"/>
              </w:rPr>
              <w:t>Records</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1st</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Identify the related studies from the seven databases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Match the search string</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179 identified</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2nd</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Remove duplicate records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Same title, author, DOI and publication year</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21 removed, 158 remain</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3rd</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Screen the titles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Within healthcare consent or authorisation; otherwise exclude</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76 excluded, 82 remain</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4th</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Screen the abstracts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Relevant to a review question; otherwise exclude</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43 excluded, 39 remain</w:t>
            </w:r>
          </w:p>
        </w:tc>
      </w:tr>
      <w:tr>
        <w:trPr>
          <w:cantSplit/>
        </w:trPr>
        <w:tc>
          <w:tcPr>
            <w:tcW w:type="dxa" w:w="1247"/>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5th</w:t>
            </w:r>
          </w:p>
        </w:tc>
        <w:tc>
          <w:tcPr>
            <w:tcW w:type="dxa" w:w="2268"/>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Assess the full texts</w:t>
            </w:r>
          </w:p>
        </w:tc>
        <w:tc>
          <w:tcPr>
            <w:tcW w:type="dxa" w:w="306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Eligibility criteria and the quality evaluation of Step 3</w:t>
            </w:r>
          </w:p>
        </w:tc>
        <w:tc>
          <w:tcPr>
            <w:tcW w:type="dxa" w:w="1928"/>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sz w:val="20"/>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keepNext/>
      </w:pPr>
      <w:r>
        <w:t>2.3.3 Step 3: Quality Evaluation</w:t>
      </w:r>
    </w:p>
    <w:p>
      <w:pPr/>
      <w:r>
        <w:t>The 39 full-text studies were retrieved and critically evaluated based on the six quality evaluation questions, one for each key requirement of Section 2.2, as follows:</w:t>
      </w:r>
    </w:p>
    <w:p>
      <w:pPr>
        <w:spacing w:after="40"/>
      </w:pPr>
      <w:r>
        <w:t>QA1: Does the study define a consent model covering identity, authority, policy, and evidence?</w:t>
      </w:r>
    </w:p>
    <w:p>
      <w:pPr>
        <w:spacing w:after="40"/>
      </w:pPr>
      <w:r>
        <w:t>QA2: Does the study verify participant identities and their authorisation authority?</w:t>
      </w:r>
    </w:p>
    <w:p>
      <w:pPr>
        <w:spacing w:after="40"/>
      </w:pPr>
      <w:r>
        <w:t>QA3: Does the study support consent decisions requiring approval from multiple authorised participants?</w:t>
      </w:r>
    </w:p>
    <w:p>
      <w:pPr>
        <w:spacing w:after="40"/>
      </w:pPr>
      <w:r>
        <w:t>QA4: Does the study enforce purpose, data scope, and approval rules before allowing access?</w:t>
      </w:r>
    </w:p>
    <w:p>
      <w:pPr>
        <w:spacing w:after="40"/>
      </w:pPr>
      <w:r>
        <w:t>QA5: Does the study manage consent validity, expiry, and revocation?</w:t>
      </w:r>
    </w:p>
    <w:p>
      <w:pPr>
        <w:spacing w:after="40"/>
      </w:pPr>
      <w:r>
        <w:t>QA6: Does the study validate security and access decisions through formal analysis or implementation testing?</w:t>
      </w:r>
    </w:p>
    <w:p>
      <w:pPr/>
      <w:r>
        <w:t>Each question was answered Yes or No, and any study which has at least three Yes answers to the six questions, and meets the eligibility criteria of Step 2, is included in this SLR. Of the 39 full-text studies, 25 satisfied the criteria, as shown in Table 2.3.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pPr>
        <w:pStyle w:val="3"/>
        <w:keepNext/>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2.3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val="0000" w:firstRow="0" w:lastRow="0" w:firstColumn="0" w:lastColumn="0" w:noHBand="0" w:noVBand="0"/>
      </w:tblPr>
      <w:tblGrid>
        <w:gridCol w:w="737"/>
        <w:gridCol w:w="2268"/>
        <w:gridCol w:w="5499"/>
      </w:tblGrid>
      <w:tr w:rsidR="009262C4" w14:paraId="4A276FDF" w14:textId="77777777">
        <w:trPr>
          <w:cantSplit/>
          <w:tblHeader/>
        </w:trPr>
        <w:tc>
          <w:tcPr>
            <w:tcW w:w="737"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3BC496B"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Study</w:t>
            </w:r>
          </w:p>
        </w:tc>
        <w:tc>
          <w:tcPr>
            <w:tcW w:w="2268"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39594DA3" w14:textId="77777777" w:rsidR="009262C4" w:rsidRDefault="00000000">
            <w:pPr>
              <w:keepNext/>
              <w:spacing w:before="40" w:after="40" w:line="240" w:lineRule="auto"/>
              <w:jc w:val="left"/>
            </w:pPr>
            <w:r>
              <w:rPr>
                <w:rFonts w:ascii="Palatino Linotype" w:hAnsi="Palatino Linotype" w:cs="Palatino Linotype"/>
                <w:b/>
                <w:bCs/>
                <w:sz w:val="20"/>
                <w:szCs w:val="17"/>
              </w:rPr>
              <w:t xml:space="preserve">Authors and year</w:t>
            </w:r>
          </w:p>
        </w:tc>
        <w:tc>
          <w:tcPr>
            <w:tcW w:w="5499"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5AA66D2" w14:textId="77777777" w:rsidR="009262C4" w:rsidRDefault="00000000">
            <w:pPr>
              <w:keepNext/>
              <w:spacing w:before="40" w:after="40" w:line="240" w:lineRule="auto"/>
              <w:jc w:val="left"/>
            </w:pPr>
            <w:r>
              <w:rPr>
                <w:rFonts w:ascii="Palatino Linotype" w:hAnsi="Palatino Linotype" w:cs="Palatino Linotype"/>
                <w:b/>
                <w:bCs/>
                <w:sz w:val="20"/>
                <w:szCs w:val="17"/>
              </w:rPr>
              <w:t xml:space="preserve">Article title</w:t>
            </w:r>
          </w:p>
        </w:tc>
      </w:tr>
      <w:tr w:rsidR="009262C4" w14:paraId="277610A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FBAD0E" w14:textId="77777777" w:rsidR="009262C4" w:rsidRDefault="00000000">
            <w:pPr>
              <w:spacing w:before="40" w:after="40" w:line="240" w:lineRule="auto"/>
              <w:jc w:val="left"/>
            </w:pPr>
            <w:r>
              <w:rPr>
                <w:rFonts w:ascii="Palatino Linotype" w:hAnsi="Palatino Linotype" w:cs="Palatino Linotype"/>
                <w:color w:val="000000"/>
                <w:sz w:val="20"/>
                <w:szCs w:val="17"/>
              </w:rPr>
              <w:t>S1</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32AD346" w14:textId="77777777" w:rsidR="009262C4" w:rsidRDefault="00000000">
            <w:pPr>
              <w:spacing w:before="40" w:after="40" w:line="240" w:lineRule="auto"/>
              <w:jc w:val="left"/>
            </w:pPr>
            <w:r>
              <w:rPr>
                <w:rFonts w:ascii="Palatino Linotype" w:hAnsi="Palatino Linotype" w:cs="Palatino Linotype"/>
                <w:color w:val="000000"/>
                <w:sz w:val="20"/>
                <w:szCs w:val="17"/>
              </w:rPr>
              <w:t>Abbasi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8C42C3E" w14:textId="77777777" w:rsidR="009262C4" w:rsidRDefault="00000000">
            <w:pPr>
              <w:spacing w:before="40" w:after="40" w:line="240" w:lineRule="auto"/>
              <w:jc w:val="left"/>
            </w:pPr>
            <w:r>
              <w:rPr>
                <w:rFonts w:ascii="Palatino Linotype" w:hAnsi="Palatino Linotype" w:cs="Palatino Linotype"/>
                <w:color w:val="000000"/>
                <w:sz w:val="20"/>
                <w:szCs w:val="17"/>
              </w:rPr>
              <w:t>Nexa: Enabling Secure, Scalable, and Decentralized Management of Electronic Health Records Using Threshold Cryptography and Public Blockchains</w:t>
            </w:r>
          </w:p>
        </w:tc>
      </w:tr>
      <w:tr w:rsidR="009262C4" w14:paraId="548DB82F"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6964AD" w14:textId="77777777" w:rsidR="009262C4" w:rsidRDefault="00000000">
            <w:pPr>
              <w:spacing w:before="40" w:after="40" w:line="240" w:lineRule="auto"/>
              <w:jc w:val="left"/>
            </w:pPr>
            <w:r>
              <w:rPr>
                <w:rFonts w:ascii="Palatino Linotype" w:hAnsi="Palatino Linotype" w:cs="Palatino Linotype"/>
                <w:color w:val="000000"/>
                <w:sz w:val="20"/>
                <w:szCs w:val="17"/>
              </w:rPr>
              <w:t>S2</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1483FC7"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Albalwy et al. (2021)</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6A1F0AE" w14:textId="77777777" w:rsidR="009262C4" w:rsidRDefault="00000000">
            <w:pPr>
              <w:spacing w:before="40" w:after="40" w:line="240" w:lineRule="auto"/>
              <w:jc w:val="left"/>
            </w:pPr>
            <w:r>
              <w:rPr>
                <w:rFonts w:ascii="Palatino Linotype" w:hAnsi="Palatino Linotype" w:cs="Palatino Linotype"/>
                <w:color w:val="000000"/>
                <w:sz w:val="20"/>
                <w:szCs w:val="17"/>
              </w:rPr>
              <w:t>A Blockchain-based dynamic consent architecture to support clinical genomic data sharing (ConsentChain): Proof-of-concept study</w:t>
            </w:r>
          </w:p>
        </w:tc>
      </w:tr>
      <w:tr w:rsidR="009262C4" w14:paraId="472B59D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DFCB26" w14:textId="77777777" w:rsidR="009262C4" w:rsidRDefault="00000000">
            <w:pPr>
              <w:spacing w:before="40" w:after="40" w:line="240" w:lineRule="auto"/>
              <w:jc w:val="left"/>
            </w:pPr>
            <w:r>
              <w:rPr>
                <w:rFonts w:ascii="Palatino Linotype" w:hAnsi="Palatino Linotype" w:cs="Palatino Linotype"/>
                <w:color w:val="000000"/>
                <w:sz w:val="20"/>
                <w:szCs w:val="17"/>
              </w:rPr>
              <w:t>S3</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381561C" w14:textId="77777777" w:rsidR="009262C4" w:rsidRDefault="00000000">
            <w:pPr>
              <w:spacing w:before="40" w:after="40" w:line="240" w:lineRule="auto"/>
              <w:jc w:val="left"/>
            </w:pPr>
            <w:r>
              <w:rPr>
                <w:rFonts w:ascii="Palatino Linotype" w:hAnsi="Palatino Linotype" w:cs="Palatino Linotype"/>
                <w:color w:val="000000"/>
                <w:sz w:val="20"/>
                <w:szCs w:val="17"/>
              </w:rPr>
              <w:t>Al Amin et al. (2023)</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A442B3" w14:textId="77777777" w:rsidR="009262C4" w:rsidRDefault="00000000">
            <w:pPr>
              <w:spacing w:before="40" w:after="40" w:line="240" w:lineRule="auto"/>
              <w:jc w:val="left"/>
            </w:pPr>
            <w:r>
              <w:rPr>
                <w:rFonts w:ascii="Palatino Linotype" w:hAnsi="Palatino Linotype" w:cs="Palatino Linotype"/>
                <w:color w:val="000000"/>
                <w:sz w:val="20"/>
                <w:szCs w:val="17"/>
              </w:rPr>
              <w:t>Informed Consent as Patient Driven Policy for Clinical Diagnosis and Treatment: A Smart Contract Based Approach</w:t>
            </w:r>
          </w:p>
        </w:tc>
      </w:tr>
      <w:tr w:rsidR="009262C4" w14:paraId="692DB973"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233871" w14:textId="77777777" w:rsidR="009262C4" w:rsidRDefault="00000000">
            <w:pPr>
              <w:spacing w:before="40" w:after="40" w:line="240" w:lineRule="auto"/>
              <w:jc w:val="left"/>
            </w:pPr>
            <w:r>
              <w:rPr>
                <w:rFonts w:ascii="Palatino Linotype" w:hAnsi="Palatino Linotype" w:cs="Palatino Linotype"/>
                <w:color w:val="000000"/>
                <w:sz w:val="20"/>
                <w:szCs w:val="17"/>
              </w:rPr>
              <w:t>S4</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3939FE" w14:textId="77777777" w:rsidR="009262C4" w:rsidRDefault="00000000">
            <w:pPr>
              <w:spacing w:before="40" w:after="40" w:line="240" w:lineRule="auto"/>
              <w:jc w:val="left"/>
            </w:pPr>
            <w:r>
              <w:rPr>
                <w:rFonts w:ascii="Palatino Linotype" w:hAnsi="Palatino Linotype" w:cs="Palatino Linotype"/>
                <w:color w:val="000000"/>
                <w:sz w:val="20"/>
                <w:szCs w:val="17"/>
              </w:rPr>
              <w:t>Ekholm et al.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384542" w14:textId="77777777" w:rsidR="009262C4" w:rsidRDefault="00000000">
            <w:pPr>
              <w:spacing w:before="40" w:after="40" w:line="240" w:lineRule="auto"/>
              <w:jc w:val="left"/>
            </w:pPr>
            <w:r>
              <w:rPr>
                <w:rFonts w:ascii="Palatino Linotype" w:hAnsi="Palatino Linotype" w:cs="Palatino Linotype"/>
                <w:color w:val="000000"/>
                <w:sz w:val="20"/>
                <w:szCs w:val="17"/>
              </w:rPr>
              <w:t>Implementing electronic informed consent in rare disease genomics</w:t>
            </w:r>
          </w:p>
        </w:tc>
      </w:tr>
      <w:tr w:rsidR="009262C4" w14:paraId="59A83339"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A3065E5" w14:textId="77777777" w:rsidR="009262C4" w:rsidRDefault="00000000">
            <w:pPr>
              <w:spacing w:before="40" w:after="40" w:line="240" w:lineRule="auto"/>
              <w:jc w:val="left"/>
            </w:pPr>
            <w:r>
              <w:rPr>
                <w:rFonts w:ascii="Palatino Linotype" w:hAnsi="Palatino Linotype" w:cs="Palatino Linotype"/>
                <w:color w:val="000000"/>
                <w:sz w:val="20"/>
                <w:szCs w:val="17"/>
              </w:rPr>
              <w:t>S5</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DC1B1FF" w14:textId="77777777" w:rsidR="009262C4" w:rsidRDefault="00000000">
            <w:pPr>
              <w:spacing w:before="40" w:after="40" w:line="240" w:lineRule="auto"/>
              <w:jc w:val="left"/>
            </w:pPr>
            <w:r>
              <w:rPr>
                <w:rFonts w:ascii="Palatino Linotype" w:hAnsi="Palatino Linotype" w:cs="Palatino Linotype"/>
                <w:color w:val="000000"/>
                <w:sz w:val="20"/>
                <w:szCs w:val="17"/>
              </w:rPr>
              <w:t>Eneh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C262A7F"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Demo: EdgeConsent: On-Chain Attribute-Based Access Control for Data Consent Management</w:t>
            </w:r>
          </w:p>
        </w:tc>
      </w:tr>
      <w:tr w:rsidR="009262C4" w14:paraId="3A3C15BF"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4C1E9E6" w14:textId="77777777" w:rsidR="009262C4" w:rsidRDefault="00000000">
            <w:pPr>
              <w:spacing w:before="40" w:after="40" w:line="240" w:lineRule="auto"/>
              <w:jc w:val="left"/>
            </w:pPr>
            <w:r>
              <w:rPr>
                <w:rFonts w:ascii="Palatino Linotype" w:hAnsi="Palatino Linotype" w:cs="Palatino Linotype"/>
                <w:color w:val="000000"/>
                <w:sz w:val="20"/>
                <w:szCs w:val="17"/>
              </w:rPr>
              <w:t>S6</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E36EE60" w14:textId="77777777" w:rsidR="009262C4" w:rsidRDefault="00000000">
            <w:pPr>
              <w:spacing w:before="40" w:after="40" w:line="240" w:lineRule="auto"/>
              <w:jc w:val="left"/>
            </w:pPr>
            <w:r>
              <w:rPr>
                <w:rFonts w:ascii="Palatino Linotype" w:hAnsi="Palatino Linotype" w:cs="Palatino Linotype"/>
                <w:color w:val="000000"/>
                <w:sz w:val="20"/>
                <w:szCs w:val="17"/>
              </w:rPr>
              <w:t>Hagström et al. (2024)</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9D150DF" w14:textId="77777777" w:rsidR="009262C4" w:rsidRDefault="00000000">
            <w:pPr>
              <w:spacing w:before="40" w:after="40" w:line="240" w:lineRule="auto"/>
              <w:jc w:val="left"/>
            </w:pPr>
            <w:r>
              <w:rPr>
                <w:rFonts w:ascii="Palatino Linotype" w:hAnsi="Palatino Linotype" w:cs="Palatino Linotype"/>
                <w:color w:val="000000"/>
                <w:sz w:val="20"/>
                <w:szCs w:val="17"/>
              </w:rPr>
              <w:t>Minors’ and guardian access to and use of a national patient portal: A retrospective comparative case study of Sweden and Finland</w:t>
            </w:r>
          </w:p>
        </w:tc>
      </w:tr>
      <w:tr w:rsidR="009262C4" w14:paraId="6D0D08AA"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E1B2577" w14:textId="77777777" w:rsidR="009262C4" w:rsidRDefault="00000000">
            <w:pPr>
              <w:spacing w:before="40" w:after="40" w:line="240" w:lineRule="auto"/>
              <w:jc w:val="left"/>
            </w:pPr>
            <w:r>
              <w:rPr>
                <w:rFonts w:ascii="Palatino Linotype" w:hAnsi="Palatino Linotype" w:cs="Palatino Linotype"/>
                <w:color w:val="000000"/>
                <w:sz w:val="20"/>
                <w:szCs w:val="17"/>
              </w:rPr>
              <w:t>S7</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792157"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Jaiman and Urovi (2020)</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DB70D26" w14:textId="77777777" w:rsidR="009262C4" w:rsidRDefault="00000000">
            <w:pPr>
              <w:spacing w:before="40" w:after="40" w:line="240" w:lineRule="auto"/>
              <w:jc w:val="left"/>
            </w:pPr>
            <w:r>
              <w:rPr>
                <w:rFonts w:ascii="Palatino Linotype" w:hAnsi="Palatino Linotype" w:cs="Palatino Linotype"/>
                <w:color w:val="000000"/>
                <w:sz w:val="20"/>
                <w:szCs w:val="17"/>
              </w:rPr>
              <w:t>A Consent Model for Blockchain-Based Health Data Sharing Platforms</w:t>
            </w:r>
          </w:p>
        </w:tc>
      </w:tr>
      <w:tr w:rsidR="009262C4" w14:paraId="437C48B1"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8124F14" w14:textId="77777777" w:rsidR="009262C4" w:rsidRDefault="00000000">
            <w:pPr>
              <w:spacing w:before="40" w:after="40" w:line="240" w:lineRule="auto"/>
              <w:jc w:val="left"/>
            </w:pPr>
            <w:r>
              <w:rPr>
                <w:rFonts w:ascii="Palatino Linotype" w:hAnsi="Palatino Linotype" w:cs="Palatino Linotype"/>
                <w:color w:val="000000"/>
                <w:sz w:val="20"/>
                <w:szCs w:val="17"/>
              </w:rPr>
              <w:lastRenderedPageBreak/>
              <w:t>S8</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1708CB4" w14:textId="77777777" w:rsidR="009262C4" w:rsidRDefault="00000000">
            <w:pPr>
              <w:spacing w:before="40" w:after="40" w:line="240" w:lineRule="auto"/>
              <w:jc w:val="left"/>
            </w:pPr>
            <w:r>
              <w:rPr>
                <w:rFonts w:ascii="Palatino Linotype" w:hAnsi="Palatino Linotype" w:cs="Palatino Linotype"/>
                <w:color w:val="000000"/>
                <w:sz w:val="20"/>
                <w:szCs w:val="17"/>
              </w:rPr>
              <w:t>Zhao and Su (2024)</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FFACC32" w14:textId="77777777" w:rsidR="009262C4" w:rsidRDefault="00000000">
            <w:pPr>
              <w:spacing w:before="40" w:after="40" w:line="240" w:lineRule="auto"/>
              <w:jc w:val="left"/>
            </w:pPr>
            <w:r>
              <w:rPr>
                <w:rFonts w:ascii="Palatino Linotype" w:hAnsi="Palatino Linotype" w:cs="Palatino Linotype"/>
                <w:color w:val="000000"/>
                <w:sz w:val="20"/>
                <w:szCs w:val="17"/>
              </w:rPr>
              <w:t>A threshold traceable delegation authorization scheme for data sharing in healthcare</w:t>
            </w:r>
          </w:p>
        </w:tc>
      </w:tr>
      <w:tr w:rsidR="009262C4" w14:paraId="5F6D2AF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FD9541" w14:textId="77777777" w:rsidR="009262C4" w:rsidRDefault="00000000">
            <w:pPr>
              <w:spacing w:before="40" w:after="40" w:line="240" w:lineRule="auto"/>
              <w:jc w:val="left"/>
            </w:pPr>
            <w:r>
              <w:rPr>
                <w:rFonts w:ascii="Palatino Linotype" w:hAnsi="Palatino Linotype" w:cs="Palatino Linotype"/>
                <w:color w:val="000000"/>
                <w:sz w:val="20"/>
                <w:szCs w:val="17"/>
              </w:rPr>
              <w:t>S9</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853A81E" w14:textId="77777777" w:rsidR="009262C4" w:rsidRDefault="00000000">
            <w:pPr>
              <w:spacing w:before="40" w:after="40" w:line="240" w:lineRule="auto"/>
              <w:jc w:val="left"/>
            </w:pPr>
            <w:r>
              <w:rPr>
                <w:rFonts w:ascii="Palatino Linotype" w:hAnsi="Palatino Linotype" w:cs="Palatino Linotype"/>
                <w:color w:val="000000"/>
                <w:sz w:val="20"/>
                <w:szCs w:val="17"/>
              </w:rPr>
              <w:t>Li et al. (2026a)</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53D7C9"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Privacy-Preserving Fine-Grained EMR Access Control for IoMT: A Hybrid RBAC-Smart Contract Scheme With Attribute-Based Authorization</w:t>
            </w:r>
          </w:p>
        </w:tc>
      </w:tr>
      <w:tr w:rsidR="009262C4" w14:paraId="11829EE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15EECA" w14:textId="77777777" w:rsidR="009262C4" w:rsidRDefault="00000000">
            <w:pPr>
              <w:spacing w:before="40" w:after="40" w:line="240" w:lineRule="auto"/>
              <w:jc w:val="left"/>
            </w:pPr>
            <w:r>
              <w:rPr>
                <w:rFonts w:ascii="Palatino Linotype" w:hAnsi="Palatino Linotype" w:cs="Palatino Linotype"/>
                <w:color w:val="000000"/>
                <w:sz w:val="20"/>
                <w:szCs w:val="17"/>
              </w:rPr>
              <w:t>S10</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676A9E7" w14:textId="77777777" w:rsidR="009262C4" w:rsidRDefault="00000000">
            <w:pPr>
              <w:spacing w:before="40" w:after="40" w:line="240" w:lineRule="auto"/>
              <w:jc w:val="left"/>
            </w:pPr>
            <w:r>
              <w:rPr>
                <w:rFonts w:ascii="Palatino Linotype" w:hAnsi="Palatino Linotype" w:cs="Palatino Linotype"/>
                <w:color w:val="000000"/>
                <w:sz w:val="20"/>
                <w:szCs w:val="17"/>
              </w:rPr>
              <w:t>Madine et al. (2020)</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B8ED551" w14:textId="77777777" w:rsidR="009262C4" w:rsidRDefault="00000000">
            <w:pPr>
              <w:spacing w:before="40" w:after="40" w:line="240" w:lineRule="auto"/>
              <w:jc w:val="left"/>
            </w:pPr>
            <w:r>
              <w:rPr>
                <w:rFonts w:ascii="Palatino Linotype" w:hAnsi="Palatino Linotype" w:cs="Palatino Linotype"/>
                <w:color w:val="000000"/>
                <w:sz w:val="20"/>
                <w:szCs w:val="17"/>
              </w:rPr>
              <w:t>Fully Decentralized Multi-Party Consent Management for Secure Sharing of Patient Health Records</w:t>
            </w:r>
          </w:p>
        </w:tc>
      </w:tr>
      <w:tr w:rsidR="009262C4" w14:paraId="088BB45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167C46" w14:textId="77777777" w:rsidR="009262C4" w:rsidRDefault="00000000">
            <w:pPr>
              <w:spacing w:before="40" w:after="40" w:line="240" w:lineRule="auto"/>
              <w:jc w:val="left"/>
            </w:pPr>
            <w:r>
              <w:rPr>
                <w:rFonts w:ascii="Palatino Linotype" w:hAnsi="Palatino Linotype" w:cs="Palatino Linotype"/>
                <w:color w:val="000000"/>
                <w:sz w:val="20"/>
                <w:szCs w:val="17"/>
              </w:rPr>
              <w:t>S11</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AA7568" w14:textId="77777777" w:rsidR="009262C4" w:rsidRDefault="00000000">
            <w:pPr>
              <w:spacing w:before="40" w:after="40" w:line="240" w:lineRule="auto"/>
              <w:jc w:val="left"/>
            </w:pPr>
            <w:r>
              <w:rPr>
                <w:rFonts w:ascii="Palatino Linotype" w:hAnsi="Palatino Linotype" w:cs="Palatino Linotype"/>
                <w:color w:val="000000"/>
                <w:sz w:val="20"/>
                <w:szCs w:val="17"/>
              </w:rPr>
              <w:t>Maruthi and Singh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F18898"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Enhancing Security and Privacy of IoMT Data for Unconscious Patient With Blockchain</w:t>
            </w:r>
          </w:p>
        </w:tc>
      </w:tr>
      <w:tr w:rsidR="009262C4" w14:paraId="7C8EF4D3"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291C73D" w14:textId="77777777" w:rsidR="009262C4" w:rsidRDefault="00000000">
            <w:pPr>
              <w:spacing w:before="40" w:after="40" w:line="240" w:lineRule="auto"/>
              <w:jc w:val="left"/>
            </w:pPr>
            <w:r>
              <w:rPr>
                <w:rFonts w:ascii="Palatino Linotype" w:hAnsi="Palatino Linotype" w:cs="Palatino Linotype"/>
                <w:color w:val="000000"/>
                <w:sz w:val="20"/>
                <w:szCs w:val="17"/>
              </w:rPr>
              <w:t>S12</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D956F5C" w14:textId="77777777" w:rsidR="009262C4" w:rsidRDefault="00000000">
            <w:pPr>
              <w:spacing w:before="40" w:after="40" w:line="240" w:lineRule="auto"/>
              <w:jc w:val="left"/>
            </w:pPr>
            <w:r>
              <w:rPr>
                <w:rFonts w:ascii="Palatino Linotype" w:hAnsi="Palatino Linotype" w:cs="Palatino Linotype"/>
                <w:color w:val="000000"/>
                <w:sz w:val="20"/>
                <w:szCs w:val="17"/>
              </w:rPr>
              <w:t>Mei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AC685C5" w14:textId="77777777" w:rsidR="009262C4" w:rsidRDefault="00000000">
            <w:pPr>
              <w:spacing w:before="40" w:after="40" w:line="240" w:lineRule="auto"/>
              <w:jc w:val="left"/>
            </w:pPr>
            <w:r>
              <w:rPr>
                <w:rFonts w:ascii="Palatino Linotype" w:hAnsi="Palatino Linotype" w:cs="Palatino Linotype"/>
                <w:color w:val="000000"/>
                <w:sz w:val="20"/>
                <w:szCs w:val="17"/>
              </w:rPr>
              <w:t>Efficient Dual-Revocation CP-ABE for Secure and Fine-Grained Data Sharing in IoMT</w:t>
            </w:r>
          </w:p>
        </w:tc>
      </w:tr>
      <w:tr w:rsidR="009262C4" w14:paraId="38E4B69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533179" w14:textId="77777777" w:rsidR="009262C4" w:rsidRDefault="00000000">
            <w:pPr>
              <w:spacing w:before="40" w:after="40" w:line="240" w:lineRule="auto"/>
              <w:jc w:val="left"/>
            </w:pPr>
            <w:r>
              <w:rPr>
                <w:rFonts w:ascii="Palatino Linotype" w:hAnsi="Palatino Linotype" w:cs="Palatino Linotype"/>
                <w:color w:val="000000"/>
                <w:sz w:val="20"/>
                <w:szCs w:val="17"/>
              </w:rPr>
              <w:t>S13</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99DBB4E" w14:textId="77777777" w:rsidR="009262C4" w:rsidRDefault="00000000">
            <w:pPr>
              <w:spacing w:before="40" w:after="40" w:line="240" w:lineRule="auto"/>
              <w:jc w:val="left"/>
            </w:pPr>
            <w:r>
              <w:rPr>
                <w:rFonts w:ascii="Palatino Linotype" w:hAnsi="Palatino Linotype" w:cs="Palatino Linotype"/>
                <w:color w:val="000000"/>
                <w:sz w:val="20"/>
                <w:szCs w:val="17"/>
              </w:rPr>
              <w:t>Panagoulias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2A75CE1" w14:textId="77777777" w:rsidR="009262C4" w:rsidRDefault="00000000">
            <w:pPr>
              <w:spacing w:before="40" w:after="40" w:line="240" w:lineRule="auto"/>
              <w:jc w:val="left"/>
            </w:pPr>
            <w:r>
              <w:rPr>
                <w:rFonts w:ascii="Palatino Linotype" w:hAnsi="Palatino Linotype" w:cs="Palatino Linotype"/>
                <w:color w:val="000000"/>
                <w:sz w:val="20"/>
                <w:szCs w:val="17"/>
              </w:rPr>
              <w:t>Blockchain-Enabled Trust and Compliance for Clinical AI: Decentralized Governance Without Decentralized Data Storage</w:t>
            </w:r>
          </w:p>
        </w:tc>
      </w:tr>
      <w:tr w:rsidR="009262C4" w14:paraId="31B38100"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3E3F1C" w14:textId="77777777" w:rsidR="009262C4" w:rsidRDefault="00000000">
            <w:pPr>
              <w:spacing w:before="40" w:after="40" w:line="240" w:lineRule="auto"/>
              <w:jc w:val="left"/>
            </w:pPr>
            <w:r>
              <w:rPr>
                <w:rFonts w:ascii="Palatino Linotype" w:hAnsi="Palatino Linotype" w:cs="Palatino Linotype"/>
                <w:color w:val="000000"/>
                <w:sz w:val="20"/>
                <w:szCs w:val="17"/>
              </w:rPr>
              <w:t>S14</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407F71B" w14:textId="77777777" w:rsidR="009262C4" w:rsidRDefault="00000000">
            <w:pPr>
              <w:spacing w:before="40" w:after="40" w:line="240" w:lineRule="auto"/>
              <w:jc w:val="left"/>
            </w:pPr>
            <w:r>
              <w:rPr>
                <w:rFonts w:ascii="Palatino Linotype" w:hAnsi="Palatino Linotype" w:cs="Palatino Linotype"/>
                <w:color w:val="000000"/>
                <w:sz w:val="20"/>
                <w:szCs w:val="17"/>
              </w:rPr>
              <w:t>Phuyal et al. (2026b)</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376196B"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Enabling Cross-Institution Health Data Sharing in Norway: EUDI Wallets, On-Chain Consent, and openEHR↔FHIR Translation</w:t>
            </w:r>
          </w:p>
        </w:tc>
      </w:tr>
      <w:tr w:rsidR="009262C4" w14:paraId="4435B8BB"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E68A8AD" w14:textId="77777777" w:rsidR="009262C4" w:rsidRDefault="00000000">
            <w:pPr>
              <w:spacing w:before="40" w:after="40" w:line="240" w:lineRule="auto"/>
              <w:jc w:val="left"/>
            </w:pPr>
            <w:r>
              <w:rPr>
                <w:rFonts w:ascii="Palatino Linotype" w:hAnsi="Palatino Linotype" w:cs="Palatino Linotype"/>
                <w:color w:val="000000"/>
                <w:sz w:val="20"/>
                <w:szCs w:val="17"/>
              </w:rPr>
              <w:t>S15</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01BE039" w14:textId="77777777" w:rsidR="009262C4" w:rsidRDefault="00000000">
            <w:pPr>
              <w:spacing w:before="40" w:after="40" w:line="240" w:lineRule="auto"/>
              <w:jc w:val="left"/>
            </w:pPr>
            <w:r>
              <w:rPr>
                <w:rFonts w:ascii="Palatino Linotype" w:hAnsi="Palatino Linotype" w:cs="Palatino Linotype"/>
                <w:color w:val="000000"/>
                <w:sz w:val="20"/>
                <w:szCs w:val="17"/>
              </w:rPr>
              <w:t>Phuyal et al. (2026a)</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EE8F7B" w14:textId="77777777" w:rsidR="009262C4" w:rsidRDefault="00000000">
            <w:pPr>
              <w:spacing w:before="40" w:after="40" w:line="240" w:lineRule="auto"/>
              <w:jc w:val="left"/>
            </w:pPr>
            <w:r>
              <w:rPr>
                <w:rFonts w:ascii="Palatino Linotype" w:hAnsi="Palatino Linotype" w:cs="Palatino Linotype"/>
                <w:color w:val="000000"/>
                <w:sz w:val="20"/>
                <w:szCs w:val="17"/>
              </w:rPr>
              <w:t>A Blockchain-Based Architecture for Dynamic and Auditable Patient Consent in Secondary Use of Health Data</w:t>
            </w:r>
          </w:p>
        </w:tc>
      </w:tr>
      <w:tr w:rsidR="009262C4" w14:paraId="4AAB7C76"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FCB60C" w14:textId="77777777" w:rsidR="009262C4" w:rsidRDefault="00000000">
            <w:pPr>
              <w:spacing w:before="40" w:after="40" w:line="240" w:lineRule="auto"/>
              <w:jc w:val="left"/>
            </w:pPr>
            <w:r>
              <w:rPr>
                <w:rFonts w:ascii="Palatino Linotype" w:hAnsi="Palatino Linotype" w:cs="Palatino Linotype"/>
                <w:color w:val="000000"/>
                <w:sz w:val="20"/>
                <w:szCs w:val="17"/>
              </w:rPr>
              <w:t>S16</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E0DB94" w14:textId="77777777" w:rsidR="009262C4" w:rsidRDefault="00000000">
            <w:pPr>
              <w:spacing w:before="40" w:after="40" w:line="240" w:lineRule="auto"/>
              <w:jc w:val="left"/>
            </w:pPr>
            <w:r>
              <w:rPr>
                <w:rFonts w:ascii="Palatino Linotype" w:hAnsi="Palatino Linotype" w:cs="Palatino Linotype"/>
                <w:color w:val="000000"/>
                <w:sz w:val="20"/>
                <w:szCs w:val="17"/>
              </w:rPr>
              <w:t>Punia et al.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6064DCF" w14:textId="77777777" w:rsidR="009262C4" w:rsidRDefault="00000000">
            <w:pPr>
              <w:spacing w:before="40" w:after="40" w:line="240" w:lineRule="auto"/>
              <w:jc w:val="left"/>
            </w:pPr>
            <w:r>
              <w:rPr>
                <w:rFonts w:ascii="Palatino Linotype" w:hAnsi="Palatino Linotype" w:cs="Palatino Linotype"/>
                <w:color w:val="000000"/>
                <w:sz w:val="20"/>
                <w:szCs w:val="17"/>
              </w:rPr>
              <w:t>An access control system for cloud-based healthcare systems driven by blockchain</w:t>
            </w:r>
          </w:p>
        </w:tc>
      </w:tr>
      <w:tr w:rsidR="009262C4" w14:paraId="14ECA6A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FD29708" w14:textId="77777777" w:rsidR="009262C4" w:rsidRDefault="00000000">
            <w:pPr>
              <w:spacing w:before="40" w:after="40" w:line="240" w:lineRule="auto"/>
              <w:jc w:val="left"/>
            </w:pPr>
            <w:r>
              <w:rPr>
                <w:rFonts w:ascii="Palatino Linotype" w:hAnsi="Palatino Linotype" w:cs="Palatino Linotype"/>
                <w:color w:val="000000"/>
                <w:sz w:val="20"/>
                <w:szCs w:val="17"/>
              </w:rPr>
              <w:t>S17</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CF8D16B" w14:textId="77777777" w:rsidR="009262C4" w:rsidRDefault="00000000">
            <w:pPr>
              <w:spacing w:before="40" w:after="40" w:line="240" w:lineRule="auto"/>
              <w:jc w:val="left"/>
            </w:pPr>
            <w:r>
              <w:rPr>
                <w:rFonts w:ascii="Palatino Linotype" w:hAnsi="Palatino Linotype" w:cs="Palatino Linotype"/>
                <w:color w:val="000000"/>
                <w:sz w:val="20"/>
                <w:szCs w:val="17"/>
              </w:rPr>
              <w:t>Román-Martínez et al. (2023)</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CE4416C" w14:textId="77777777" w:rsidR="009262C4" w:rsidRDefault="00000000">
            <w:pPr>
              <w:spacing w:before="40" w:after="40" w:line="240" w:lineRule="auto"/>
              <w:jc w:val="left"/>
            </w:pPr>
            <w:r>
              <w:rPr>
                <w:rFonts w:ascii="Palatino Linotype" w:hAnsi="Palatino Linotype" w:cs="Palatino Linotype"/>
                <w:color w:val="000000"/>
                <w:sz w:val="20"/>
                <w:szCs w:val="17"/>
              </w:rPr>
              <w:t>Blockchain-Based Service-Oriented Architecture for Consent Management, Access Control, and Auditing</w:t>
            </w:r>
          </w:p>
        </w:tc>
      </w:tr>
      <w:tr w:rsidR="009262C4" w14:paraId="23570959"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5C2E2B5" w14:textId="77777777" w:rsidR="009262C4" w:rsidRDefault="00000000">
            <w:pPr>
              <w:spacing w:before="40" w:after="40" w:line="240" w:lineRule="auto"/>
              <w:jc w:val="left"/>
            </w:pPr>
            <w:r>
              <w:rPr>
                <w:rFonts w:ascii="Palatino Linotype" w:hAnsi="Palatino Linotype" w:cs="Palatino Linotype"/>
                <w:color w:val="000000"/>
                <w:sz w:val="20"/>
                <w:szCs w:val="17"/>
              </w:rPr>
              <w:t>S18</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0802BDF" w14:textId="77777777" w:rsidR="009262C4" w:rsidRDefault="00000000">
            <w:pPr>
              <w:spacing w:before="40" w:after="40" w:line="240" w:lineRule="auto"/>
              <w:jc w:val="left"/>
            </w:pPr>
            <w:r>
              <w:rPr>
                <w:rFonts w:ascii="Palatino Linotype" w:hAnsi="Palatino Linotype" w:cs="Palatino Linotype"/>
                <w:color w:val="000000"/>
                <w:sz w:val="20"/>
                <w:szCs w:val="17"/>
              </w:rPr>
              <w:t>Hema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0612BCB" w14:textId="77777777" w:rsidR="009262C4" w:rsidRDefault="00000000">
            <w:pPr>
              <w:spacing w:before="40" w:after="40" w:line="240" w:lineRule="auto"/>
              <w:jc w:val="left"/>
            </w:pPr>
            <w:r>
              <w:rPr>
                <w:rFonts w:ascii="Palatino Linotype" w:hAnsi="Palatino Linotype" w:cs="Palatino Linotype"/>
                <w:color w:val="000000"/>
                <w:sz w:val="20"/>
                <w:szCs w:val="17"/>
              </w:rPr>
              <w:t>Patient Centric Cryptographic Protection of Cloud Electronic Health Records</w:t>
            </w:r>
          </w:p>
        </w:tc>
      </w:tr>
      <w:tr w:rsidR="009262C4" w14:paraId="3B04220B"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D0E6669" w14:textId="77777777" w:rsidR="009262C4" w:rsidRDefault="00000000">
            <w:pPr>
              <w:spacing w:before="40" w:after="40" w:line="240" w:lineRule="auto"/>
              <w:jc w:val="left"/>
            </w:pPr>
            <w:r>
              <w:rPr>
                <w:rFonts w:ascii="Palatino Linotype" w:hAnsi="Palatino Linotype" w:cs="Palatino Linotype"/>
                <w:color w:val="000000"/>
                <w:sz w:val="20"/>
                <w:szCs w:val="17"/>
              </w:rPr>
              <w:t>S19</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7BA423" w14:textId="77777777" w:rsidR="009262C4" w:rsidRDefault="00000000">
            <w:pPr>
              <w:spacing w:before="40" w:after="40" w:line="240" w:lineRule="auto"/>
              <w:jc w:val="left"/>
            </w:pPr>
            <w:r>
              <w:rPr>
                <w:rFonts w:ascii="Palatino Linotype" w:hAnsi="Palatino Linotype" w:cs="Palatino Linotype"/>
                <w:color w:val="000000"/>
                <w:sz w:val="20"/>
                <w:szCs w:val="17"/>
              </w:rPr>
              <w:t>SooHoo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8A2D85"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Development of the authentication and authorization processes for the iAgree portal, a platform for patient-controlled data sharing across health systems</w:t>
            </w:r>
          </w:p>
        </w:tc>
      </w:tr>
      <w:tr w:rsidR="009262C4" w14:paraId="731DDFDF"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89AC502" w14:textId="77777777" w:rsidR="009262C4" w:rsidRDefault="00000000">
            <w:pPr>
              <w:spacing w:before="40" w:after="40" w:line="240" w:lineRule="auto"/>
              <w:jc w:val="left"/>
            </w:pPr>
            <w:r>
              <w:rPr>
                <w:rFonts w:ascii="Palatino Linotype" w:hAnsi="Palatino Linotype" w:cs="Palatino Linotype"/>
                <w:color w:val="000000"/>
                <w:sz w:val="20"/>
                <w:szCs w:val="17"/>
              </w:rPr>
              <w:t>S20</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4849C5E" w14:textId="77777777" w:rsidR="009262C4" w:rsidRDefault="00000000">
            <w:pPr>
              <w:spacing w:before="40" w:after="40" w:line="240" w:lineRule="auto"/>
              <w:jc w:val="left"/>
            </w:pPr>
            <w:r>
              <w:rPr>
                <w:rFonts w:ascii="Palatino Linotype" w:hAnsi="Palatino Linotype" w:cs="Palatino Linotype"/>
                <w:color w:val="000000"/>
                <w:sz w:val="20"/>
                <w:szCs w:val="17"/>
              </w:rPr>
              <w:t>Tan et al. (2024)</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9E5946A" w14:textId="77777777" w:rsidR="009262C4" w:rsidRDefault="00000000">
            <w:pPr>
              <w:spacing w:before="40" w:after="40" w:line="240" w:lineRule="auto"/>
              <w:jc w:val="left"/>
            </w:pPr>
            <w:r>
              <w:rPr>
                <w:rFonts w:ascii="Palatino Linotype" w:hAnsi="Palatino Linotype" w:cs="Palatino Linotype"/>
                <w:color w:val="000000"/>
                <w:sz w:val="20"/>
                <w:szCs w:val="17"/>
              </w:rPr>
              <w:t>Secure and privacy-preserving sharing of personal health records with multi-party pre-authorization verification</w:t>
            </w:r>
          </w:p>
        </w:tc>
      </w:tr>
      <w:tr w:rsidR="009262C4" w14:paraId="2D5A344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C2256FC" w14:textId="77777777" w:rsidR="009262C4" w:rsidRDefault="00000000">
            <w:pPr>
              <w:spacing w:before="40" w:after="40" w:line="240" w:lineRule="auto"/>
              <w:jc w:val="left"/>
            </w:pPr>
            <w:r>
              <w:rPr>
                <w:rFonts w:ascii="Palatino Linotype" w:hAnsi="Palatino Linotype" w:cs="Palatino Linotype"/>
                <w:color w:val="000000"/>
                <w:sz w:val="20"/>
                <w:szCs w:val="17"/>
              </w:rPr>
              <w:t>S21</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C6FEDD2" w14:textId="77777777" w:rsidR="009262C4" w:rsidRDefault="00000000">
            <w:pPr>
              <w:spacing w:before="40" w:after="40" w:line="240" w:lineRule="auto"/>
              <w:jc w:val="left"/>
            </w:pPr>
            <w:r>
              <w:rPr>
                <w:rFonts w:ascii="Palatino Linotype" w:hAnsi="Palatino Linotype" w:cs="Palatino Linotype"/>
                <w:color w:val="000000"/>
                <w:sz w:val="20"/>
                <w:szCs w:val="17"/>
              </w:rPr>
              <w:t>Tith et al. (2020)</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426A5B5" w14:textId="77777777" w:rsidR="009262C4" w:rsidRDefault="00000000">
            <w:pPr>
              <w:spacing w:before="40" w:after="40" w:line="240" w:lineRule="auto"/>
              <w:jc w:val="left"/>
            </w:pPr>
            <w:r>
              <w:rPr>
                <w:rFonts w:ascii="Palatino Linotype" w:hAnsi="Palatino Linotype" w:cs="Palatino Linotype"/>
                <w:color w:val="000000"/>
                <w:sz w:val="20"/>
                <w:szCs w:val="17"/>
              </w:rPr>
              <w:t>Patient consent management by a purpose-based consent model for electronic health record based on blockchain technology</w:t>
            </w:r>
          </w:p>
        </w:tc>
      </w:tr>
      <w:tr w:rsidR="009262C4" w14:paraId="7A2F173A"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8950EA3" w14:textId="77777777" w:rsidR="009262C4" w:rsidRDefault="00000000">
            <w:pPr>
              <w:spacing w:before="40" w:after="40" w:line="240" w:lineRule="auto"/>
              <w:jc w:val="left"/>
            </w:pPr>
            <w:r>
              <w:rPr>
                <w:rFonts w:ascii="Palatino Linotype" w:hAnsi="Palatino Linotype" w:cs="Palatino Linotype"/>
                <w:color w:val="000000"/>
                <w:sz w:val="20"/>
                <w:szCs w:val="17"/>
              </w:rPr>
              <w:t>S22</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95F8AEA" w14:textId="77777777" w:rsidR="009262C4" w:rsidRDefault="00000000">
            <w:pPr>
              <w:spacing w:before="40" w:after="40" w:line="240" w:lineRule="auto"/>
              <w:jc w:val="left"/>
            </w:pPr>
            <w:r>
              <w:rPr>
                <w:rFonts w:ascii="Palatino Linotype" w:hAnsi="Palatino Linotype" w:cs="Palatino Linotype"/>
                <w:color w:val="000000"/>
                <w:sz w:val="20"/>
                <w:szCs w:val="17"/>
              </w:rPr>
              <w:t>Tremper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31F7D2" w14:textId="77777777" w:rsidR="009262C4" w:rsidRDefault="00000000">
            <w:pPr>
              <w:spacing w:before="40" w:after="40" w:line="240" w:lineRule="auto"/>
              <w:jc w:val="left"/>
            </w:pPr>
            <w:r>
              <w:rPr>
                <w:rFonts w:ascii="Palatino Linotype" w:hAnsi="Palatino Linotype" w:cs="Palatino Linotype"/>
                <w:color w:val="000000"/>
                <w:sz w:val="20"/>
                <w:szCs w:val="17"/>
              </w:rPr>
              <w:t>Mainzelliste: Ten years of pseudonymization, record linkage, and informed consent management</w:t>
            </w:r>
          </w:p>
        </w:tc>
      </w:tr>
      <w:tr w:rsidR="009262C4" w14:paraId="5562642B"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B9B0CF2" w14:textId="77777777" w:rsidR="009262C4" w:rsidRDefault="00000000">
            <w:pPr>
              <w:spacing w:before="40" w:after="40" w:line="240" w:lineRule="auto"/>
              <w:jc w:val="left"/>
            </w:pPr>
            <w:r>
              <w:rPr>
                <w:rFonts w:ascii="Palatino Linotype" w:hAnsi="Palatino Linotype" w:cs="Palatino Linotype"/>
                <w:color w:val="000000"/>
                <w:sz w:val="20"/>
                <w:szCs w:val="17"/>
              </w:rPr>
              <w:t>S23</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64C89F1" w14:textId="77777777" w:rsidR="009262C4" w:rsidRDefault="00000000">
            <w:pPr>
              <w:spacing w:before="40" w:after="40" w:line="240" w:lineRule="auto"/>
              <w:jc w:val="left"/>
            </w:pPr>
            <w:r>
              <w:rPr>
                <w:rFonts w:ascii="Palatino Linotype" w:hAnsi="Palatino Linotype" w:cs="Palatino Linotype"/>
                <w:color w:val="000000"/>
                <w:sz w:val="20"/>
                <w:szCs w:val="17"/>
              </w:rPr>
              <w:t>Tseng et al.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2EDAA9" w14:textId="77777777" w:rsidR="009262C4" w:rsidRDefault="00000000">
            <w:pPr>
              <w:spacing w:before="40" w:after="40" w:line="240" w:lineRule="auto"/>
              <w:jc w:val="left"/>
            </w:pPr>
            <w:r>
              <w:rPr>
                <w:rFonts w:ascii="Palatino Linotype" w:hAnsi="Palatino Linotype" w:cs="Palatino Linotype"/>
                <w:color w:val="000000"/>
                <w:sz w:val="20"/>
                <w:szCs w:val="17"/>
              </w:rPr>
              <w:t>EMR-Chain: Decentralized Electronic Medical Record Exchange System</w:t>
            </w:r>
          </w:p>
        </w:tc>
      </w:tr>
      <w:tr w:rsidR="009262C4" w14:paraId="025A53E1"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A9B3D7" w14:textId="77777777" w:rsidR="009262C4" w:rsidRDefault="00000000">
            <w:pPr>
              <w:spacing w:before="40" w:after="40" w:line="240" w:lineRule="auto"/>
              <w:jc w:val="left"/>
            </w:pPr>
            <w:r>
              <w:rPr>
                <w:rFonts w:ascii="Palatino Linotype" w:hAnsi="Palatino Linotype" w:cs="Palatino Linotype"/>
                <w:color w:val="000000"/>
                <w:sz w:val="20"/>
                <w:szCs w:val="17"/>
              </w:rPr>
              <w:t>S24</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B65205D" w14:textId="77777777" w:rsidR="009262C4" w:rsidRDefault="00000000">
            <w:pPr>
              <w:spacing w:before="40" w:after="40" w:line="240" w:lineRule="auto"/>
              <w:jc w:val="left"/>
            </w:pPr>
            <w:r>
              <w:rPr>
                <w:rFonts w:ascii="Palatino Linotype" w:hAnsi="Palatino Linotype" w:cs="Palatino Linotype"/>
                <w:color w:val="000000"/>
                <w:sz w:val="20"/>
                <w:szCs w:val="17"/>
              </w:rPr>
              <w:t>Wu et al. (2022)</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68C00E"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Apply Trust Computing and Privacy Preserving Smart Contracts to Manage, Share, and Analyze Multi-site Clinical Trial Data</w:t>
            </w:r>
          </w:p>
        </w:tc>
      </w:tr>
      <w:tr w:rsidR="009262C4" w14:paraId="75EC961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vAlign w:val="top"/>
          </w:tcPr>
          <w:p w14:paraId="5E5084A7" w14:textId="77777777" w:rsidR="009262C4" w:rsidRDefault="00000000">
            <w:pPr>
              <w:spacing w:before="40" w:after="40" w:line="240" w:lineRule="auto"/>
              <w:jc w:val="left"/>
            </w:pPr>
            <w:r>
              <w:rPr>
                <w:rFonts w:ascii="Palatino Linotype" w:hAnsi="Palatino Linotype" w:cs="Palatino Linotype"/>
                <w:color w:val="000000"/>
                <w:sz w:val="20"/>
                <w:szCs w:val="17"/>
              </w:rPr>
              <w:t>S25</w:t>
            </w:r>
          </w:p>
        </w:tc>
        <w:tc>
          <w:tcPr>
            <w:tcW w:w="2268" w:type="dxa"/>
            <w:tcBorders>
              <w:top w:val="nil"/>
              <w:left w:val="nil"/>
              <w:bottom w:val="nil"/>
              <w:right w:val="nil"/>
              <w:insideH w:val="nil"/>
              <w:insideV w:val="nil"/>
            </w:tcBorders>
            <w:tcMar>
              <w:top w:w="40" w:type="dxa"/>
              <w:left w:w="80" w:type="dxa"/>
              <w:bottom w:w="40" w:type="dxa"/>
              <w:right w:w="80" w:type="dxa"/>
            </w:tcMar>
            <w:vAlign w:val="top"/>
          </w:tcPr>
          <w:p w14:paraId="51FDD110" w14:textId="77777777" w:rsidR="009262C4" w:rsidRDefault="00000000">
            <w:pPr>
              <w:spacing w:before="40" w:after="40" w:line="240" w:lineRule="auto"/>
              <w:jc w:val="left"/>
            </w:pPr>
            <w:r>
              <w:rPr>
                <w:rFonts w:ascii="Palatino Linotype" w:hAnsi="Palatino Linotype" w:cs="Palatino Linotype"/>
                <w:color w:val="000000"/>
                <w:sz w:val="20"/>
                <w:szCs w:val="17"/>
              </w:rPr>
              <w:t>Wu and Zhang (2025)</w:t>
            </w:r>
          </w:p>
        </w:tc>
        <w:tc>
          <w:tcPr>
            <w:tcW w:w="5499" w:type="dxa"/>
            <w:tcBorders>
              <w:top w:val="nil"/>
              <w:left w:val="nil"/>
              <w:bottom w:val="nil"/>
              <w:right w:val="nil"/>
              <w:insideH w:val="nil"/>
              <w:insideV w:val="nil"/>
            </w:tcBorders>
            <w:tcMar>
              <w:top w:w="40" w:type="dxa"/>
              <w:left w:w="80" w:type="dxa"/>
              <w:bottom w:w="40" w:type="dxa"/>
              <w:right w:w="80" w:type="dxa"/>
            </w:tcMar>
            <w:vAlign w:val="top"/>
          </w:tcPr>
          <w:p w14:paraId="65CDD245" w14:textId="77777777" w:rsidR="009262C4" w:rsidRDefault="00000000">
            <w:pPr>
              <w:spacing w:before="40" w:after="40" w:line="240" w:lineRule="auto"/>
              <w:jc w:val="left"/>
            </w:pPr>
            <w:r>
              <w:rPr>
                <w:rFonts w:ascii="Palatino Linotype" w:hAnsi="Palatino Linotype" w:cs="Palatino Linotype"/>
                <w:color w:val="000000"/>
                <w:sz w:val="20"/>
                <w:szCs w:val="17"/>
              </w:rPr>
              <w:t>HealthDID: An efficient and authorizable multi-party privacy-preserving EMR sharing system based on DID</w:t>
            </w:r>
          </w:p>
        </w:tc>
      </w:tr>
    </w:tbl>
    <w:p w14:paraId="104769F2" w14:textId="77777777" w:rsidR="009262C4" w:rsidRDefault="009262C4">
      <w:pPr>
        <w:spacing w:after="160"/>
      </w:pPr>
    </w:p>
    <w:p>
      <w:pPr>
        <w:pStyle w:val="2"/>
        <w:keepNext/>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keepNext/>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2.4 summarises the description, the issues and limitations, and the requirement grades of the studies in this stream.</w:t>
      </w:r>
    </w:p>
    <w:p>
      <w:pPr>
        <w:keepNext/>
        <w:spacing w:before="160" w:after="160"/>
        <w:jc w:val="center"/>
      </w:pPr>
      <w:r>
        <w:rPr>
          <w:sz w:val="20"/>
        </w:rPr>
        <w:t>Table 2.4: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S3 Al Amin et al. (2023)</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Informed consent is modelled as a patient-driven policy object with hash integrity, which an authorisation module conjoins with other policies inside a smart contract.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S19 SooHoo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Consent enforcement is outside its scope, a single patient decides, identity and authority are not separated, revocation is claimed but not tested, and there are no formal methods.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S22 Tremper et al. (2026)</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r>
    </w:tbl>
    <w:p>
      <w:pPr/>
      <w:r/>
    </w:p>
    <w:p>
      <w:pPr>
        <w:pStyle w:val="3"/>
        <w:keepNext/>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2.10.</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S14 Phuyal et al. (2026b)</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A single patient grants consent, the stored expiry is not checked, purpose is handled only at the interface, and there is no threat model.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S15 Phuyal et al. (2026a)</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The architecture is design-only and is neither implemented nor evaluated, and delegation through VCs is not joint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S23 Tseng et al. (2025)</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r>
    </w:tbl>
    <w:p>
      <w:pPr/>
      <w:r/>
    </w:p>
    <w:p>
      <w:pPr>
        <w:pStyle w:val="3"/>
        <w:keepNext/>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S1 Abbasi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Decentralised EHR management in which a Shamir (5, 3) threshold reconstructs a symmetric key, and automated oracles release their shares according to the requester's on-chain role.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S4 Ekholm et al. (2025)</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S6 Hagström et al. (2024)</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S10 Madine et al. (2020)</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S16 Punia et al. (2025)</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S20 Tan et al. (2024)</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S24 Wu et al. (2022)</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r>
    </w:tbl>
    <w:p>
      <w:pPr/>
      <w:r/>
    </w:p>
    <w:p>
      <w:pPr>
        <w:pStyle w:val="3"/>
        <w:keepNext/>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2.10.</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S2 Albalwy et al. (2021)</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A blockchain-based dynamic consent proof of concept for clinical genomic data, in which a hashed policy tree of data type, role, and purpose is evaluated by the smart contract.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A single patient sets and cancels consent, the requester's role and credentials are not verified, time is applied only at the delivery layer, and there is no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S7 Jaiman and Urovi (2020)</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Security assurance is explicitly outside its scope, and there is no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S17 Román-Martínez et al. (2023)</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There is no withdrawal or expiry path, and the experiments validate only the blockchain component.</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S21 Tith et al. (2020)</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r>
    </w:tbl>
    <w:p>
      <w:pPr/>
      <w:r/>
    </w:p>
    <w:p>
      <w:pPr>
        <w:pStyle w:val="3"/>
        <w:keepNext/>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 xml:space="preserve">Req 5 is graded Yes in 8 studies, </w:t>
      </w:r>
      <w:r>
        <w:t>a post-revocation denial is demonstrated only by Phuyal et al. (2026b), which enforces revocation but not expiry, so it does not fully satisfy Req 5,</w:t>
      </w:r>
      <w:r>
        <w:t xml:space="preserve"> and the four stream-5 systems that enforce time inside the decision are all single-party, with Li et al. (2026a) doing so through the credential rather than the consent.</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S5 Eneh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S9 Li et al. (2026a)</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A hybrid RBAC and smart contract scheme with attribute-based authentication for fine-grained EMR access in IoMT, which enforces credential expiry at every sharing interaction.</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S13 Panagoulias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S18 Hema et al. (2026)</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r>
    </w:tbl>
    <w:p>
      <w:pPr/>
      <w:r/>
    </w:p>
    <w:p>
      <w:pPr>
        <w:pStyle w:val="3"/>
        <w:keepNext/>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S8 Zhao and Su (2024)</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S11 Maruthi and Singh (2025)</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Policy and temporal conditions are not evaluated, and the proofs cover the threshold gate in isolation rather than the complete decision.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S12 Mei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The proof covers a static encryption predicate, revocation operates at scheme level rather than on a consent object, and there is no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S25 Wu and Zhang (2025)</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sz w:val="17"/>
              </w:rPr>
              <w:t>Yes</w:t>
            </w:r>
          </w:p>
        </w:tc>
      </w:tr>
    </w:tbl>
    <w:p>
      <w:pPr/>
      <w:r/>
    </w:p>
    <w:p>
      <w:pPr>
        <w:pStyle w:val="3"/>
        <w:keepNext/>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2.10 summarises</w:t>
      </w:r>
      <w:r>
        <w:t xml:space="preserve"> the 25 studies against the six requirements, where Yes denotes that the requirement is fully satisfied and No that it is not fully satisfied. </w:t>
      </w:r>
      <w:r>
        <w:t>In the Req 6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2.10:</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36A48349"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04D627B"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3C7F628"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793B1E77"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C0CB570"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3E996D6B"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F0772B9"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6</w:t>
            </w:r>
          </w:p>
        </w:tc>
      </w:tr>
      <w:tr w:rsidR="009262C4" w14:paraId="1198B3A7"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D269E4" w14:textId="77777777" w:rsidR="009262C4" w:rsidRDefault="00000000">
            <w:pPr>
              <w:spacing w:before="40" w:after="40" w:line="240" w:lineRule="auto"/>
              <w:jc w:val="left"/>
            </w:pPr>
            <w:r>
              <w:rPr>
                <w:rFonts w:ascii="Palatino Linotype" w:hAnsi="Palatino Linotype" w:cs="Palatino Linotype"/>
                <w:color w:val="000000"/>
                <w:sz w:val="20"/>
                <w:szCs w:val="17"/>
              </w:rPr>
              <w:t>S1 Abbasi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353DE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E9473E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02E319D"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323AA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D0245F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41AD0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2E0525FB"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A30BEAC"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S2 Albalwy et al. (2021)</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0F9E62"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3BDD8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AE92A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3C1DB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4D505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E102FC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38873140"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8ED55E" w14:textId="77777777" w:rsidR="009262C4" w:rsidRDefault="00000000">
            <w:pPr>
              <w:spacing w:before="40" w:after="40" w:line="240" w:lineRule="auto"/>
              <w:jc w:val="left"/>
            </w:pPr>
            <w:r>
              <w:rPr>
                <w:rFonts w:ascii="Palatino Linotype" w:hAnsi="Palatino Linotype" w:cs="Palatino Linotype"/>
                <w:color w:val="000000"/>
                <w:sz w:val="20"/>
                <w:szCs w:val="17"/>
              </w:rPr>
              <w:t>S3 Al Amin et al. (2023)</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09C400F"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55228D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BF4713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A8B63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263250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090A7E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CFEF1BA"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5794249" w14:textId="77777777" w:rsidR="009262C4" w:rsidRDefault="00000000">
            <w:pPr>
              <w:spacing w:before="40" w:after="40" w:line="240" w:lineRule="auto"/>
              <w:jc w:val="left"/>
            </w:pPr>
            <w:r>
              <w:rPr>
                <w:rFonts w:ascii="Palatino Linotype" w:hAnsi="Palatino Linotype" w:cs="Palatino Linotype"/>
                <w:color w:val="000000"/>
                <w:sz w:val="20"/>
                <w:szCs w:val="17"/>
              </w:rPr>
              <w:t>S4 Ekholm et al.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7F0C2C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6D71CF"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B3F56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9DA5D2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933F70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99D14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33BC8B0"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B8C5159" w14:textId="77777777" w:rsidR="009262C4" w:rsidRDefault="00000000">
            <w:pPr>
              <w:spacing w:before="40" w:after="40" w:line="240" w:lineRule="auto"/>
              <w:jc w:val="left"/>
            </w:pPr>
            <w:r>
              <w:rPr>
                <w:rFonts w:ascii="Palatino Linotype" w:hAnsi="Palatino Linotype" w:cs="Palatino Linotype"/>
                <w:color w:val="000000"/>
                <w:sz w:val="20"/>
                <w:szCs w:val="17"/>
              </w:rPr>
              <w:t>S5 Eneh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119A8F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072BE5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CFD614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88E8C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25634C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033186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54CCACD"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8ED44A" w14:textId="77777777" w:rsidR="009262C4" w:rsidRDefault="00000000">
            <w:pPr>
              <w:spacing w:before="40" w:after="40" w:line="240" w:lineRule="auto"/>
              <w:jc w:val="left"/>
            </w:pPr>
            <w:r>
              <w:rPr>
                <w:rFonts w:ascii="Palatino Linotype" w:hAnsi="Palatino Linotype" w:cs="Palatino Linotype"/>
                <w:color w:val="000000"/>
                <w:sz w:val="20"/>
                <w:szCs w:val="17"/>
              </w:rPr>
              <w:t>S6 Hagström et al. (2024)</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7306A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D22FF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87231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594B9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5B6E3B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449910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5437E801"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E0CE2A1"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S7 Jaiman and Urovi (2020)</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F5F114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25D17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EE2914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ED68EE"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2DF353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8099F7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0BDCE4B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CC62A6" w14:textId="77777777" w:rsidR="009262C4" w:rsidRDefault="00000000">
            <w:pPr>
              <w:spacing w:before="40" w:after="40" w:line="240" w:lineRule="auto"/>
              <w:jc w:val="left"/>
            </w:pPr>
            <w:r>
              <w:rPr>
                <w:rFonts w:ascii="Palatino Linotype" w:hAnsi="Palatino Linotype" w:cs="Palatino Linotype"/>
                <w:color w:val="000000"/>
                <w:sz w:val="20"/>
                <w:szCs w:val="17"/>
              </w:rPr>
              <w:t>S8 Zhao and Su (2024)</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EF176E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6BA52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CACBC1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B7907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2D4F2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F41D6DF"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005AA4CE"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43FAADB" w14:textId="77777777" w:rsidR="009262C4" w:rsidRDefault="00000000">
            <w:pPr>
              <w:spacing w:before="40" w:after="40" w:line="240" w:lineRule="auto"/>
              <w:jc w:val="left"/>
            </w:pPr>
            <w:r>
              <w:rPr>
                <w:rFonts w:ascii="Palatino Linotype" w:hAnsi="Palatino Linotype" w:cs="Palatino Linotype"/>
                <w:color w:val="000000"/>
                <w:sz w:val="20"/>
                <w:szCs w:val="17"/>
              </w:rPr>
              <w:t>S9 Li et al. (2026a)</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98A73F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F90A85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B97265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A6A07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365B17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55243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ED5A622"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0711215" w14:textId="77777777" w:rsidR="009262C4" w:rsidRDefault="00000000">
            <w:pPr>
              <w:spacing w:before="40" w:after="40" w:line="240" w:lineRule="auto"/>
              <w:jc w:val="left"/>
            </w:pPr>
            <w:r>
              <w:rPr>
                <w:rFonts w:ascii="Palatino Linotype" w:hAnsi="Palatino Linotype" w:cs="Palatino Linotype"/>
                <w:color w:val="000000"/>
                <w:sz w:val="20"/>
                <w:szCs w:val="17"/>
              </w:rPr>
              <w:t>S10 Madine et al. (2020)</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CCF7FA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F61119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9ECCBA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C4DEB4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4472D2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99BF36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32FA4AE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5535FE3" w14:textId="77777777" w:rsidR="009262C4" w:rsidRDefault="00000000">
            <w:pPr>
              <w:spacing w:before="40" w:after="40" w:line="240" w:lineRule="auto"/>
              <w:jc w:val="left"/>
            </w:pPr>
            <w:r>
              <w:rPr>
                <w:rFonts w:ascii="Palatino Linotype" w:hAnsi="Palatino Linotype" w:cs="Palatino Linotype"/>
                <w:color w:val="000000"/>
                <w:sz w:val="20"/>
                <w:szCs w:val="17"/>
              </w:rPr>
              <w:t>S11 Maruthi and Singh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A9252C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7E181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6F4A5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834AC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1D8EBC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9DA9E5D"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2848767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7182FB9" w14:textId="77777777" w:rsidR="009262C4" w:rsidRDefault="00000000">
            <w:pPr>
              <w:spacing w:before="40" w:after="40" w:line="240" w:lineRule="auto"/>
              <w:jc w:val="left"/>
            </w:pPr>
            <w:r>
              <w:rPr>
                <w:rFonts w:ascii="Palatino Linotype" w:hAnsi="Palatino Linotype" w:cs="Palatino Linotype"/>
                <w:color w:val="000000"/>
                <w:sz w:val="20"/>
                <w:szCs w:val="17"/>
              </w:rPr>
              <w:t>S12 Mei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5EBA1B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BA7338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870CAA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1AAE1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C94E71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72558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6B6FB79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EF552D9" w14:textId="77777777" w:rsidR="009262C4" w:rsidRDefault="00000000">
            <w:pPr>
              <w:spacing w:before="40" w:after="40" w:line="240" w:lineRule="auto"/>
              <w:jc w:val="left"/>
            </w:pPr>
            <w:r>
              <w:rPr>
                <w:rFonts w:ascii="Palatino Linotype" w:hAnsi="Palatino Linotype" w:cs="Palatino Linotype"/>
                <w:color w:val="000000"/>
                <w:sz w:val="20"/>
                <w:szCs w:val="17"/>
              </w:rPr>
              <w:t>S13 Panagoulias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47841B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47D350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2687F4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E7749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370049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6C0E5C"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30EE1003"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7E3D3DC" w14:textId="77777777" w:rsidR="009262C4" w:rsidRDefault="00000000">
            <w:pPr>
              <w:spacing w:before="40" w:after="40" w:line="240" w:lineRule="auto"/>
              <w:jc w:val="left"/>
            </w:pPr>
            <w:r>
              <w:rPr>
                <w:rFonts w:ascii="Palatino Linotype" w:hAnsi="Palatino Linotype" w:cs="Palatino Linotype"/>
                <w:color w:val="000000"/>
                <w:sz w:val="20"/>
                <w:szCs w:val="17"/>
              </w:rPr>
              <w:t>S14 Phuyal et al. (2026b)</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435FE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5C24D7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22014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597EC1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0490C6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D6D3099"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6BDE0A2F"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7E90E4D" w14:textId="77777777" w:rsidR="009262C4" w:rsidRDefault="00000000">
            <w:pPr>
              <w:spacing w:before="40" w:after="40" w:line="240" w:lineRule="auto"/>
              <w:jc w:val="left"/>
            </w:pPr>
            <w:r>
              <w:rPr>
                <w:rFonts w:ascii="Palatino Linotype" w:hAnsi="Palatino Linotype" w:cs="Palatino Linotype"/>
                <w:color w:val="000000"/>
                <w:sz w:val="20"/>
                <w:szCs w:val="17"/>
              </w:rPr>
              <w:t>S15 Phuyal et al. (2026a)</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2D6696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966E8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1C2B2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7AF975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64D8BD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FBA46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1EADAE9B"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398AF6" w14:textId="77777777" w:rsidR="009262C4" w:rsidRDefault="00000000">
            <w:pPr>
              <w:spacing w:before="40" w:after="40" w:line="240" w:lineRule="auto"/>
              <w:jc w:val="left"/>
            </w:pPr>
            <w:r>
              <w:rPr>
                <w:rFonts w:ascii="Palatino Linotype" w:hAnsi="Palatino Linotype" w:cs="Palatino Linotype"/>
                <w:color w:val="000000"/>
                <w:sz w:val="20"/>
                <w:szCs w:val="17"/>
              </w:rPr>
              <w:t>S16 Punia et al.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94C9C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0D729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3F10302"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00D57DD"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F0A7F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D68205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36A2F1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1033AC" w14:textId="77777777" w:rsidR="009262C4" w:rsidRDefault="00000000">
            <w:pPr>
              <w:spacing w:before="40" w:after="40" w:line="240" w:lineRule="auto"/>
              <w:jc w:val="left"/>
            </w:pPr>
            <w:r>
              <w:rPr>
                <w:rFonts w:ascii="Palatino Linotype" w:hAnsi="Palatino Linotype" w:cs="Palatino Linotype"/>
                <w:color w:val="000000"/>
                <w:sz w:val="20"/>
                <w:szCs w:val="17"/>
              </w:rPr>
              <w:t>S17 Román-Martínez et al. (2023)</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9B0C46"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732BB8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50619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6BC9EE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28842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66247D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2EB5DA8"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9E2D9F" w14:textId="77777777" w:rsidR="009262C4" w:rsidRDefault="00000000">
            <w:pPr>
              <w:spacing w:before="40" w:after="40" w:line="240" w:lineRule="auto"/>
              <w:jc w:val="left"/>
            </w:pPr>
            <w:r>
              <w:rPr>
                <w:rFonts w:ascii="Palatino Linotype" w:hAnsi="Palatino Linotype" w:cs="Palatino Linotype"/>
                <w:color w:val="000000"/>
                <w:sz w:val="20"/>
                <w:szCs w:val="17"/>
              </w:rPr>
              <w:t>S18 Hema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E490E8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3BFC5E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18463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149E21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73D58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8D3DDA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6B04A2A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A74D7E4" w14:textId="77777777" w:rsidR="009262C4" w:rsidRDefault="00000000">
            <w:pPr>
              <w:spacing w:before="40" w:after="40" w:line="240" w:lineRule="auto"/>
              <w:jc w:val="left"/>
            </w:pPr>
            <w:r>
              <w:rPr>
                <w:rFonts w:ascii="Palatino Linotype" w:hAnsi="Palatino Linotype" w:cs="Palatino Linotype"/>
                <w:color w:val="000000"/>
                <w:sz w:val="20"/>
                <w:szCs w:val="17"/>
              </w:rPr>
              <w:t>S19 SooHoo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8B01D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2D2A84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8E08A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1EEC15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F7B015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CEE3F7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1B995D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E18B69" w14:textId="77777777" w:rsidR="009262C4" w:rsidRDefault="00000000">
            <w:pPr>
              <w:spacing w:before="40" w:after="40" w:line="240" w:lineRule="auto"/>
              <w:jc w:val="left"/>
            </w:pPr>
            <w:r>
              <w:rPr>
                <w:rFonts w:ascii="Palatino Linotype" w:hAnsi="Palatino Linotype" w:cs="Palatino Linotype"/>
                <w:color w:val="000000"/>
                <w:sz w:val="20"/>
                <w:szCs w:val="17"/>
              </w:rPr>
              <w:t>S20 Tan et al. (2024)</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6ADF66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AD30DF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CC4F5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0CB1C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C0D95E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3BD07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A0D7B05"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B61173" w14:textId="77777777" w:rsidR="009262C4" w:rsidRDefault="00000000">
            <w:pPr>
              <w:spacing w:before="40" w:after="40" w:line="240" w:lineRule="auto"/>
              <w:jc w:val="left"/>
            </w:pPr>
            <w:r>
              <w:rPr>
                <w:rFonts w:ascii="Palatino Linotype" w:hAnsi="Palatino Linotype" w:cs="Palatino Linotype"/>
                <w:color w:val="000000"/>
                <w:sz w:val="20"/>
                <w:szCs w:val="17"/>
              </w:rPr>
              <w:t>S21 Tith et al. (2020)</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EC8596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1A51C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BF3FD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00F61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ECD7C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31F7D0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6B457C7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354F19" w14:textId="77777777" w:rsidR="009262C4" w:rsidRDefault="00000000">
            <w:pPr>
              <w:spacing w:before="40" w:after="40" w:line="240" w:lineRule="auto"/>
              <w:jc w:val="left"/>
            </w:pPr>
            <w:r>
              <w:rPr>
                <w:rFonts w:ascii="Palatino Linotype" w:hAnsi="Palatino Linotype" w:cs="Palatino Linotype"/>
                <w:color w:val="000000"/>
                <w:sz w:val="20"/>
                <w:szCs w:val="17"/>
              </w:rPr>
              <w:t>S22 Tremper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285B9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14E336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15D85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18919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96129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530DC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6F2BEA30"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3C4B8F8" w14:textId="77777777" w:rsidR="009262C4" w:rsidRDefault="00000000">
            <w:pPr>
              <w:spacing w:before="40" w:after="40" w:line="240" w:lineRule="auto"/>
              <w:jc w:val="left"/>
            </w:pPr>
            <w:r>
              <w:rPr>
                <w:rFonts w:ascii="Palatino Linotype" w:hAnsi="Palatino Linotype" w:cs="Palatino Linotype"/>
                <w:color w:val="000000"/>
                <w:sz w:val="20"/>
                <w:szCs w:val="17"/>
              </w:rPr>
              <w:t>S23 Tseng et al.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F8F6E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62502F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4EE972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02A084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78BE2A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C832B9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166EB1DF"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2C42555" w14:textId="77777777" w:rsidR="009262C4" w:rsidRDefault="00000000">
            <w:pPr>
              <w:spacing w:before="40" w:after="40" w:line="240" w:lineRule="auto"/>
              <w:jc w:val="left"/>
            </w:pPr>
            <w:r>
              <w:rPr>
                <w:rFonts w:ascii="Palatino Linotype" w:hAnsi="Palatino Linotype" w:cs="Palatino Linotype"/>
                <w:color w:val="000000"/>
                <w:sz w:val="20"/>
                <w:szCs w:val="17"/>
              </w:rPr>
              <w:t>S24 Wu et al. (2022)</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D8E4F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0D42B8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969E1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B3B3C6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89453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3103E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vAlign w:val="top"/>
          </w:tcPr>
          <w:p w14:paraId="2FAA777A" w14:textId="77777777" w:rsidR="009262C4" w:rsidRDefault="00000000">
            <w:pPr>
              <w:spacing w:before="40" w:after="40" w:line="240" w:lineRule="auto"/>
              <w:jc w:val="left"/>
            </w:pPr>
            <w:r>
              <w:rPr>
                <w:rFonts w:ascii="Palatino Linotype" w:hAnsi="Palatino Linotype" w:cs="Palatino Linotype"/>
                <w:color w:val="000000"/>
                <w:sz w:val="20"/>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39B6576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2343698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6C341D7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265BF5C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30F114D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2BB9100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2.10</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r>
        <w:t xml:space="preserve"> The figure also shows how the proposed framework addresses the two gaps and gives, for each requirement, the number of the 25 analysed studies graded Yes in Table 2.10.</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Synthesis of the review: the conjunction gap and the assurance gap</w:t>
      </w:r>
    </w:p>
    <w:p>
      <w:pPr/>
      <w:r>
        <w:t>As presented in Tables 2.4 to 2.10,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t>•</w:t>
        <w:tab/>
      </w: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t>•</w:t>
        <w:tab/>
      </w: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2.10). Without this separation, an authenticated participant is treated as an authorised one.</w:t>
      </w:r>
    </w:p>
    <w:p>
      <w:pPr>
        <w:tabs>
          <w:tab w:pos="510" w:val="left"/>
        </w:tabs>
        <w:spacing w:after="120"/>
        <w:ind w:left="510" w:hanging="283"/>
      </w:pPr>
      <w:r>
        <w:t>•</w:t>
        <w:tab/>
      </w: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2.10). None of the papers examined makes approval by a patient-defined set a condition of every access decision.</w:t>
      </w:r>
    </w:p>
    <w:p>
      <w:pPr>
        <w:tabs>
          <w:tab w:pos="510" w:val="left"/>
        </w:tabs>
        <w:spacing w:after="120"/>
        <w:ind w:left="510" w:hanging="283"/>
      </w:pPr>
      <w:r>
        <w:t>•</w:t>
        <w:tab/>
      </w:r>
      <w:r>
        <w:rPr>
          <w:i/>
          <w:u w:val="single"/>
        </w:rPr>
        <w:t>Inability to bind purpose and data scope to the same decision as identity, authority and approval (Req 4):</w:t>
      </w:r>
      <w:r>
        <w:t xml:space="preserve"> Purpose and data-scope constraints are enforced by 10 of the 25 studies (Table 2.10),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t>•</w:t>
        <w:tab/>
      </w:r>
      <w:r>
        <w:rPr>
          <w:i/>
          <w:u w:val="single"/>
        </w:rPr>
        <w:t>Absence of temporal and lifecycle evaluation at the time of each access request (Req 5):</w:t>
      </w:r>
      <w:r>
        <w:t xml:space="preserve"> Req 5 is graded Yes in 8 of the 25 studies (Table 2.10).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t>•</w:t>
        <w:tab/>
      </w:r>
      <w:r>
        <w:rPr>
          <w:i/>
          <w:u w:val="single"/>
        </w:rPr>
        <w:t>Absence of formal and empirical assurance of the complete decision (Req 6):</w:t>
      </w:r>
      <w: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t>In the next section, we present our proposed framework to address the gaps.</w:t>
      </w:r>
    </w:p>
    <w:p>
      <w:pPr>
        <w:pStyle w:val="2"/>
        <w:keepNext/>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keepNext/>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delivered by RO1, presented in Chapter 5.</w:t>
      </w:r>
    </w:p>
    <w:p>
      <w:pPr>
        <w:pStyle w:val="3"/>
        <w:keepNext/>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t>This requirement is delivered by RO2, presented in Chapter 6.</w:t>
      </w:r>
    </w:p>
    <w:p>
      <w:pPr>
        <w:pStyle w:val="3"/>
        <w:keepNext/>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delivered by RO3, presented in Chapter 7.</w:t>
      </w:r>
    </w:p>
    <w:p>
      <w:pPr>
        <w:pStyle w:val="3"/>
        <w:keepNext/>
      </w:pPr>
      <w:r>
        <w:t>2.5.4 Policy- and Context-Aware Enforcement at the Time of Access (Req 4)</w:t>
      </w:r>
    </w:p>
    <w:p>
      <w:pPr/>
      <w:r>
        <w:t xml:space="preserve">Purpose and a non-empty data scope within the consent are evaluated as VP through Algorithm 4. </w:t>
      </w:r>
      <w:r>
        <w:t>This requirement is delivered by RO4, presented in Chapter 8.</w:t>
      </w:r>
    </w:p>
    <w:p>
      <w:pPr>
        <w:pStyle w:val="3"/>
        <w:keepNext/>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t>This requirement is delivered by RO5, presented in Chapter 9.</w:t>
      </w:r>
    </w:p>
    <w:p>
      <w:pPr>
        <w:pStyle w:val="3"/>
        <w:keepNext/>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t>This requirement is delivered by RO6, presented in Chapter 10.</w:t>
      </w:r>
    </w:p>
    <w:p>
      <w:pPr>
        <w:pStyle w:val="2"/>
        <w:keepNext/>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sectPr w:rsidR="009262C4">
      <w:headerReference w:type="default" r:id="rId37"/>
      <w:headerReference w:type="even" r:id="rId38"/>
      <w:footerReference w:type="default" r:id="rId34"/>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2026-10-23T07:58:06Z</dcterms:created>
  <dcterms:modified xsi:type="dcterms:W3CDTF">2026-10-23T07:58:06Z</dcterms:modified>
</cp:coreProperties>
</file>