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28</w:t>
      </w:r>
    </w:p>
    <w:p>
      <w:pPr>
        <w:tabs>
          <w:tab w:val="right" w:pos="9128" w:leader="dot"/>
        </w:tabs>
        <w:spacing w:after="100"/>
      </w:pPr>
      <w:r>
        <w:rPr>
          <w:rFonts w:ascii="Times New Roman" w:cs="Times New Roman" w:eastAsia="Times New Roman" w:hAnsi="Times New Roman"/>
          <w:sz w:val="22"/>
          <w:szCs w:val="22"/>
        </w:rPr>
        <w:t xml:space="preserve">7. The Proposed Solution for RO2	32</w:t>
      </w:r>
    </w:p>
    <w:p>
      <w:pPr>
        <w:tabs>
          <w:tab w:val="right" w:pos="9128" w:leader="dot"/>
        </w:tabs>
        <w:spacing w:after="100"/>
      </w:pPr>
      <w:r>
        <w:rPr>
          <w:rFonts w:ascii="Times New Roman" w:cs="Times New Roman" w:eastAsia="Times New Roman" w:hAnsi="Times New Roman"/>
          <w:sz w:val="22"/>
          <w:szCs w:val="22"/>
        </w:rPr>
        <w:t xml:space="preserve">8. The Proposed Solution for RO3	35</w:t>
      </w:r>
    </w:p>
    <w:p>
      <w:pPr>
        <w:tabs>
          <w:tab w:val="right" w:pos="9128" w:leader="dot"/>
        </w:tabs>
        <w:spacing w:after="100"/>
      </w:pPr>
      <w:r>
        <w:rPr>
          <w:rFonts w:ascii="Times New Roman" w:cs="Times New Roman" w:eastAsia="Times New Roman" w:hAnsi="Times New Roman"/>
          <w:sz w:val="22"/>
          <w:szCs w:val="22"/>
        </w:rPr>
        <w:t xml:space="preserve">9. The Proposed Solution for RO4	40</w:t>
      </w:r>
    </w:p>
    <w:p>
      <w:pPr>
        <w:tabs>
          <w:tab w:val="right" w:pos="9128" w:leader="dot"/>
        </w:tabs>
        <w:spacing w:after="100"/>
      </w:pPr>
      <w:r>
        <w:rPr>
          <w:rFonts w:ascii="Times New Roman" w:cs="Times New Roman" w:eastAsia="Times New Roman" w:hAnsi="Times New Roman"/>
          <w:sz w:val="22"/>
          <w:szCs w:val="22"/>
        </w:rPr>
        <w:t xml:space="preserve">10. The Proposed Solution for RO5	44</w:t>
      </w:r>
    </w:p>
    <w:p>
      <w:pPr>
        <w:tabs>
          <w:tab w:val="right" w:pos="9128" w:leader="dot"/>
        </w:tabs>
        <w:spacing w:after="100"/>
      </w:pPr>
      <w:r>
        <w:rPr>
          <w:rFonts w:ascii="Times New Roman" w:cs="Times New Roman" w:eastAsia="Times New Roman" w:hAnsi="Times New Roman"/>
          <w:sz w:val="22"/>
          <w:szCs w:val="22"/>
        </w:rPr>
        <w:t xml:space="preserve">11. The Proposed Solution for RO6	47</w:t>
      </w:r>
    </w:p>
    <w:p>
      <w:pPr>
        <w:tabs>
          <w:tab w:val="right" w:pos="9128" w:leader="dot"/>
        </w:tabs>
        <w:spacing w:after="100"/>
      </w:pPr>
      <w:r>
        <w:rPr>
          <w:rFonts w:ascii="Times New Roman" w:cs="Times New Roman" w:eastAsia="Times New Roman" w:hAnsi="Times New Roman"/>
          <w:sz w:val="22"/>
          <w:szCs w:val="22"/>
        </w:rPr>
        <w:t xml:space="preserve">12. Publications Summary	60</w:t>
      </w:r>
    </w:p>
    <w:p>
      <w:pPr>
        <w:tabs>
          <w:tab w:val="right" w:pos="9128" w:leader="dot"/>
        </w:tabs>
        <w:spacing w:after="100"/>
      </w:pPr>
      <w:r>
        <w:rPr>
          <w:rFonts w:ascii="Times New Roman" w:cs="Times New Roman" w:eastAsia="Times New Roman" w:hAnsi="Times New Roman"/>
          <w:sz w:val="22"/>
          <w:szCs w:val="22"/>
        </w:rPr>
        <w:t xml:space="preserve">13. Research Plan	61</w:t>
      </w:r>
    </w:p>
    <w:p>
      <w:pPr>
        <w:tabs>
          <w:tab w:val="right" w:pos="9128" w:leader="dot"/>
        </w:tabs>
        <w:spacing w:after="100"/>
      </w:pPr>
      <w:r>
        <w:rPr>
          <w:rFonts w:ascii="Times New Roman" w:cs="Times New Roman" w:eastAsia="Times New Roman" w:hAnsi="Times New Roman"/>
          <w:sz w:val="22"/>
          <w:szCs w:val="22"/>
        </w:rPr>
        <w:t xml:space="preserve">References	63</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Six review roles covered five perspectives and a chair who decided each record, and all counts are those of the decision-log checkpoint of 10 September 2026 (decision D-166).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FF0000"/>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color w:val="FF0000"/>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color w:val="FF0000"/>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Under decision D-166, a study is core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color w:val="FF0000"/>
          <w:sz w:val="22"/>
          <w:szCs w:val="22"/>
        </w:rPr>
        <w:t xml:space="preserve">Table 1 lists the 25 primary studies with their year, title, and category.</w:t>
      </w: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color w:val="FF0000"/>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Soohoo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Each included study was assigned to the stream on which it is coded most strongly.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Soohoo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color w:val="FF0000"/>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[62, 63], or as conditions fixed at encryption time [64, 65].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T2 was graded Yes in only 10 of the 25 studies and Partial in 15.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the strongest Req 2 evidence in the corpus.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color w:val="FF0000"/>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T4 is coded Yes in 11 studies, Partial in 10, and No in 4.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color w:val="FF0000"/>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color w:val="FF0000"/>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The panel records an inverse relation between predicate breadth and assurance strength. </w:t>
      </w:r>
      <w:r>
        <w:rPr>
          <w:rFonts w:ascii="Times New Roman" w:cs="Times New Roman" w:eastAsia="Times New Roman" w:hAnsi="Times New Roman"/>
          <w:color w:val="FF0000"/>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 </w:t>
      </w:r>
      <w:r>
        <w:rPr>
          <w:rFonts w:ascii="Times New Roman" w:cs="Times New Roman" w:eastAsia="Times New Roman" w:hAnsi="Times New Roman"/>
          <w:color w:val="FF0000"/>
          <w:sz w:val="22"/>
          <w:szCs w:val="22"/>
        </w:rPr>
        <w:t xml:space="preserve">Table 2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color w:val="FF0000"/>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Time is enforced on the credential rather than on the consent, so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On the normal path a single patient key authorises, so multi-party approval is a contingency</w:t>
            </w:r>
            <w:r>
              <w:rPr>
                <w:rFonts w:ascii="Times New Roman" w:cs="Times New Roman" w:eastAsia="Times New Roman" w:hAnsi="Times New Roman"/>
                <w:b w:val="false"/>
                <w:bCs w:val="false"/>
                <w:color w:val="FF0000"/>
                <w:sz w:val="17"/>
                <w:szCs w:val="17"/>
              </w:rPr>
              <w:t xml:space="preserve">;</w:t>
            </w:r>
            <w:r>
              <w:rPr>
                <w:rFonts w:ascii="Times New Roman" w:cs="Times New Roman" w:eastAsia="Times New Roman" w:hAnsi="Times New Roman"/>
                <w:b w:val="false"/>
                <w:bCs w:val="false"/>
                <w:color w:val="FF0000"/>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S19 Soohoo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The multi-party systems carry no purpose or data-scope condition, whereas the proved schemes omit policy, temporal validity, and lifecycle. Table 3 summarises the 25 studies against the six requirements, </w:t>
      </w:r>
      <w:r>
        <w:rPr>
          <w:rFonts w:ascii="Times New Roman" w:cs="Times New Roman" w:eastAsia="Times New Roman" w:hAnsi="Times New Roman"/>
          <w:color w:val="FF0000"/>
          <w:sz w:val="22"/>
          <w:szCs w:val="22"/>
        </w:rPr>
        <w:t xml:space="preserve">where Yes denotes satisfied, Partial partially satisfied, and No not satisfied.</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[58]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[61]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color w:val="FF0000"/>
          <w:sz w:val="22"/>
          <w:szCs w:val="22"/>
        </w:rPr>
        <w:t xml:space="preserve">Table 4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while for Req 6, formal assurance is provided by 4 studies, argued informally by 9, and absent in 12.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Read on their own, the background surveys cited in Sections 1 and 2 suggest that multi-party authorisation of patient consent does not exist, although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with the number of the 25 analysed studies ⟦r⟧graded Yes for each requirement in {T9}⟦/r⟧" title="Synthesis of the review: the conjunction gap and the assurance gap addressed by the proposed framework, with the number of the 25 analysed studies ⟦r⟧graded Yes for each requirement in {T9}⟦/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color w:val="FF0000"/>
          <w:sz w:val="18"/>
          <w:szCs w:val="18"/>
        </w:rPr>
        <w:t xml:space="preserve">graded Yes for each requirement in Table 3</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color w:val="FF0000"/>
          <w:sz w:val="22"/>
          <w:szCs w:val="22"/>
        </w:rPr>
        <w:t xml:space="preserve">The reporting checkpoint and a single coding panel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The Proposed Framework and the Key Requirements</w:t>
      </w:r>
    </w:p>
    <w:p>
      <w:pPr>
        <w:spacing w:after="110" w:line="264"/>
        <w:jc w:val="both"/>
      </w:pPr>
      <w:r>
        <w:rPr>
          <w:rFonts w:ascii="Times New Roman" w:cs="Times New Roman" w:eastAsia="Times New Roman" w:hAnsi="Times New Roman"/>
          <w:color w:val="FF0000"/>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4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CA3.</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color w:val="FF0000"/>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DID and VC verification separates identity from authority and is expressed as V</w:t>
            </w:r>
            <w:r>
              <w:rPr>
                <w:rFonts w:ascii="Times New Roman" w:cs="Times New Roman" w:eastAsia="Times New Roman" w:hAnsi="Times New Roman"/>
                <w:b w:val="false"/>
                <w:bCs w:val="false"/>
                <w:color w:val="FF0000"/>
                <w:sz w:val="17"/>
                <w:szCs w:val="17"/>
                <w:vertAlign w:val="subscript"/>
              </w:rPr>
              <w:t xml:space="preserve">I</w:t>
            </w:r>
            <w:r>
              <w:rPr>
                <w:rFonts w:ascii="Times New Roman" w:cs="Times New Roman" w:eastAsia="Times New Roman" w:hAnsi="Times New Roman"/>
                <w:b w:val="false"/>
                <w:bCs w:val="false"/>
                <w:color w:val="FF0000"/>
                <w:sz w:val="17"/>
                <w:szCs w:val="17"/>
              </w:rPr>
              <w:t xml:space="preserve">. The prototype checks the DID format, and full DID resolution and VC validation are planned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N-of-N approval by the guardian set G with EIP-712 guardian signatures, evaluated as V</w:t>
            </w:r>
            <w:r>
              <w:rPr>
                <w:rFonts w:ascii="Times New Roman" w:cs="Times New Roman" w:eastAsia="Times New Roman" w:hAnsi="Times New Roman"/>
                <w:b w:val="false"/>
                <w:bCs w:val="false"/>
                <w:color w:val="FF0000"/>
                <w:sz w:val="17"/>
                <w:szCs w:val="17"/>
                <w:vertAlign w:val="subscript"/>
              </w:rPr>
              <w:t xml:space="preserve">A</w:t>
            </w:r>
            <w:r>
              <w:rPr>
                <w:rFonts w:ascii="Times New Roman" w:cs="Times New Roman" w:eastAsia="Times New Roman" w:hAnsi="Times New Roman"/>
                <w:b w:val="false"/>
                <w:bCs w:val="false"/>
                <w:color w:val="FF0000"/>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Purpose and a non-empty data scope within the consent are evaluated as V</w:t>
            </w:r>
            <w:r>
              <w:rPr>
                <w:rFonts w:ascii="Times New Roman" w:cs="Times New Roman" w:eastAsia="Times New Roman" w:hAnsi="Times New Roman"/>
                <w:b w:val="false"/>
                <w:bCs w:val="false"/>
                <w:color w:val="FF0000"/>
                <w:sz w:val="17"/>
                <w:szCs w:val="17"/>
                <w:vertAlign w:val="subscript"/>
              </w:rPr>
              <w:t xml:space="preserve">P</w:t>
            </w:r>
            <w:r>
              <w:rPr>
                <w:rFonts w:ascii="Times New Roman" w:cs="Times New Roman" w:eastAsia="Times New Roman" w:hAnsi="Times New Roman"/>
                <w:b w:val="false"/>
                <w:bCs w:val="false"/>
                <w:color w:val="FF0000"/>
                <w:sz w:val="17"/>
                <w:szCs w:val="17"/>
              </w:rPr>
              <w:t xml:space="preserve"> through Algorithm 4, together with the jurisdiction condition V</w:t>
            </w:r>
            <w:r>
              <w:rPr>
                <w:rFonts w:ascii="Times New Roman" w:cs="Times New Roman" w:eastAsia="Times New Roman" w:hAnsi="Times New Roman"/>
                <w:b w:val="false"/>
                <w:bCs w:val="false"/>
                <w:color w:val="FF0000"/>
                <w:sz w:val="17"/>
                <w:szCs w:val="17"/>
                <w:vertAlign w:val="subscript"/>
              </w:rPr>
              <w:t xml:space="preserve">L</w:t>
            </w:r>
            <w:r>
              <w:rPr>
                <w:rFonts w:ascii="Times New Roman" w:cs="Times New Roman" w:eastAsia="Times New Roman" w:hAnsi="Times New Roman"/>
                <w:b w:val="false"/>
                <w:bCs w:val="false"/>
                <w:color w:val="FF0000"/>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validity window V</w:t>
            </w:r>
            <w:r>
              <w:rPr>
                <w:rFonts w:ascii="Times New Roman" w:cs="Times New Roman" w:eastAsia="Times New Roman" w:hAnsi="Times New Roman"/>
                <w:b w:val="false"/>
                <w:bCs w:val="false"/>
                <w:color w:val="FF0000"/>
                <w:sz w:val="17"/>
                <w:szCs w:val="17"/>
                <w:vertAlign w:val="subscript"/>
              </w:rPr>
              <w:t xml:space="preserve">T</w:t>
            </w:r>
            <w:r>
              <w:rPr>
                <w:rFonts w:ascii="Times New Roman" w:cs="Times New Roman" w:eastAsia="Times New Roman" w:hAnsi="Times New Roman"/>
                <w:b w:val="false"/>
                <w:bCs w:val="false"/>
                <w:color w:val="FF0000"/>
                <w:sz w:val="17"/>
                <w:szCs w:val="17"/>
              </w:rPr>
              <w:t xml:space="preserve">, revocation, the lifecycle states, and the on-chain revocation on Sepolia.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Audit ledger evidence, 36 automated tests, and twelve unit-level attack scenarios. Formal analysis is reserved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treat consent primarily as a record of a patient’s permission [62, 63, 67]. Once the permission has been created and stored, subsequent access control may depend predominantly on the existence of the consent record and the successful authentication of the requester. Even the evaluable consent objects reported since 2020 [21, 24, 28, 48, 66]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or data-scope condition [23, 25, 26].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rarely verified separately from authentication.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requires the Groth16 ZK proof to verify,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RO1 to RO4 are delivered in CA2,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For a guardian approval, the authority in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membership of G, and each member of G is counted once.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a registration-time co-consent [27, 52], an institution-side admission gate [61], a custodial M-of-N signature [25], or a key-share reconstruction [50,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If the required threshold is not satisfied, the authorisation process terminates with a denial decision.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If a guardian or proxy is specified, the system validates the guardian set G.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For example, where two approvals are required and the consent has not been revoked,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was originally planned for CA3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As in Section 5.2, lifecycle state and revocation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Five elements remain for CA3.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records an unauthorised state-transition event and returns INVALID, but this is the only step not yet implemented.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This work will constitute a major component of CA3.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The SBT, a soulbound ERC-721 token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The creation, approval, and granted-access screens were captured from a second lifecycle, 04da25f5, which used the same code, contract, and configuration and was anchored as token #2.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The public anchoring of the evaluated consent in block 11,771,243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6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7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8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9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7</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10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identify as remaining for CA3. RO5 and RO6 constitute the principal research agenda for CA3.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12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Abdul Ghafoor, Iraklis Symeonidis, Anna Rydberg, Cecilia Lindahl, and Abdul Qadus Abbasi. Towards empowering stakeholders through decentralized trust and secure livestock data sharing. Cryptography, 9(3):52,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Richard K. Lomotey, Sandra Kumi, and Ralph Deters. Data trusts as a service: Providing a platform for multi-party data sharing. International Journal of Information Management Data Insights, 2(1):100075,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Thanh Linh Nguyen, Lam Nguyen, Thong Hoang, Dilum Bandara, Qin Wang, Qinghua Lu, Xiwei Xu, Liming Zhu, and Shiping Chen. Blockchain-empowered trustworthy data sharing: Fundamentals, applications, and challenges. ACM Computing Surveys, 57(8):1–36,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Emily C. Webber, David Brick, James P. Scibilia, Peter Dehnel, Council on Clinical Information Technology, et al. Electronic communication of the health record and information with pediatric patients and their guardians. Pediatrics, 144(1):e20191359, 2019.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Cindy Welzel, Max Ostermann, Hannah Louise Smith, Timo Minssen, Toralf Kirsten, and Stephen Gilbert. Enabling secure and self determined health data sharing and consent management. npj Digital Medicine, 8(1):560, 2025.</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Minal R. Narkhede, Nilesh I. Wankhede, and Akanksha M. Kamble. Enhancing patient autonomy in data ownership: Privacy models and consent frameworks for healthcare. Journal of Digital Health, 4(1):1–23, 2025.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Roy McClelland and Colin M. Harper. Information privacy in healthcare: The vital role of informed consent. European Journal of Health Law, 30(4):469–480, 2023.</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Aleena Nazir, Mubashir Husain Rehmani, Bernard Butler, and Donna O’Shea. Access control in healthcare IoT: A comprehensive survey. Engineering Reports, 8(4):e70766,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Ahmed M. Tawfik, Ayman Al-Ahwal, Adly S. Tag Eldien, and Hala H. Zayed. Blockchain-based access control and privacy preservation in healthcare: A comprehensive survey. Cluster Computing, 28(8):529,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Leonidas Theodorakopoulos, Alexandra Theodoropoulou, and Constantinos Halkiopoulos. Enhancing decentralized decision-making with big data and blockchain technology: A comprehensive review. Applied Sciences, 14(16):7007,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Abdullah Al Mamun, Sami Azam, and Clementine Gritti. Blockchain-based electronic health records management: A comprehensive review and future research direction. IEEE Access, 10:5768–5789, 2022.</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Remy Hellstern, Daniel C. Park, Victoria Lemieux, and Guldana Salimjan. Leveraging blockchain-based archival solutions for sensitive documentation: A Xinjiang case study. Digital Society, 1(1):4, 2022.</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Lanlan Li, Charles Z. Liu, and Sanjeeb Shrestha. Analytical entropy approach for measuring blockchain immutability and tamper-resilient trust. Entropy, 28(6):690,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Carlo Mazzocca, Abbas Acar, Selcuk Uluagac, Rebecca Montanari, Paolo Bellavista, and Mauro Conti. A survey on decentralized identifiers and verifiable credentials. IEEE Communications Surveys &amp; Tutorials, 27:3641–3671,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Andrea Flamini, Giada Sciarretta, Mario Scuro, Amir Sharif, Alessandro Tomasi, and Silvio Ranise. On cryptographic mechanisms for the selective disclosure of verifiable credentials. Journal of Information Security and Applications, 83:103789,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Deva Priya Isravel, K. Martin Sagayam, Bharat Bhushan, Yuichi Sei, and Jennifer Eunice. Blockchain for healthcare systems: Architecture, security challenges, trends and future directions. Journal of Network and Computer Applications, 215:103633,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Muhammad Irfan Khalid, Mansoor Ahmed, Markus Helfert, and Jungsuk Kim. Privacy-first paradigm for dynamic consent management systems: empowering data subjects through decentralized data controllers and privacy-preserving techniques. Electronics, 12(24):4973,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Vitor Jesus and Harshvardhan J. Pandit. Consent receipts for a usable and auditable web of personal data. IEEE Access, 10:28545–28563, 2022.</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N.S. Gill, D. Kaushik, N. Alduaiji, P.K. Shukla, et al. An access control system for cloud-based healthcare systems driven by blockchain. Journal of Cloud Computing,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D.P. Panagoulias, A.I. Damian, C. Stamate, V. Toderian, P. Butusina, A. De Franceschi, et al. Blockchain-Enabled Trust and Compliance for Clinical AI: Decentralized Governance Without Decentralized Data Storage. Electronics,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Behnam Khayer, Siamak Mirzaei, Hooman Alavizadeh, and Ahmad Salehi Shahraki. Blockchain for secure IoT: A review of identity management, access control, and trust mechanisms. IoT, 6(4):65,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2025 IEEE International Conference on Distributed Ledger Technologies (ICDLT),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Jason Walonoski, Mark Kramer, Joseph Nichols, Andre Quina, Chris Moesel, Dylan Hall, Carlton Duffett, Kudakwashe Dube, Thomas Gallagher, and Scott McLachlan.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Alexander Kharlamov, Roland Hohmann, and Glenn Parry. Data sharing decisions: perceptions and intentions in healthcare. Strategic Change, 32(6):223–237,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Pranto Kumar Ghosh, Arindom Chakraborty, Mehedi Hasan, Khalid Rashid, and Abdul Hasib Siddique. Blockchain application in healthcare systems: A review. Systems, 11(1):38,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Mohammad Salar Arbabi, Chhagan Lal, Narasimha Raghavan Veeraragavan, Dusica Marijan, Jan F. Nygård, and Roman Vitenberg. A survey on blockchain for healthcare: Challenges, benefits, and future directions. IEEE Communications Surveys &amp; Tutorials, 25(1):386–424,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Jie Yin, Yang Xiao, Qian Chen, Xuefeng Liu, Qingqi Pei, Jianying Zhou, et al. DP-DID: A dynamic and proactive decentralized identity system. IEEE Transactions on Information Forensics and Security, 20:4999–5014,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Haotian Deng, Jinwen Liang, Chuan Zhang, Ximeng Liu, Liehuang Zhu, and Song Guo. FutureDID: A fully decentralized identity system with multi-party verification. IEEE Transactions on Computers, 73(8):2051–2065,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Chalima Dimitra Nassar Kyriakidou, Athanasia Maria Papathanasiou, and George C. Polyzos. Decentralized identity with applications to security and privacy for the internet of things. Computer Networks and Communications, 1(2):244–271,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Rohini Poolat Parameswarath, Prosanta Gope, and Biplab Sikdar. User-empowered privacy-preserving authentication protocol for electric vehicle charging based on decentralized identity and verifiable credential. ACM Transactions on Management Information Systems, 13(4):1–21, 2022.</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Hongjian Yin, Yiming Zhao, Lei Zhang, Baojun Qiao, Wenbo Chen, and Huaqing Wang. Attribute-based searchable encryption with decentralized key management for healthcare data sharing. Journal of Systems Architecture, 148:103081,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Rong Jiang, Xue Chen, Yimin Yu, Ying Zhang, and Weiping Ding. Risk and UCON-based access control model for healthcare big data. Journal of Big Data, 10(1):104,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Matthew J. Page, Joanne E. McKenzie, Patrick M. Bossuyt, Isabelle Boutron, Tammy C. Hoffmann, Cynthia D. Mulrow, et al. The PRISMA 2020 statement: an updated guideline for reporting systematic reviews. BMJ, 372:n71, 2021.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Proceedings of the International Conference on Security and Cryptography,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J.C. Ferreira. A Blockchain-Based Architecture for Dynamic and Auditable Patient Consent in Secondary Use of Health Data. Blockchain in Healthcare Today,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Hema S., Goli Bulli Sai Reddy, and Shalini R. Patient Centric Cryptographic Protection of Cloud Electronic Health Records. 2026 6th International Conference on Expert Clouds and Applications (ICOECA),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Lecture Notes in Networks and Systems,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2025 International Conference on Electrical, Computer and Communication Engineering (ECCE),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A. Teeda and Y.V. Subba Rao. A Patient-Centric Blockchain Based Electronic Health Records for Data Privacy and Confidentiality. Lecture Notes in Networks and Systems,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ACM International Conference Proceeding Series,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a6d5cbc4c29a5ba7ae40e4643094327da1a45063.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39225f74fe21ad7e7b7c1673918fe98415414719.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2026-10-03T13:45:10.621Z</dcterms:created>
  <dcterms:modified xsi:type="dcterms:W3CDTF">2026-10-03T13:45:10.621Z</dcterms:modified>
</cp:coreProperties>
</file>

<file path=docProps/custom.xml><?xml version="1.0" encoding="utf-8"?>
<Properties xmlns="http://schemas.openxmlformats.org/officeDocument/2006/custom-properties" xmlns:vt="http://schemas.openxmlformats.org/officeDocument/2006/docPropsVTypes"/>
</file>