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Final aligned copy: the corrections aligning this report with the implemented HALAH v1.2 system (companion document: HALAH Implementation v1.3) have been applied in place. New and revised wording appears in red, reference corrections in green; recolour to black after review.</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18</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19</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26</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27</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35</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43</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46</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46</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52</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53</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56</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62</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65</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65</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65</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69</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69</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70</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70</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73</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74</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78</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79</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89</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90</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96</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color w:val="C00000"/>
          <w:sz w:val="22"/>
          <w:szCs w:val="22"/>
        </w:rPr>
        <w:t xml:space="preserve">6.8 Implementation and Live Demonstration of the Proposed Solution</w:t>
      </w:r>
      <w:r>
        <w:rPr>
          <w:rFonts w:ascii="Cambria" w:cs="Cambria" w:eastAsia="Cambria" w:hAnsi="Cambria"/>
          <w:color w:val="C00000"/>
          <w:sz w:val="22"/>
          <w:szCs w:val="22"/>
        </w:rPr>
        <w:t xml:space="preserve">	99</w:t>
      </w:r>
    </w:p>
    <w:p>
      <w:pPr>
        <w:tabs>
          <w:tab w:val="right" w:pos="9360" w:leader="dot"/>
        </w:tabs>
        <w:spacing w:after="60"/>
        <w:ind w:left="720"/>
      </w:pPr>
      <w:r>
        <w:rPr>
          <w:rFonts w:ascii="Cambria" w:cs="Cambria" w:eastAsia="Cambria" w:hAnsi="Cambria"/>
          <w:b w:val="false"/>
          <w:bCs w:val="false"/>
          <w:color w:val="C00000"/>
          <w:sz w:val="20"/>
          <w:szCs w:val="20"/>
        </w:rPr>
        <w:t xml:space="preserve">6.8.1 The HALAH System</w:t>
      </w:r>
      <w:r>
        <w:rPr>
          <w:rFonts w:ascii="Cambria" w:cs="Cambria" w:eastAsia="Cambria" w:hAnsi="Cambria"/>
          <w:color w:val="C00000"/>
          <w:sz w:val="20"/>
          <w:szCs w:val="20"/>
        </w:rPr>
        <w:t xml:space="preserve">	99</w:t>
      </w:r>
    </w:p>
    <w:p>
      <w:pPr>
        <w:tabs>
          <w:tab w:val="right" w:pos="9360" w:leader="dot"/>
        </w:tabs>
        <w:spacing w:after="60"/>
        <w:ind w:left="720"/>
      </w:pPr>
      <w:r>
        <w:rPr>
          <w:rFonts w:ascii="Cambria" w:cs="Cambria" w:eastAsia="Cambria" w:hAnsi="Cambria"/>
          <w:b w:val="false"/>
          <w:bCs w:val="false"/>
          <w:color w:val="C00000"/>
          <w:sz w:val="20"/>
          <w:szCs w:val="20"/>
        </w:rPr>
        <w:t xml:space="preserve">6.8.2 Create Smart Consent Contract: Patient Subsystem</w:t>
      </w:r>
      <w:r>
        <w:rPr>
          <w:rFonts w:ascii="Cambria" w:cs="Cambria" w:eastAsia="Cambria" w:hAnsi="Cambria"/>
          <w:color w:val="C00000"/>
          <w:sz w:val="20"/>
          <w:szCs w:val="20"/>
        </w:rPr>
        <w:t xml:space="preserve">	103</w:t>
      </w:r>
    </w:p>
    <w:p>
      <w:pPr>
        <w:tabs>
          <w:tab w:val="right" w:pos="9360" w:leader="dot"/>
        </w:tabs>
        <w:spacing w:after="60"/>
        <w:ind w:left="720"/>
      </w:pPr>
      <w:r>
        <w:rPr>
          <w:rFonts w:ascii="Cambria" w:cs="Cambria" w:eastAsia="Cambria" w:hAnsi="Cambria"/>
          <w:b w:val="false"/>
          <w:bCs w:val="false"/>
          <w:color w:val="C00000"/>
          <w:sz w:val="20"/>
          <w:szCs w:val="20"/>
        </w:rPr>
        <w:t xml:space="preserve">6.8.3 Guardian Cryptographic Approval</w:t>
      </w:r>
      <w:r>
        <w:rPr>
          <w:rFonts w:ascii="Cambria" w:cs="Cambria" w:eastAsia="Cambria" w:hAnsi="Cambria"/>
          <w:color w:val="C00000"/>
          <w:sz w:val="20"/>
          <w:szCs w:val="20"/>
        </w:rPr>
        <w:t xml:space="preserve">	105</w:t>
      </w:r>
    </w:p>
    <w:p>
      <w:pPr>
        <w:tabs>
          <w:tab w:val="right" w:pos="9360" w:leader="dot"/>
        </w:tabs>
        <w:spacing w:after="60"/>
        <w:ind w:left="720"/>
      </w:pPr>
      <w:r>
        <w:rPr>
          <w:rFonts w:ascii="Cambria" w:cs="Cambria" w:eastAsia="Cambria" w:hAnsi="Cambria"/>
          <w:b w:val="false"/>
          <w:bCs w:val="false"/>
          <w:color w:val="C00000"/>
          <w:sz w:val="20"/>
          <w:szCs w:val="20"/>
        </w:rPr>
        <w:t xml:space="preserve">6.8.4 Secure Patient Data Access for the Doctor</w:t>
      </w:r>
      <w:r>
        <w:rPr>
          <w:rFonts w:ascii="Cambria" w:cs="Cambria" w:eastAsia="Cambria" w:hAnsi="Cambria"/>
          <w:color w:val="C00000"/>
          <w:sz w:val="20"/>
          <w:szCs w:val="20"/>
        </w:rPr>
        <w:t xml:space="preserve">	109</w:t>
      </w:r>
    </w:p>
    <w:p>
      <w:pPr>
        <w:tabs>
          <w:tab w:val="right" w:pos="9360" w:leader="dot"/>
        </w:tabs>
        <w:spacing w:after="60"/>
        <w:ind w:left="720"/>
      </w:pPr>
      <w:r>
        <w:rPr>
          <w:rFonts w:ascii="Cambria" w:cs="Cambria" w:eastAsia="Cambria" w:hAnsi="Cambria"/>
          <w:b w:val="false"/>
          <w:bCs w:val="false"/>
          <w:color w:val="C00000"/>
          <w:sz w:val="20"/>
          <w:szCs w:val="20"/>
        </w:rPr>
        <w:t xml:space="preserve">6.8.5 Negative Demonstration: Jurisdiction Violation</w:t>
      </w:r>
      <w:r>
        <w:rPr>
          <w:rFonts w:ascii="Cambria" w:cs="Cambria" w:eastAsia="Cambria" w:hAnsi="Cambria"/>
          <w:color w:val="C00000"/>
          <w:sz w:val="20"/>
          <w:szCs w:val="20"/>
        </w:rPr>
        <w:t xml:space="preserve">	113</w:t>
      </w:r>
    </w:p>
    <w:p>
      <w:pPr>
        <w:tabs>
          <w:tab w:val="right" w:pos="9360" w:leader="dot"/>
        </w:tabs>
        <w:spacing w:after="60"/>
        <w:ind w:left="720"/>
      </w:pPr>
      <w:r>
        <w:rPr>
          <w:rFonts w:ascii="Cambria" w:cs="Cambria" w:eastAsia="Cambria" w:hAnsi="Cambria"/>
          <w:b w:val="false"/>
          <w:bCs w:val="false"/>
          <w:color w:val="C00000"/>
          <w:sz w:val="20"/>
          <w:szCs w:val="20"/>
        </w:rPr>
        <w:t xml:space="preserve">6.8.6 Consent Revocation</w:t>
      </w:r>
      <w:r>
        <w:rPr>
          <w:rFonts w:ascii="Cambria" w:cs="Cambria" w:eastAsia="Cambria" w:hAnsi="Cambria"/>
          <w:color w:val="C00000"/>
          <w:sz w:val="20"/>
          <w:szCs w:val="20"/>
        </w:rPr>
        <w:t xml:space="preserve">	115</w:t>
      </w:r>
    </w:p>
    <w:p>
      <w:pPr>
        <w:tabs>
          <w:tab w:val="right" w:pos="9360" w:leader="dot"/>
        </w:tabs>
        <w:spacing w:after="60"/>
        <w:ind w:left="720"/>
      </w:pPr>
      <w:r>
        <w:rPr>
          <w:rFonts w:ascii="Cambria" w:cs="Cambria" w:eastAsia="Cambria" w:hAnsi="Cambria"/>
          <w:b w:val="false"/>
          <w:bCs w:val="false"/>
          <w:color w:val="C00000"/>
          <w:sz w:val="20"/>
          <w:szCs w:val="20"/>
        </w:rPr>
        <w:t xml:space="preserve">6.8.7 Blockchain Audit and Consent Lifecycle for the Auditor</w:t>
      </w:r>
      <w:r>
        <w:rPr>
          <w:rFonts w:ascii="Cambria" w:cs="Cambria" w:eastAsia="Cambria" w:hAnsi="Cambria"/>
          <w:color w:val="C00000"/>
          <w:sz w:val="20"/>
          <w:szCs w:val="20"/>
        </w:rPr>
        <w:t xml:space="preserve">	118</w:t>
      </w:r>
    </w:p>
    <w:p>
      <w:pPr>
        <w:tabs>
          <w:tab w:val="right" w:pos="9360" w:leader="dot"/>
        </w:tabs>
        <w:spacing w:after="60"/>
        <w:ind w:left="720"/>
      </w:pPr>
      <w:r>
        <w:rPr>
          <w:rFonts w:ascii="Cambria" w:cs="Cambria" w:eastAsia="Cambria" w:hAnsi="Cambria"/>
          <w:b w:val="false"/>
          <w:bCs w:val="false"/>
          <w:color w:val="C00000"/>
          <w:sz w:val="20"/>
          <w:szCs w:val="20"/>
        </w:rPr>
        <w:t xml:space="preserve">6.8.8 Detailed Audit Records</w:t>
      </w:r>
      <w:r>
        <w:rPr>
          <w:rFonts w:ascii="Cambria" w:cs="Cambria" w:eastAsia="Cambria" w:hAnsi="Cambria"/>
          <w:color w:val="C00000"/>
          <w:sz w:val="20"/>
          <w:szCs w:val="20"/>
        </w:rPr>
        <w:t xml:space="preserve">	121</w:t>
      </w:r>
    </w:p>
    <w:p>
      <w:pPr>
        <w:tabs>
          <w:tab w:val="right" w:pos="9360" w:leader="dot"/>
        </w:tabs>
        <w:spacing w:after="60"/>
        <w:ind w:left="720"/>
      </w:pPr>
      <w:r>
        <w:rPr>
          <w:rFonts w:ascii="Cambria" w:cs="Cambria" w:eastAsia="Cambria" w:hAnsi="Cambria"/>
          <w:b w:val="false"/>
          <w:bCs w:val="false"/>
          <w:color w:val="C00000"/>
          <w:sz w:val="20"/>
          <w:szCs w:val="20"/>
        </w:rPr>
        <w:t xml:space="preserve">6.8.9 Complete Audit Ledger and Independent Verification</w:t>
      </w:r>
      <w:r>
        <w:rPr>
          <w:rFonts w:ascii="Cambria" w:cs="Cambria" w:eastAsia="Cambria" w:hAnsi="Cambria"/>
          <w:color w:val="C00000"/>
          <w:sz w:val="20"/>
          <w:szCs w:val="20"/>
        </w:rPr>
        <w:t xml:space="preserve">	121</w:t>
      </w:r>
    </w:p>
    <w:p>
      <w:pPr>
        <w:tabs>
          <w:tab w:val="right" w:pos="9360" w:leader="dot"/>
        </w:tabs>
        <w:spacing w:after="60"/>
        <w:ind w:left="720"/>
      </w:pPr>
      <w:r>
        <w:rPr>
          <w:rFonts w:ascii="Cambria" w:cs="Cambria" w:eastAsia="Cambria" w:hAnsi="Cambria"/>
          <w:b w:val="false"/>
          <w:bCs w:val="false"/>
          <w:color w:val="C00000"/>
          <w:sz w:val="20"/>
          <w:szCs w:val="20"/>
        </w:rPr>
        <w:t xml:space="preserve">6.8.10 Correspondence Between the Subsystems and the Framework</w:t>
      </w:r>
      <w:r>
        <w:rPr>
          <w:rFonts w:ascii="Cambria" w:cs="Cambria" w:eastAsia="Cambria" w:hAnsi="Cambria"/>
          <w:color w:val="C00000"/>
          <w:sz w:val="20"/>
          <w:szCs w:val="20"/>
        </w:rPr>
        <w:t xml:space="preserve">	122</w:t>
      </w:r>
    </w:p>
    <w:p>
      <w:pPr>
        <w:tabs>
          <w:tab w:val="right" w:pos="9360" w:leader="dot"/>
        </w:tabs>
        <w:spacing w:after="60"/>
        <w:ind w:left="720"/>
      </w:pPr>
      <w:r>
        <w:rPr>
          <w:rFonts w:ascii="Cambria" w:cs="Cambria" w:eastAsia="Cambria" w:hAnsi="Cambria"/>
          <w:b w:val="false"/>
          <w:bCs w:val="false"/>
          <w:color w:val="C00000"/>
          <w:sz w:val="20"/>
          <w:szCs w:val="20"/>
        </w:rPr>
        <w:t xml:space="preserve">6.8.11 Overall System Demonstration</w:t>
      </w:r>
      <w:r>
        <w:rPr>
          <w:rFonts w:ascii="Cambria" w:cs="Cambria" w:eastAsia="Cambria" w:hAnsi="Cambria"/>
          <w:color w:val="C00000"/>
          <w:sz w:val="20"/>
          <w:szCs w:val="20"/>
        </w:rPr>
        <w:t xml:space="preserve">	122</w:t>
      </w:r>
    </w:p>
    <w:p>
      <w:pPr>
        <w:tabs>
          <w:tab w:val="right" w:pos="9360" w:leader="dot"/>
        </w:tabs>
        <w:spacing w:after="60"/>
        <w:ind w:left="720"/>
      </w:pPr>
      <w:r>
        <w:rPr>
          <w:rFonts w:ascii="Cambria" w:cs="Cambria" w:eastAsia="Cambria" w:hAnsi="Cambria"/>
          <w:b w:val="false"/>
          <w:bCs w:val="false"/>
          <w:color w:val="C00000"/>
          <w:sz w:val="20"/>
          <w:szCs w:val="20"/>
        </w:rPr>
        <w:t xml:space="preserve">6.8.12 Verification Links</w:t>
      </w:r>
      <w:r>
        <w:rPr>
          <w:rFonts w:ascii="Cambria" w:cs="Cambria" w:eastAsia="Cambria" w:hAnsi="Cambria"/>
          <w:color w:val="C00000"/>
          <w:sz w:val="20"/>
          <w:szCs w:val="20"/>
        </w:rPr>
        <w:t xml:space="preserve">	123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125</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125</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125</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126</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126</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127</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129</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135</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bCs/>
          <w:color w:val="007A00"/>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color w:val="C00000"/>
          <w:sz w:val="24"/>
          <w:szCs w:val="24"/>
        </w:rPr>
        <w:t xml:space="preserve">The next stage will investigate formal security assurance, whereas empirical validation has now been undertaken on the implemented prototype.</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Consequently, the next stage will build upon these foundations by reasoning formally about the authorisation model under defined security assumptions.</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and stronger formal security assurance remains the focus of the subsequent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C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bCs/>
          <w:color w:val="007A00"/>
          <w:sz w:val="24"/>
          <w:szCs w:val="24"/>
        </w:rPr>
        <w:t xml:space="preserve">The review corpus comprises the 33 studies identified through the search and screening process described in the remainder of this section. The included studies span the years 2022 to 2026 and concentrate on blockchain-based data governance, decentralised identity, verifiable credentials, healthcare access control, and consent management.</w:t>
      </w:r>
    </w:p>
    <w:p>
      <w:pPr>
        <w:spacing w:after="140" w:line="300"/>
        <w:jc w:val="both"/>
      </w:pPr>
      <w:r>
        <w:rPr>
          <w:rFonts w:ascii="Cambria" w:cs="Cambria" w:eastAsia="Cambria" w:hAnsi="Cambria"/>
          <w:b/>
          <w:bCs/>
          <w:color w:val="007A00"/>
          <w:sz w:val="24"/>
          <w:szCs w:val="24"/>
        </w:rPr>
        <w:t xml:space="preserve">Within this corpus, references [1, 2, 3, 7, 9, 11, 12, 13, 14, 21, 22, 24, 28, 31, 32] address the healthcare data sharing, consent, and access-control dimensions of the review, while references [4, 5, 10, 15, 16, 20, 23, 25, 27, 33]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spacing w:after="140" w:line="300"/>
        <w:jc w:val="both"/>
      </w:pPr>
      <w:r>
        <w:rPr>
          <w:rFonts w:ascii="Cambria" w:cs="Cambria" w:eastAsia="Cambria" w:hAnsi="Cambria"/>
          <w:b/>
          <w:bCs/>
          <w:color w:val="007A00"/>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2022 and 2026. The search was performed on August 2026.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bCs/>
          <w:color w:val="007A00"/>
          <w:sz w:val="24"/>
          <w:szCs w:val="24"/>
        </w:rPr>
        <w:t xml:space="preserve">Seven of the removed records were flagged as ineligible during automated pre-screening (non-English sources and non-peer-reviewed material) and were excluded before the manual title and abstract screening.</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bCs/>
          <w:color w:val="007A00"/>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bCs/>
          <w:color w:val="007A00"/>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color w:val="C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C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bCs/>
          <w:color w:val="007A00"/>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color w:val="C00000"/>
          <w:sz w:val="24"/>
          <w:szCs w:val="24"/>
        </w:rPr>
        <w:t xml:space="preserve">Lifecycle trust and empirical validation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VI ∧ VA ∧ VP ∧ VT ∧ VL</w:t>
      </w:r>
      <w:r>
        <w:rPr>
          <w:rFonts w:ascii="Cambria" w:cs="Cambria" w:eastAsia="Cambria" w:hAnsi="Cambria"/>
          <w:color w:val="C00000"/>
          <w:sz w:val="22"/>
          <w:szCs w:val="22"/>
        </w:rPr>
        <w:t xml:space="preserve">	(6)</w:t>
      </w:r>
    </w:p>
    <w:p>
      <w:pPr>
        <w:spacing w:after="140" w:line="300"/>
        <w:jc w:val="both"/>
      </w:pPr>
      <w:r>
        <w:rPr>
          <w:rFonts w:ascii="Cambria" w:cs="Cambria" w:eastAsia="Cambria" w:hAnsi="Cambria"/>
          <w:color w:val="C00000"/>
          <w:sz w:val="24"/>
          <w:szCs w:val="24"/>
        </w:rPr>
        <w:t xml:space="preserve">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(7)</w:t>
      </w:r>
    </w:p>
    <w:p>
      <w:pPr>
        <w:spacing w:after="140" w:line="300"/>
        <w:jc w:val="both"/>
      </w:pPr>
      <w:r>
        <w:rPr>
          <w:rFonts w:ascii="Cambria" w:cs="Cambria" w:eastAsia="Cambria" w:hAnsi="Cambria"/>
          <w:color w:val="C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C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spacing w:after="140" w:line="300"/>
        <w:jc w:val="both"/>
      </w:pPr>
      <w:r>
        <w:rPr>
          <w:rFonts w:ascii="Cambria" w:cs="Cambria" w:eastAsia="Cambria" w:hAnsi="Cambria"/>
          <w:color w:val="C00000"/>
          <w:sz w:val="24"/>
          <w:szCs w:val="24"/>
        </w:rPr>
        <w:t xml:space="preserve">In the implemented framework, N is instantiated as |G|, the number of designated guardians, such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C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C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C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C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C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color w:val="C00000"/>
          <w:sz w:val="24"/>
          <w:szCs w:val="24"/>
        </w:rPr>
        <w:t xml:space="preserve">RO5_SCOPE_Temporal validity, expiration, revocation and controlled state transitions, enforced in the current prototype and anchored on-chain RO6_SCOPE_Formal analysis of the security properties (CA3), building upon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VI ∧ VA ∧ VP ∧ VT ∧ VL</w:t>
      </w:r>
      <w:r>
        <w:rPr>
          <w:rFonts w:ascii="Cambria" w:cs="Cambria" w:eastAsia="Cambria" w:hAnsi="Cambria"/>
          <w:color w:val="C00000"/>
          <w:sz w:val="22"/>
          <w:szCs w:val="22"/>
        </w:rPr>
        <w:t xml:space="preserve">	(29)</w:t>
      </w:r>
    </w:p>
    <w:p>
      <w:pPr>
        <w:spacing w:after="140" w:line="300"/>
        <w:jc w:val="both"/>
      </w:pPr>
      <w:r>
        <w:rPr>
          <w:rFonts w:ascii="Cambria" w:cs="Cambria" w:eastAsia="Cambria" w:hAnsi="Cambria"/>
          <w:color w:val="C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140" w:line="300"/>
        <w:jc w:val="both"/>
      </w:pPr>
      <w:r>
        <w:rPr>
          <w:rFonts w:ascii="Cambria" w:cs="Cambria" w:eastAsia="Cambria" w:hAnsi="Cambria"/>
          <w:color w:val="C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C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C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4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140" w:line="300"/>
        <w:jc w:val="both"/>
      </w:pP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Consequently, the corresponding component in Figure 5 is depicted as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140" w:line="300"/>
        <w:jc w:val="both"/>
      </w:pPr>
      <w:r>
        <w:rPr>
          <w:rFonts w:ascii="Cambria" w:cs="Cambria" w:eastAsia="Cambria" w:hAnsi="Cambria"/>
          <w:color w:val="C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and the jurisdictional check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C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C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C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(36)</w:t>
      </w:r>
    </w:p>
    <w:p>
      <w:pPr>
        <w:spacing w:after="140" w:line="300"/>
        <w:jc w:val="both"/>
      </w:pPr>
      <w:r>
        <w:rPr>
          <w:rFonts w:ascii="Cambria" w:cs="Cambria" w:eastAsia="Cambria" w:hAnsi="Cambria"/>
          <w:color w:val="C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provide</w:t>
            </w:r>
            <w:r>
              <w:rPr>
                <w:rFonts w:ascii="Cambria" w:cs="Cambria" w:eastAsia="Cambria" w:hAnsi="Cambria"/>
                <w:b w:val="false"/>
                <w:bCs w:val="false"/>
                <w:sz w:val="19"/>
                <w:szCs w:val="19"/>
              </w:rPr>
              <w:t xml:space="preserve">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C00000"/>
          <w:sz w:val="24"/>
          <w:szCs w:val="24"/>
        </w:rPr>
        <w:t xml:space="preserve">next stage will</w:t>
      </w:r>
      <w:r>
        <w:rPr>
          <w:rFonts w:ascii="Cambria" w:cs="Cambria" w:eastAsia="Cambria" w:hAnsi="Cambria"/>
          <w:sz w:val="24"/>
          <w:szCs w:val="24"/>
        </w:rPr>
        <w:t xml:space="preserve"> investigate whether this core can maintain trust dynamically over time,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(51)</w:t>
      </w:r>
    </w:p>
    <w:p>
      <w:pPr>
        <w:spacing w:after="140" w:line="300"/>
        <w:jc w:val="both"/>
      </w:pPr>
      <w:r>
        <w:rPr>
          <w:rFonts w:ascii="Cambria" w:cs="Cambria" w:eastAsia="Cambria" w:hAnsi="Cambria"/>
          <w:color w:val="C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C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D → G → P</w:t>
      </w:r>
      <w:r>
        <w:rPr>
          <w:rFonts w:ascii="Cambria" w:cs="Cambria" w:eastAsia="Cambria" w:hAnsi="Cambria"/>
          <w:color w:val="C00000"/>
          <w:sz w:val="24"/>
          <w:szCs w:val="24"/>
          <w:vertAlign w:val="subscript"/>
        </w:rPr>
        <w:t xml:space="preserve">u</w:t>
      </w:r>
      <w:r>
        <w:rPr>
          <w:rFonts w:ascii="Cambria" w:cs="Cambria" w:eastAsia="Cambria" w:hAnsi="Cambria"/>
          <w:color w:val="C00000"/>
          <w:sz w:val="24"/>
          <w:szCs w:val="24"/>
        </w:rPr>
        <w:t xml:space="preserve"> → S</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C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C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C00000"/>
          <w:sz w:val="24"/>
          <w:szCs w:val="24"/>
        </w:rPr>
        <w:t xml:space="preserve">This condition defines the target verification model rather than the behaviour presently exercised. The current prototype implements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w:t>
      </w:r>
      <w:r>
        <w:rPr>
          <w:rFonts w:ascii="Cambria Math" w:cs="Cambria Math" w:eastAsia="Cambria Math" w:hAnsi="Cambria Math"/>
          <w:i/>
          <w:iCs/>
          <w:color w:val="C00000"/>
          <w:sz w:val="22"/>
          <w:szCs w:val="22"/>
          <w:vertAlign w:val="subscript"/>
        </w:rPr>
        <w:t xml:space="preserve">I</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A</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P</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T</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L</w:t>
      </w:r>
      <w:r>
        <w:rPr>
          <w:rFonts w:ascii="Cambria" w:cs="Cambria" w:eastAsia="Cambria" w:hAnsi="Cambria"/>
          <w:color w:val="C00000"/>
          <w:sz w:val="22"/>
          <w:szCs w:val="22"/>
        </w:rPr>
        <w:t xml:space="preserve">	(59)</w:t>
      </w:r>
    </w:p>
    <w:p>
      <w:pPr>
        <w:spacing w:after="140" w:line="300"/>
        <w:jc w:val="both"/>
      </w:pPr>
      <w:r>
        <w:rPr>
          <w:rFonts w:ascii="Cambria" w:cs="Cambria" w:eastAsia="Cambria" w:hAnsi="Cambria"/>
          <w:color w:val="C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140" w:line="300"/>
        <w:jc w:val="both"/>
      </w:pPr>
      <w:r>
        <w:rPr>
          <w:rFonts w:ascii="Cambria" w:cs="Cambria" w:eastAsia="Cambria" w:hAnsi="Cambria"/>
          <w:color w:val="C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C00000"/>
          <w:sz w:val="24"/>
          <w:szCs w:val="24"/>
        </w:rPr>
        <w:t xml:space="preserve">which means the requested purpose is required to satisfy the privacy constraint P</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C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C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C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spacing w:after="140" w:line="300"/>
        <w:jc w:val="both"/>
      </w:pP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R) = 1 ⟺ Jur(R) = Jur(C) ∨ Jur(C) = ∅, where Jur(·) denotes the jurisdiction attribute, recorded on-chain as a two-letter ISO code, and where lifecycle state and revocation are evaluated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C00000"/>
          <w:sz w:val="24"/>
          <w:szCs w:val="24"/>
        </w:rPr>
        <w:t xml:space="preserve">Temporal and lifecycle enforcement is implemented in the demonstrated prototype. In particular, the Consent Engine evaluates t</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 t ≤ t</w:t>
      </w:r>
      <w:r>
        <w:rPr>
          <w:rFonts w:ascii="Cambria" w:cs="Cambria" w:eastAsia="Cambria" w:hAnsi="Cambria"/>
          <w:color w:val="C00000"/>
          <w:sz w:val="24"/>
          <w:szCs w:val="24"/>
          <w:vertAlign w:val="subscript"/>
        </w:rPr>
        <w:t xml:space="preserve">e</w:t>
      </w:r>
      <w:r>
        <w:rPr>
          <w:rFonts w:ascii="Cambria" w:cs="Cambria" w:eastAsia="Cambria" w:hAnsi="Cambria"/>
          <w:color w:val="C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C00000"/>
          <w:sz w:val="24"/>
          <w:szCs w:val="24"/>
        </w:rPr>
        <w:t xml:space="preserve">The empirical half of this objective has been carried out on the demonstrated prototype, whereas formal proofs and model checking of the authorisation properties remain future work. Figure 12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C00000"/>
          <w:sz w:val="24"/>
          <w:szCs w:val="24"/>
        </w:rPr>
        <w:t xml:space="preserve">Decision(C, R) = ALLOW ⇒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140" w:line="300"/>
        <w:jc w:val="both"/>
      </w:pPr>
      <w:r>
        <w:rPr>
          <w:rFonts w:ascii="Cambria" w:cs="Cambria" w:eastAsia="Cambria" w:hAnsi="Cambria"/>
          <w:color w:val="C00000"/>
          <w:sz w:val="24"/>
          <w:szCs w:val="24"/>
        </w:rPr>
        <w:t xml:space="preserve">Decision(C, R, t) = ALLOW ⟺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where the implemented system enforces this complete rule of Equation (70): access is granted only when all five predicates hold, revocation is evaluated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and every decision, whether granted or denied, is logged together with the full decision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C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C00000"/>
        </w:rPr>
        <w:t xml:space="preserve">6.8  Implementation and Live Demonstration of the Proposed Solution</w:t>
      </w:r>
    </w:p>
    <w:p>
      <w:pPr>
        <w:spacing w:after="140" w:line="300"/>
        <w:jc w:val="both"/>
      </w:pPr>
      <w:r>
        <w:rPr>
          <w:rFonts w:ascii="Cambria" w:cs="Cambria" w:eastAsia="Cambria" w:hAnsi="Cambria"/>
          <w:color w:val="C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C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C00000"/>
          <w:sz w:val="24"/>
          <w:szCs w:val="24"/>
        </w:rPr>
        <w:t xml:space="preserve">Ethereum Sepolia</w:t>
      </w:r>
      <w:r>
        <w:rPr>
          <w:rFonts w:ascii="Cambria" w:cs="Cambria" w:eastAsia="Cambria" w:hAnsi="Cambria"/>
          <w:color w:val="C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C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C00000"/>
          <w:sz w:val="22"/>
          <w:szCs w:val="22"/>
        </w:rPr>
        <w:t xml:space="preserve">→ Doctor Access → Consent Revocation → Independent Audit</w:t>
      </w:r>
    </w:p>
    <w:p>
      <w:pPr>
        <w:spacing w:after="140" w:line="300"/>
        <w:jc w:val="both"/>
      </w:pPr>
      <w:r>
        <w:rPr>
          <w:rFonts w:ascii="Cambria" w:cs="Cambria" w:eastAsia="Cambria" w:hAnsi="Cambria"/>
          <w:color w:val="C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C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5 are each exercised in this workflow by a real transaction on the Ethereum Sepolia test network, so the conceptual model and the running system can be verified against one another.</w:t>
      </w:r>
    </w:p>
    <w:p>
      <w:pPr>
        <w:pStyle w:val="Heading3"/>
        <w:spacing w:after="160" w:before="280"/>
      </w:pPr>
      <w:r>
        <w:rPr>
          <w:color w:val="C00000"/>
        </w:rPr>
        <w:t xml:space="preserve">6.8.1  The HALAH System</w:t>
      </w:r>
    </w:p>
    <w:p>
      <w:pPr>
        <w:spacing w:after="140" w:line="300"/>
        <w:jc w:val="both"/>
      </w:pPr>
      <w:r>
        <w:rPr>
          <w:rFonts w:ascii="Cambria" w:cs="Cambria" w:eastAsia="Cambria" w:hAnsi="Cambria"/>
          <w:color w:val="C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C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C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3: Compilation of ConsentSBTv3 in Remix: the compiler reports a successful compilation and the contract is selected for deployment." title="Figure 13: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13: Compilation of ConsentSBTv3 in Remix: the compiler reports a successful compilation and the contract is selected for deployment.</w:t>
      </w:r>
    </w:p>
    <w:p>
      <w:pPr>
        <w:spacing w:after="140" w:line="300"/>
        <w:jc w:val="both"/>
      </w:pPr>
      <w:r>
        <w:rPr>
          <w:rFonts w:ascii="Cambria" w:cs="Cambria" w:eastAsia="Cambria" w:hAnsi="Cambria"/>
          <w:color w:val="C00000"/>
          <w:sz w:val="24"/>
          <w:szCs w:val="24"/>
        </w:rPr>
        <w:t xml:space="preserve">As shown in the figure above, the consent token contract, </w:t>
      </w:r>
      <w:r>
        <w:rPr>
          <w:rFonts w:ascii="Cambria" w:cs="Cambria" w:eastAsia="Cambria" w:hAnsi="Cambria"/>
          <w:b/>
          <w:bCs/>
          <w:color w:val="C00000"/>
          <w:sz w:val="24"/>
          <w:szCs w:val="24"/>
        </w:rPr>
        <w:t xml:space="preserve">ConsentSBTv3</w:t>
      </w:r>
      <w:r>
        <w:rPr>
          <w:rFonts w:ascii="Cambria" w:cs="Cambria" w:eastAsia="Cambria" w:hAnsi="Cambria"/>
          <w:color w:val="C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4: Deployment of ConsentSBTv3 from Remix through MetaMask on the Sepolia network." title="Figure 14: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14: Deployment of ConsentSBTv3 from Remix through MetaMask on the Sepolia network.</w:t>
      </w:r>
    </w:p>
    <w:p>
      <w:pPr>
        <w:spacing w:after="140" w:line="300"/>
        <w:jc w:val="both"/>
      </w:pPr>
      <w:r>
        <w:rPr>
          <w:rFonts w:ascii="Cambria" w:cs="Cambria" w:eastAsia="Cambria" w:hAnsi="Cambria"/>
          <w:color w:val="C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5: Remix after deployment: the contract appears under Deployed Contracts and the source verification service reports Verification Successful." title="Figure 15: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15: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C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6: The deployed contract on Sepolia Etherscan, with the creator wallet, the MedicalConsent (CONSENT) token tracker and the first mint transaction." title="Figure 16: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16: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C00000"/>
          <w:sz w:val="24"/>
          <w:szCs w:val="24"/>
        </w:rPr>
        <w:t xml:space="preserve">As shown in the figure above, the deployed contract is publicly listed at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C00000"/>
        </w:rPr>
        <w:t xml:space="preserve">6.8.2  Create Smart Consent Contract: Patient Subsystem</w:t>
      </w:r>
    </w:p>
    <w:p>
      <w:pPr>
        <w:spacing w:after="140" w:line="300"/>
        <w:jc w:val="both"/>
      </w:pPr>
      <w:r>
        <w:rPr>
          <w:rFonts w:ascii="Cambria" w:cs="Cambria" w:eastAsia="Cambria" w:hAnsi="Cambria"/>
          <w:color w:val="C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C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C00000"/>
          <w:sz w:val="22"/>
          <w:szCs w:val="22"/>
        </w:rPr>
        <w:t xml:space="preserve">C = (I, A, P, T, L, E)</w:t>
      </w:r>
    </w:p>
    <w:p>
      <w:pPr>
        <w:spacing w:after="140" w:line="300"/>
        <w:jc w:val="both"/>
      </w:pPr>
      <w:r>
        <w:rPr>
          <w:rFonts w:ascii="Cambria" w:cs="Cambria" w:eastAsia="Cambria" w:hAnsi="Cambria"/>
          <w:color w:val="C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C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17: The patient subsystem after consent creation: four EMR modules, two designated guardians, jurisdiction AU, and the state PENDING_SIGNATURE." title="Figure 17: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17: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C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C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C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C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C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C00000"/>
          <w:sz w:val="24"/>
          <w:szCs w:val="24"/>
        </w:rPr>
        <w:t xml:space="preserve">token #1</w:t>
      </w:r>
      <w:r>
        <w:rPr>
          <w:rFonts w:ascii="Cambria" w:cs="Cambria" w:eastAsia="Cambria" w:hAnsi="Cambria"/>
          <w:color w:val="C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C00000"/>
          <w:sz w:val="24"/>
          <w:szCs w:val="24"/>
        </w:rPr>
        <w:t xml:space="preserve">token #2</w:t>
      </w:r>
      <w:r>
        <w:rPr>
          <w:rFonts w:ascii="Cambria" w:cs="Cambria" w:eastAsia="Cambria" w:hAnsi="Cambria"/>
          <w:color w:val="C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C00000"/>
          <w:sz w:val="24"/>
          <w:szCs w:val="24"/>
        </w:rPr>
        <w:t xml:space="preserve">From a system perspective, this module therefore corresponds primarily to </w:t>
      </w:r>
      <w:r>
        <w:rPr>
          <w:rFonts w:ascii="Cambria" w:cs="Cambria" w:eastAsia="Cambria" w:hAnsi="Cambria"/>
          <w:b/>
          <w:bCs/>
          <w:color w:val="C00000"/>
          <w:sz w:val="24"/>
          <w:szCs w:val="24"/>
        </w:rPr>
        <w:t xml:space="preserve">Consent Object Construction and Patient Initiation</w:t>
      </w:r>
      <w:r>
        <w:rPr>
          <w:rFonts w:ascii="Cambria" w:cs="Cambria" w:eastAsia="Cambria" w:hAnsi="Cambria"/>
          <w:color w:val="C00000"/>
          <w:sz w:val="24"/>
          <w:szCs w:val="24"/>
        </w:rPr>
        <w:t xml:space="preserve">.</w:t>
      </w:r>
    </w:p>
    <w:p>
      <w:pPr>
        <w:pStyle w:val="Heading3"/>
        <w:spacing w:after="160" w:before="280"/>
      </w:pPr>
      <w:r>
        <w:rPr>
          <w:color w:val="C00000"/>
        </w:rPr>
        <w:t xml:space="preserve">6.8.3  Guardian Cryptographic Approval</w:t>
      </w:r>
    </w:p>
    <w:p>
      <w:pPr>
        <w:spacing w:after="140" w:line="300"/>
        <w:jc w:val="both"/>
      </w:pPr>
      <w:r>
        <w:rPr>
          <w:rFonts w:ascii="Cambria" w:cs="Cambria" w:eastAsia="Cambria" w:hAnsi="Cambria"/>
          <w:color w:val="C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18: The guardian subsystem at the first approval: the EIP-712 signature of did:parent:A is verified and the multi-signature count is 1/2." title="Figure 18: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18: The guardian subsystem at the first approval: the EIP-712 signature of did:parent:A is verified and the multi-signature count is 1/2.</w:t>
      </w:r>
    </w:p>
    <w:p>
      <w:pPr>
        <w:spacing w:after="140" w:line="300"/>
        <w:jc w:val="both"/>
      </w:pPr>
      <w:r>
        <w:rPr>
          <w:rFonts w:ascii="Cambria" w:cs="Cambria" w:eastAsia="Cambria" w:hAnsi="Cambria"/>
          <w:color w:val="C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19: The guardian subsystem at the moment of the second approval: the EIP-712 signature is verified, the 2/2 threshold is reached, the SBT is minted in the local ledger and the Sepolia anchoring starts in the background." title="Figure 19: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19: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C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C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C00000"/>
          <w:sz w:val="24"/>
          <w:szCs w:val="24"/>
        </w:rPr>
        <w:t xml:space="preserve">The subsystem subsequently reports:</w:t>
      </w:r>
    </w:p>
    <w:p>
      <w:pPr>
        <w:spacing w:after="140" w:line="300"/>
        <w:jc w:val="both"/>
      </w:pPr>
      <w:r>
        <w:rPr>
          <w:rFonts w:ascii="Cambria" w:cs="Cambria" w:eastAsia="Cambria" w:hAnsi="Cambria"/>
          <w:color w:val="C00000"/>
          <w:sz w:val="24"/>
          <w:szCs w:val="24"/>
        </w:rPr>
        <w:t xml:space="preserve">EIP-712 signature verified (signer 0x39B12b87…). Multi-sig: 2/2</w:t>
      </w:r>
    </w:p>
    <w:p>
      <w:pPr>
        <w:spacing w:after="140" w:line="300"/>
        <w:jc w:val="both"/>
      </w:pPr>
      <w:r>
        <w:rPr>
          <w:rFonts w:ascii="Cambria" w:cs="Cambria" w:eastAsia="Cambria" w:hAnsi="Cambria"/>
          <w:color w:val="C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C00000"/>
          <w:sz w:val="22"/>
          <w:szCs w:val="22"/>
        </w:rPr>
        <w:t xml:space="preserve">ALLOW = VI ∧ VA ∧ VP ∧ VT ∧ VL</w:t>
      </w:r>
    </w:p>
    <w:p>
      <w:pPr>
        <w:spacing w:after="140" w:line="300"/>
        <w:jc w:val="both"/>
      </w:pPr>
      <w:r>
        <w:rPr>
          <w:rFonts w:ascii="Cambria" w:cs="Cambria" w:eastAsia="Cambria" w:hAnsi="Cambria"/>
          <w:color w:val="C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C00000"/>
          <w:sz w:val="22"/>
          <w:szCs w:val="22"/>
        </w:rPr>
        <w:t xml:space="preserve">Σ g∈G  Sign(g, C)  ≥  |G| = 2</w:t>
      </w:r>
    </w:p>
    <w:p>
      <w:pPr>
        <w:spacing w:after="140" w:line="300"/>
        <w:jc w:val="both"/>
      </w:pPr>
      <w:r>
        <w:rPr>
          <w:rFonts w:ascii="Cambria" w:cs="Cambria" w:eastAsia="Cambria" w:hAnsi="Cambria"/>
          <w:color w:val="C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0: The guardian subsystem while the mint transaction is pending: the 2/2 threshold is reached but not yet anchored, the anchoring runs in the background, and a repeated signature from the same guardian is refused." title="Figure 20: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20: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C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1: The guardian subsystem revisited after the background job has completed: 'Already anchored on Sepolia - token #2'." title="Figure 21: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21: The guardian subsystem revisited after the background job has completed: 'Already anchored on Sepolia - token #2'.</w:t>
      </w:r>
    </w:p>
    <w:p>
      <w:pPr>
        <w:spacing w:after="140" w:line="300"/>
        <w:jc w:val="both"/>
      </w:pPr>
      <w:r>
        <w:rPr>
          <w:rFonts w:ascii="Cambria" w:cs="Cambria" w:eastAsia="Cambria" w:hAnsi="Cambria"/>
          <w:color w:val="C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2: The anchoring transaction of the evaluated consent on Sepolia Etherscan: status Success, block 11,771,243, 'Mint 1 of MedicalConsent' to the pseudonymous patient address (function selector 0x1e1e7c76, mintConsentV3)." title="Figure 22: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22: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C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Etherscan: mint transaction. This provides an implementation-level demonstration that consent activation can be verified independently of the application.Etherscan: mint transaction</w:t>
      </w:r>
    </w:p>
    <w:p>
      <w:pPr>
        <w:spacing w:after="140" w:line="300"/>
        <w:jc w:val="both"/>
      </w:pPr>
      <w:r>
        <w:rPr>
          <w:rFonts w:ascii="Cambria" w:cs="Cambria" w:eastAsia="Cambria" w:hAnsi="Cambria"/>
          <w:color w:val="C00000"/>
          <w:sz w:val="24"/>
          <w:szCs w:val="24"/>
        </w:rPr>
        <w:t xml:space="preserve">The guardian subsystem consequently corresponds to </w:t>
      </w:r>
      <w:r>
        <w:rPr>
          <w:rFonts w:ascii="Cambria" w:cs="Cambria" w:eastAsia="Cambria" w:hAnsi="Cambria"/>
          <w:b/>
          <w:bCs/>
          <w:color w:val="C00000"/>
          <w:sz w:val="24"/>
          <w:szCs w:val="24"/>
        </w:rPr>
        <w:t xml:space="preserve">Multi-Party Approval, Cryptographic Verification and Consent Activation</w:t>
      </w:r>
      <w:r>
        <w:rPr>
          <w:rFonts w:ascii="Cambria" w:cs="Cambria" w:eastAsia="Cambria" w:hAnsi="Cambria"/>
          <w:color w:val="C00000"/>
          <w:sz w:val="24"/>
          <w:szCs w:val="24"/>
        </w:rPr>
        <w:t xml:space="preserve"> in the proposed architecture.</w:t>
      </w:r>
    </w:p>
    <w:p>
      <w:pPr>
        <w:pStyle w:val="Heading3"/>
        <w:spacing w:after="160" w:before="280"/>
      </w:pPr>
      <w:r>
        <w:rPr>
          <w:color w:val="C00000"/>
        </w:rPr>
        <w:t xml:space="preserve">6.8.4  Secure Patient Data Access for the Doctor</w:t>
      </w:r>
    </w:p>
    <w:p>
      <w:pPr>
        <w:spacing w:after="140" w:line="300"/>
        <w:jc w:val="both"/>
      </w:pPr>
      <w:r>
        <w:rPr>
          <w:rFonts w:ascii="Cambria" w:cs="Cambria" w:eastAsia="Cambria" w:hAnsi="Cambria"/>
          <w:color w:val="C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C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C00000"/>
          <w:sz w:val="22"/>
          <w:szCs w:val="22"/>
        </w:rPr>
        <w:t xml:space="preserve">State = ACTIVE</w:t>
      </w:r>
    </w:p>
    <w:p>
      <w:pPr>
        <w:spacing w:after="140" w:line="300"/>
        <w:jc w:val="both"/>
      </w:pPr>
      <w:r>
        <w:rPr>
          <w:rFonts w:ascii="Cambria" w:cs="Cambria" w:eastAsia="Cambria" w:hAnsi="Cambria"/>
          <w:color w:val="C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3: The doctor subsystem with requester jurisdiction AU (the evaluated consent f050c29a, captured before its revocation): all five checks report PASS, ALLOW = PASS, and the consent state is ACTIVE." title="Figure 23: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23: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C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40" w:line="300"/>
        <w:jc w:val="both"/>
      </w:pPr>
      <w:r>
        <w:rPr>
          <w:rFonts w:ascii="Cambria" w:cs="Cambria" w:eastAsia="Cambria" w:hAnsi="Cambria"/>
          <w:color w:val="C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4: Trust Predicate Evaluation and Authorisation Decision Flow, as enforced by the implemented Consent Engine." title="Figure 24: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24: Trust Predicate Evaluation and Authorisation Decision Flow, as enforced by the implemented Consent Engine.</w:t>
      </w:r>
    </w:p>
    <w:p>
      <w:pPr>
        <w:spacing w:after="160" w:before="60"/>
        <w:jc w:val="center"/>
      </w:pPr>
      <w:r>
        <w:rPr>
          <w:rFonts w:ascii="Cambria Math" w:cs="Cambria Math" w:eastAsia="Cambria Math" w:hAnsi="Cambria Math"/>
          <w:i/>
          <w:iCs/>
          <w:color w:val="C00000"/>
          <w:sz w:val="22"/>
          <w:szCs w:val="22"/>
        </w:rPr>
        <w:t xml:space="preserve">Scope = { Observation, Medication, Condition, Procedure }</w:t>
      </w:r>
    </w:p>
    <w:p>
      <w:pPr>
        <w:spacing w:after="140" w:line="300"/>
        <w:jc w:val="both"/>
      </w:pPr>
      <w:r>
        <w:rPr>
          <w:rFonts w:ascii="Cambria" w:cs="Cambria" w:eastAsia="Cambria" w:hAnsi="Cambria"/>
          <w:color w:val="C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5: The doctor subsystem after verification (the photographed lifecycle 04da25f5 introduced earlier): access granted and the authorised medical records displayed per EMR module; the Observation module's Download CSV control is visible." title="Figure 25: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25: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6: The remaining authorised modules of the same request: the Condition and Procedure records, with the Condition module's export control visible." title="Figure 26: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26: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C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C00000"/>
          <w:sz w:val="22"/>
          <w:szCs w:val="22"/>
        </w:rPr>
        <w:t xml:space="preserve">Consent → Verification → AccessDecision</w:t>
      </w:r>
    </w:p>
    <w:p>
      <w:pPr>
        <w:spacing w:after="140" w:line="300"/>
        <w:jc w:val="both"/>
      </w:pPr>
      <w:r>
        <w:rPr>
          <w:rFonts w:ascii="Cambria" w:cs="Cambria" w:eastAsia="Cambria" w:hAnsi="Cambria"/>
          <w:color w:val="C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C00000"/>
          <w:sz w:val="24"/>
          <w:szCs w:val="24"/>
        </w:rPr>
        <w:t xml:space="preserve">Thus, the doctor subsystem corresponds to </w:t>
      </w:r>
      <w:r>
        <w:rPr>
          <w:rFonts w:ascii="Cambria" w:cs="Cambria" w:eastAsia="Cambria" w:hAnsi="Cambria"/>
          <w:b/>
          <w:bCs/>
          <w:color w:val="C00000"/>
          <w:sz w:val="24"/>
          <w:szCs w:val="24"/>
        </w:rPr>
        <w:t xml:space="preserve">Consent-State Validation, Scope Enforcement and Authorised Data Access</w:t>
      </w:r>
      <w:r>
        <w:rPr>
          <w:rFonts w:ascii="Cambria" w:cs="Cambria" w:eastAsia="Cambria" w:hAnsi="Cambria"/>
          <w:color w:val="C00000"/>
          <w:sz w:val="24"/>
          <w:szCs w:val="24"/>
        </w:rPr>
        <w:t xml:space="preserve">.</w:t>
      </w:r>
    </w:p>
    <w:p>
      <w:pPr>
        <w:pStyle w:val="Heading3"/>
        <w:spacing w:after="160" w:before="280"/>
      </w:pPr>
      <w:r>
        <w:rPr>
          <w:color w:val="C00000"/>
        </w:rPr>
        <w:t xml:space="preserve">6.8.5  Negative Demonstration: Jurisdiction Violation</w:t>
      </w:r>
    </w:p>
    <w:p>
      <w:pPr>
        <w:spacing w:after="140" w:line="300"/>
        <w:jc w:val="both"/>
      </w:pPr>
      <w:r>
        <w:rPr>
          <w:rFonts w:ascii="Cambria" w:cs="Cambria" w:eastAsia="Cambria" w:hAnsi="Cambria"/>
          <w:color w:val="C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27: The doctor subsystem with requester jurisdiction SA: VL reports FAIL and consequently ALLOW = FAIL, although the consent state remains ACTIVE." title="Figure 27: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27: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C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28: The refused request: 'Security Exception: Access Denied by ZK-Policy. Failed checks: VL'." title="Figure 28: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28: The refused request: 'Security Exception: Access Denied by ZK-Policy. Failed checks: VL'.</w:t>
      </w:r>
    </w:p>
    <w:p>
      <w:pPr>
        <w:spacing w:after="140" w:line="300"/>
        <w:jc w:val="both"/>
      </w:pPr>
      <w:r>
        <w:rPr>
          <w:rFonts w:ascii="Cambria" w:cs="Cambria" w:eastAsia="Cambria" w:hAnsi="Cambria"/>
          <w:color w:val="C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C00000"/>
          <w:sz w:val="24"/>
          <w:szCs w:val="24"/>
        </w:rPr>
        <w:t xml:space="preserve">This demonstration corresponds to </w:t>
      </w:r>
      <w:r>
        <w:rPr>
          <w:rFonts w:ascii="Cambria" w:cs="Cambria" w:eastAsia="Cambria" w:hAnsi="Cambria"/>
          <w:b/>
          <w:bCs/>
          <w:color w:val="C00000"/>
          <w:sz w:val="24"/>
          <w:szCs w:val="24"/>
        </w:rPr>
        <w:t xml:space="preserve">Jurisdictional Constraint Enforcement and Fail-Closed Access Control</w:t>
      </w:r>
      <w:r>
        <w:rPr>
          <w:rFonts w:ascii="Cambria" w:cs="Cambria" w:eastAsia="Cambria" w:hAnsi="Cambria"/>
          <w:color w:val="C00000"/>
          <w:sz w:val="24"/>
          <w:szCs w:val="24"/>
        </w:rPr>
        <w:t xml:space="preserve">.</w:t>
      </w:r>
    </w:p>
    <w:p>
      <w:pPr>
        <w:pStyle w:val="Heading3"/>
        <w:spacing w:after="160" w:before="280"/>
      </w:pPr>
      <w:r>
        <w:rPr>
          <w:color w:val="C00000"/>
        </w:rPr>
        <w:t xml:space="preserve">6.8.6  Consent Revocation</w:t>
      </w:r>
    </w:p>
    <w:p>
      <w:pPr>
        <w:spacing w:after="140" w:line="300"/>
        <w:jc w:val="both"/>
      </w:pPr>
      <w:r>
        <w:rPr>
          <w:rFonts w:ascii="Cambria" w:cs="Cambria" w:eastAsia="Cambria" w:hAnsi="Cambria"/>
          <w:color w:val="C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29: The patient subsystem during revocation: 'Revoking on Sepolia - waiting for block confirmation…'." title="Figure 29: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29: The patient subsystem during revocation: 'Revoking on Sepolia - waiting for block confirmation…'.</w:t>
      </w:r>
    </w:p>
    <w:p>
      <w:pPr>
        <w:spacing w:after="140" w:line="300"/>
        <w:jc w:val="both"/>
      </w:pPr>
      <w:r>
        <w:rPr>
          <w:rFonts w:ascii="Cambria" w:cs="Cambria" w:eastAsia="Cambria" w:hAnsi="Cambria"/>
          <w:color w:val="C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0: The patient subsystem after revocation: the evaluated consent f050c29a is REVOKED with token #1 (displayed as SBT-1). The other rows are earlier trial consents." title="Figure 30: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30: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C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C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1: The implemented consent lifecycle: every consent progresses through controlled states, and the activating and revoking transitions are anchored as verifiable Sepolia transactions." title="Figure 31: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31: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2: The doctor subsystem after revocation: VA reports FAIL and the consent is reported as 'not active. Current state: REVOKED'." title="Figure 32: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32: The doctor subsystem after revocation: VA reports FAIL and the consent is reported as 'not active. Current state: REVOKED'.</w:t>
      </w:r>
    </w:p>
    <w:p>
      <w:pPr>
        <w:spacing w:after="140" w:line="300"/>
        <w:jc w:val="both"/>
      </w:pPr>
      <w:r>
        <w:rPr>
          <w:rFonts w:ascii="Cambria" w:cs="Cambria" w:eastAsia="Cambria" w:hAnsi="Cambria"/>
          <w:color w:val="C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3: The revocation transaction on Sepolia Etherscan: status Success, block 11,771,307, decoded input 'Function: revoke(uint256 tokenId)' with tokenId = 1." title="Figure 33: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33: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C00000"/>
          <w:sz w:val="24"/>
          <w:szCs w:val="24"/>
        </w:rPr>
        <w:t xml:space="preserve">As shown in the figure above, the revocation is again a publicly verifiable transaction, whose decoded input names the contract function revoke and the token identifier. The transaction can be inspected at Etherscan: revoke transaction. The revocation subsystem therefore corresponds to </w:t>
      </w:r>
      <w:r>
        <w:rPr>
          <w:rFonts w:ascii="Cambria" w:cs="Cambria" w:eastAsia="Cambria" w:hAnsi="Cambria"/>
          <w:b/>
          <w:bCs/>
          <w:color w:val="C00000"/>
          <w:sz w:val="24"/>
          <w:szCs w:val="24"/>
        </w:rPr>
        <w:t xml:space="preserve">Enforcement State Management and Consent Withdrawal</w:t>
      </w:r>
      <w:r>
        <w:rPr>
          <w:rFonts w:ascii="Cambria" w:cs="Cambria" w:eastAsia="Cambria" w:hAnsi="Cambria"/>
          <w:color w:val="C00000"/>
          <w:sz w:val="24"/>
          <w:szCs w:val="24"/>
        </w:rPr>
        <w:t xml:space="preserve">.Etherscan: revoke transaction</w:t>
      </w:r>
    </w:p>
    <w:p>
      <w:pPr>
        <w:pStyle w:val="Heading3"/>
        <w:spacing w:after="160" w:before="280"/>
      </w:pPr>
      <w:r>
        <w:rPr>
          <w:color w:val="C00000"/>
        </w:rPr>
        <w:t xml:space="preserve">6.8.7  Blockchain Audit and Consent Lifecycle for the Auditor</w:t>
      </w:r>
    </w:p>
    <w:p>
      <w:pPr>
        <w:spacing w:after="140" w:line="300"/>
        <w:jc w:val="both"/>
      </w:pPr>
      <w:r>
        <w:rPr>
          <w:rFonts w:ascii="Cambria" w:cs="Cambria" w:eastAsia="Cambria" w:hAnsi="Cambria"/>
          <w:color w:val="C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4: The Consent Lifecycle reconstruction for the evaluated consent: the guardian signatures, MINT_SBT and ONCHAIN_MINT on the left, and the STATE_CHECK, DENIED, REVOKE_CONSENT and ONCHAIN_REVOKE events on the right." title="Figure 34: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34: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C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5: The auditor subsystem with the evaluated consent selected: aggregate indicators and the Detailed Audit Records, in which the on-chain events carry their transaction hashes and block numbers." title="Figure 35: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35: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C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C00000"/>
          <w:sz w:val="22"/>
          <w:szCs w:val="22"/>
        </w:rPr>
        <w:t xml:space="preserve">Total Events = 60    Consent Events = 8    Access Requests = 9    On-chain Anchors = 5</w:t>
      </w:r>
    </w:p>
    <w:p>
      <w:pPr>
        <w:spacing w:after="140" w:line="300"/>
        <w:jc w:val="both"/>
      </w:pPr>
      <w:r>
        <w:rPr>
          <w:rFonts w:ascii="Cambria" w:cs="Cambria" w:eastAsia="Cambria" w:hAnsi="Cambria"/>
          <w:color w:val="C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C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C00000"/>
          <w:sz w:val="24"/>
          <w:szCs w:val="24"/>
        </w:rPr>
        <w:t xml:space="preserve">This produces an explicit chain of evidence as</w:t>
      </w:r>
    </w:p>
    <w:p>
      <w:pPr>
        <w:spacing w:after="160" w:before="60"/>
        <w:jc w:val="center"/>
      </w:pPr>
      <w:r>
        <w:rPr>
          <w:rFonts w:ascii="Cambria Math" w:cs="Cambria Math" w:eastAsia="Cambria Math" w:hAnsi="Cambria Math"/>
          <w:i/>
          <w:iCs/>
          <w:color w:val="C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C00000"/>
          <w:sz w:val="22"/>
          <w:szCs w:val="22"/>
        </w:rPr>
        <w:t xml:space="preserve">→ Doctor(DENIED) → Patient(revoke) → SmartContract(revoke)</w:t>
      </w:r>
    </w:p>
    <w:p>
      <w:pPr>
        <w:spacing w:after="140" w:line="300"/>
        <w:jc w:val="both"/>
      </w:pPr>
      <w:r>
        <w:rPr>
          <w:rFonts w:ascii="Cambria" w:cs="Cambria" w:eastAsia="Cambria" w:hAnsi="Cambria"/>
          <w:color w:val="C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C00000"/>
          <w:sz w:val="24"/>
          <w:szCs w:val="24"/>
        </w:rPr>
        <w:t xml:space="preserve">This corresponds to the proposed requirement for </w:t>
      </w:r>
      <w:r>
        <w:rPr>
          <w:rFonts w:ascii="Cambria" w:cs="Cambria" w:eastAsia="Cambria" w:hAnsi="Cambria"/>
          <w:b/>
          <w:bCs/>
          <w:color w:val="C00000"/>
          <w:sz w:val="24"/>
          <w:szCs w:val="24"/>
        </w:rPr>
        <w:t xml:space="preserve">traceability, accountability and non-repudiable consent evidence</w:t>
      </w:r>
      <w:r>
        <w:rPr>
          <w:rFonts w:ascii="Cambria" w:cs="Cambria" w:eastAsia="Cambria" w:hAnsi="Cambria"/>
          <w:color w:val="C00000"/>
          <w:sz w:val="24"/>
          <w:szCs w:val="24"/>
        </w:rPr>
        <w:t xml:space="preserve">.</w:t>
      </w:r>
    </w:p>
    <w:p>
      <w:pPr>
        <w:pStyle w:val="Heading3"/>
        <w:spacing w:after="160" w:before="280"/>
      </w:pPr>
      <w:r>
        <w:rPr>
          <w:color w:val="C00000"/>
        </w:rPr>
        <w:t xml:space="preserve">6.8.8  Detailed Audit Records</w:t>
      </w:r>
    </w:p>
    <w:p>
      <w:pPr>
        <w:spacing w:after="140" w:line="300"/>
        <w:jc w:val="both"/>
      </w:pPr>
      <w:r>
        <w:rPr>
          <w:rFonts w:ascii="Cambria" w:cs="Cambria" w:eastAsia="Cambria" w:hAnsi="Cambria"/>
          <w:color w:val="C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C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3 and 6, so the ledger and the public chain describe the same events.</w:t>
      </w:r>
    </w:p>
    <w:p>
      <w:pPr>
        <w:spacing w:after="140" w:line="300"/>
        <w:jc w:val="both"/>
      </w:pPr>
      <w:r>
        <w:rPr>
          <w:rFonts w:ascii="Cambria" w:cs="Cambria" w:eastAsia="Cambria" w:hAnsi="Cambria"/>
          <w:color w:val="C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C00000"/>
          <w:sz w:val="24"/>
          <w:szCs w:val="24"/>
        </w:rPr>
        <w:t xml:space="preserve">The subsystem therefore implements the distinction between operational access information and forensic/audit information.</w:t>
      </w:r>
    </w:p>
    <w:p>
      <w:pPr>
        <w:pStyle w:val="Heading3"/>
        <w:spacing w:after="160" w:before="280"/>
      </w:pPr>
      <w:r>
        <w:rPr>
          <w:color w:val="C00000"/>
        </w:rPr>
        <w:t xml:space="preserve">6.8.9  Complete Audit Ledger and Independent Verification</w:t>
      </w:r>
    </w:p>
    <w:p>
      <w:pPr>
        <w:spacing w:after="140" w:line="300"/>
        <w:jc w:val="both"/>
      </w:pPr>
      <w:r>
        <w:rPr>
          <w:rFonts w:ascii="Cambria" w:cs="Cambria" w:eastAsia="Cambria" w:hAnsi="Cambria"/>
          <w:color w:val="C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C00000"/>
          <w:sz w:val="22"/>
          <w:szCs w:val="22"/>
        </w:rPr>
        <w:t xml:space="preserve">Accountability + Traceability + Integrity + Non-repudiation</w:t>
      </w:r>
    </w:p>
    <w:p>
      <w:pPr>
        <w:spacing w:after="140" w:line="300"/>
        <w:jc w:val="both"/>
      </w:pPr>
      <w:r>
        <w:rPr>
          <w:rFonts w:ascii="Cambria" w:cs="Cambria" w:eastAsia="Cambria" w:hAnsi="Cambria"/>
          <w:color w:val="C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6: The final verdict of the independent verification, re-executed after the second lifecycle: RESULT: ALL CHECKS PASSED." title="Figure 36: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36: The final verdict of the independent verification, re-executed after the second lifecycle: RESULT: ALL CHECKS PASSED.</w:t>
      </w:r>
    </w:p>
    <w:p>
      <w:pPr>
        <w:spacing w:after="140" w:line="300"/>
        <w:jc w:val="both"/>
      </w:pPr>
      <w:r>
        <w:rPr>
          <w:rFonts w:ascii="Cambria" w:cs="Cambria" w:eastAsia="Cambria" w:hAnsi="Cambria"/>
          <w:color w:val="C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C00000"/>
        </w:rPr>
        <w:t xml:space="preserve">6.8.10  Correspondence Between the Subsystems and the Framework</w:t>
      </w:r>
    </w:p>
    <w:p>
      <w:pPr>
        <w:spacing w:after="140" w:line="300"/>
        <w:jc w:val="both"/>
      </w:pPr>
      <w:r>
        <w:rPr>
          <w:rFonts w:ascii="Cambria" w:cs="Cambria" w:eastAsia="Cambria" w:hAnsi="Cambria"/>
          <w:color w:val="C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C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C00000"/>
        </w:rPr>
        <w:t xml:space="preserve">6.8.11  Overall System Demonstration</w:t>
      </w:r>
    </w:p>
    <w:p>
      <w:pPr>
        <w:spacing w:after="140" w:line="300"/>
        <w:jc w:val="both"/>
      </w:pPr>
      <w:r>
        <w:rPr>
          <w:rFonts w:ascii="Cambria" w:cs="Cambria" w:eastAsia="Cambria" w:hAnsi="Cambria"/>
          <w:color w:val="C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C00000"/>
          <w:sz w:val="22"/>
          <w:szCs w:val="22"/>
        </w:rPr>
        <w:t xml:space="preserve">C → MS → SBT_chain → StateCheck → AccessDecision → EMR → Revoke_chain → Audit → Verify</w:t>
      </w:r>
    </w:p>
    <w:p>
      <w:pPr>
        <w:spacing w:after="140" w:line="300"/>
        <w:jc w:val="both"/>
      </w:pPr>
      <w:r>
        <w:rPr>
          <w:rFonts w:ascii="Cambria" w:cs="Cambria" w:eastAsia="Cambria" w:hAnsi="Cambria"/>
          <w:color w:val="C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C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C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C00000"/>
        </w:rPr>
        <w:t xml:space="preserve">6.8.12  Verification Links</w:t>
      </w:r>
    </w:p>
    <w:p>
      <w:pPr>
        <w:spacing w:after="140" w:line="300"/>
        <w:jc w:val="both"/>
      </w:pPr>
      <w:r>
        <w:rPr>
          <w:rFonts w:ascii="Cambria" w:cs="Cambria" w:eastAsia="Cambria" w:hAnsi="Cambria"/>
          <w:color w:val="C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C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C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C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C00000"/>
          <w:sz w:val="24"/>
          <w:szCs w:val="24"/>
        </w:rPr>
        <w:t xml:space="preserve">Full audit-ledger export: </w:t>
      </w:r>
      <w:r>
        <w:rPr>
          <w:rFonts w:ascii="Consolas" w:cs="Consolas" w:eastAsia="Consolas" w:hAnsi="Consolas"/>
          <w:color w:val="C00000"/>
          <w:sz w:val="20"/>
          <w:szCs w:val="20"/>
        </w:rPr>
        <w:t xml:space="preserve">evidence/sepolia_audit_ledger_2026-09-24.csv</w:t>
      </w:r>
      <w:r>
        <w:rPr>
          <w:rFonts w:ascii="Cambria" w:cs="Cambria" w:eastAsia="Cambria" w:hAnsi="Cambria"/>
          <w:color w:val="C00000"/>
          <w:sz w:val="24"/>
          <w:szCs w:val="24"/>
        </w:rPr>
        <w:t xml:space="preserve">; deployment and run record: </w:t>
      </w:r>
      <w:r>
        <w:rPr>
          <w:rFonts w:ascii="Consolas" w:cs="Consolas" w:eastAsia="Consolas" w:hAnsi="Consolas"/>
          <w:color w:val="C00000"/>
          <w:sz w:val="20"/>
          <w:szCs w:val="20"/>
        </w:rPr>
        <w:t xml:space="preserve">evidence/sepolia_deploy_v3_2026-09-24.txt</w:t>
      </w:r>
      <w:r>
        <w:rPr>
          <w:rFonts w:ascii="Cambria" w:cs="Cambria" w:eastAsia="Cambria" w:hAnsi="Cambria"/>
          <w:color w:val="C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color w:val="C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C00000"/>
          <w:sz w:val="24"/>
          <w:szCs w:val="24"/>
        </w:rPr>
        <w:t xml:space="preserve">Status: Completed.</w:t>
      </w:r>
    </w:p>
    <w:p>
      <w:pPr>
        <w:spacing w:after="140" w:line="300"/>
        <w:jc w:val="both"/>
      </w:pPr>
      <w:r>
        <w:rPr>
          <w:rFonts w:ascii="Cambria" w:cs="Cambria" w:eastAsia="Cambria" w:hAnsi="Cambria"/>
          <w:color w:val="C00000"/>
          <w:sz w:val="24"/>
          <w:szCs w:val="24"/>
        </w:rPr>
        <w:t xml:space="preserve">The policy predicate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is implemented at the prototype level: each access request declares a purpose and a requested data scope 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and the request is rejected whenever 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is not a subset of the authorised scope S</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The predicate is evaluated as one term of the complete decision matrix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C00000"/>
          <w:sz w:val="24"/>
          <w:szCs w:val="24"/>
        </w:rPr>
        <w:t xml:space="preserve">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C00000"/>
          <w:sz w:val="24"/>
          <w:szCs w:val="24"/>
        </w:rPr>
        <w:t xml:space="preserve">Status: Largely Completed.</w:t>
      </w:r>
    </w:p>
    <w:p>
      <w:pPr>
        <w:spacing w:after="140" w:line="300"/>
        <w:jc w:val="both"/>
      </w:pPr>
      <w:r>
        <w:rPr>
          <w:rFonts w:ascii="Cambria" w:cs="Cambria" w:eastAsia="Cambria" w:hAnsi="Cambria"/>
          <w:color w:val="C00000"/>
          <w:sz w:val="24"/>
          <w:szCs w:val="24"/>
        </w:rPr>
        <w:t xml:space="preserve">RO5 has moved from planned work to implemented capability. The consent validity interval [t</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t</w:t>
      </w:r>
      <w:r>
        <w:rPr>
          <w:rFonts w:ascii="Cambria" w:cs="Cambria" w:eastAsia="Cambria" w:hAnsi="Cambria"/>
          <w:color w:val="C00000"/>
          <w:sz w:val="24"/>
          <w:szCs w:val="24"/>
          <w:vertAlign w:val="subscript"/>
        </w:rPr>
        <w:t xml:space="preserve">e</w:t>
      </w:r>
      <w:r>
        <w:rPr>
          <w:rFonts w:ascii="Cambria" w:cs="Cambria" w:eastAsia="Cambria" w:hAnsi="Cambria"/>
          <w:color w:val="C00000"/>
          <w:sz w:val="24"/>
          <w:szCs w:val="24"/>
        </w:rPr>
        <w:t xml:space="preserve">] is now enforced by the temporal predicate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C00000"/>
          <w:sz w:val="24"/>
          <w:szCs w:val="24"/>
        </w:rPr>
        <w:t xml:space="preserve">Status: Partially Completed.</w:t>
      </w:r>
    </w:p>
    <w:p>
      <w:pPr>
        <w:spacing w:after="140" w:line="300"/>
        <w:jc w:val="both"/>
      </w:pPr>
      <w:r>
        <w:rPr>
          <w:rFonts w:ascii="Cambria" w:cs="Cambria" w:eastAsia="Cambria" w:hAnsi="Cambria"/>
          <w:color w:val="C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named as the failed check, and a revocation scenario in which the same consent, once revoked on-chain, is subsequently denied through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color w:val="C00000"/>
          <w:sz w:val="24"/>
          <w:szCs w:val="24"/>
        </w:rPr>
        <w:t xml:space="preserve">Decentralised implementation and scenario-based validation complete on the Sepolia public testnet; performance evaluation outstanding. The paper’s empirical section can now draw upon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C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C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bCs/>
          <w:color w:val="007A00"/>
          <w:sz w:val="24"/>
          <w:szCs w:val="24"/>
        </w:rPr>
        <w:t xml:space="preserve">IEEE Communications Surveys &amp; Tutorials</w:t>
      </w:r>
      <w:r>
        <w:rPr>
          <w:rFonts w:ascii="Cambria" w:cs="Cambria" w:eastAsia="Cambria" w:hAnsi="Cambria"/>
          <w:sz w:val="24"/>
          <w:szCs w:val="24"/>
        </w:rPr>
        <w:t xml:space="preserve">, 25(1):386–424, 2022.</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bCs/>
          <w:color w:val="007A00"/>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bCs/>
          <w:color w:val="007A00"/>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bCs/>
          <w:color w:val="007A00"/>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Glann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bCs/>
          <w:color w:val="007A00"/>
          <w:sz w:val="24"/>
          <w:szCs w:val="24"/>
        </w:rPr>
        <w:t xml:space="preserve">1(2):</w:t>
      </w:r>
      <w:r>
        <w:rPr>
          <w:rFonts w:ascii="Cambria" w:cs="Cambria" w:eastAsia="Cambria" w:hAnsi="Cambria"/>
          <w:sz w:val="24"/>
          <w:szCs w:val="24"/>
        </w:rPr>
        <w:t xml:space="preserve">244–271, 2023 </w:t>
      </w:r>
      <w:r>
        <w:rPr>
          <w:rFonts w:ascii="Cambria" w:cs="Cambria" w:eastAsia="Cambria" w:hAnsi="Cambria"/>
          <w:b/>
          <w:bCs/>
          <w:color w:val="007A00"/>
          <w:sz w:val="24"/>
          <w:szCs w:val="24"/>
        </w:rPr>
        <w:t xml:space="preserve">(volume/issue to be confirmed against the publisher's record)</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b/>
          <w:bCs/>
          <w:color w:val="007A00"/>
          <w:sz w:val="24"/>
          <w:szCs w:val="24"/>
        </w:rPr>
        <w:t xml:space="preserve">vol. 27,</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Andrei McCall. Privacy-preserving interoperability in healthcare data ecosystems: balancing data sharing with individual autonomy. </w:t>
      </w:r>
      <w:r>
        <w:rPr>
          <w:rFonts w:ascii="Cambria" w:cs="Cambria" w:eastAsia="Cambria" w:hAnsi="Cambria"/>
          <w:b/>
          <w:bCs/>
          <w:color w:val="007A00"/>
          <w:sz w:val="24"/>
          <w:szCs w:val="24"/>
        </w:rPr>
        <w:t xml:space="preserve">IEEE Journal of Biomedical and Health Informatics</w:t>
      </w:r>
      <w:r>
        <w:rPr>
          <w:rFonts w:ascii="Cambria" w:cs="Cambria" w:eastAsia="Cambria" w:hAnsi="Cambria"/>
          <w:sz w:val="24"/>
          <w:szCs w:val="24"/>
        </w:rPr>
        <w:t xml:space="preserve">, 28(3):1234–1245, 2024.</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bCs/>
          <w:color w:val="007A00"/>
          <w:sz w:val="24"/>
          <w:szCs w:val="24"/>
        </w:rPr>
        <w:t xml:space="preserve">European Journal of Health Law</w:t>
      </w:r>
      <w:r>
        <w:rPr>
          <w:rFonts w:ascii="Cambria" w:cs="Cambria" w:eastAsia="Cambria" w:hAnsi="Cambria"/>
          <w:sz w:val="24"/>
          <w:szCs w:val="24"/>
        </w:rPr>
        <w:t xml:space="preserve">, 30(4):469–480, 2022.</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pages 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bCs/>
          <w:color w:val="007A00"/>
          <w:sz w:val="24"/>
          <w:szCs w:val="24"/>
        </w:rPr>
        <w:t xml:space="preserve">Pediatrics, 144(1):e20191359, 2019 (the source lists 2022; the article was published in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bCs/>
          <w:color w:val="007A00"/>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w:t>
      </w:r>
      <w:r>
        <w:rPr>
          <w:rFonts w:ascii="Cambria" w:cs="Cambria" w:eastAsia="Cambria" w:hAnsi="Cambria"/>
          <w:b/>
          <w:bCs/>
          <w:color w:val="007A00"/>
          <w:sz w:val="24"/>
          <w:szCs w:val="24"/>
        </w:rPr>
        <w:t xml:space="preserve">20:</w:t>
      </w:r>
      <w:r>
        <w:rPr>
          <w:rFonts w:ascii="Cambria" w:cs="Cambria" w:eastAsia="Cambria" w:hAnsi="Cambria"/>
          <w:sz w:val="24"/>
          <w:szCs w:val="24"/>
        </w:rPr>
        <w:t xml:space="preserve">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580bfb808c41b68f58dd6143da2bda07a4fdfcd6.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image" Target="media/340cd7ece83aa7b471f90497fa4ab20abba8cb78.png"/><Relationship Id="rId22" Type="http://schemas.openxmlformats.org/officeDocument/2006/relationships/image" Target="media/29a8d803374a279180f0fb7569fd71a96e4828cc.png"/><Relationship Id="rId23" Type="http://schemas.openxmlformats.org/officeDocument/2006/relationships/image" Target="media/93e2e5b518189f1af9628f404919fff014730a4c.png"/><Relationship Id="rId24" Type="http://schemas.openxmlformats.org/officeDocument/2006/relationships/image" Target="media/0c260341434b1a3d96e8ec816e8fdf21bc280008.png"/><Relationship Id="rId25" Type="http://schemas.openxmlformats.org/officeDocument/2006/relationships/image" Target="media/3b43f208c34e619a9b1fcd7a8da9990014f117c8.png"/><Relationship Id="rId26" Type="http://schemas.openxmlformats.org/officeDocument/2006/relationships/image" Target="media/86a2658ddba90ee4c38a66206a6a68c15d95f581.png"/><Relationship Id="rId27" Type="http://schemas.openxmlformats.org/officeDocument/2006/relationships/image" Target="media/b042baccd1b6ddb409d02825dcbf0a0b42cf8600.png"/><Relationship Id="rId28" Type="http://schemas.openxmlformats.org/officeDocument/2006/relationships/image" Target="media/b08ef3c27e50bcebac919f21b9b3c4430a015386.png"/><Relationship Id="rId29" Type="http://schemas.openxmlformats.org/officeDocument/2006/relationships/image" Target="media/5aab1f9956758b1489f12e56e316ce914adfc234.png"/><Relationship Id="rId30" Type="http://schemas.openxmlformats.org/officeDocument/2006/relationships/image" Target="media/dca988adf54061cfd18e3b65d04cc93b4c0821a5.png"/><Relationship Id="rId31" Type="http://schemas.openxmlformats.org/officeDocument/2006/relationships/image" Target="media/ced20419b26ad52dabc386ca8fa03e512cf67f8c.png"/><Relationship Id="rId32" Type="http://schemas.openxmlformats.org/officeDocument/2006/relationships/image" Target="media/e56b4f992bdd903593631381fadd9d088590b949.png"/><Relationship Id="rId33" Type="http://schemas.openxmlformats.org/officeDocument/2006/relationships/image" Target="media/31dcbc50059ae2791ce05a42c041185014378f3f.png"/><Relationship Id="rId34" Type="http://schemas.openxmlformats.org/officeDocument/2006/relationships/image" Target="media/ce3dcc9a910c6fc9b80e1215a4025c2e03d7ae91.png"/><Relationship Id="rId35" Type="http://schemas.openxmlformats.org/officeDocument/2006/relationships/image" Target="media/8f7d48ee1d3a925ebd1d5709598063d3ff8e3925.png"/><Relationship Id="rId36" Type="http://schemas.openxmlformats.org/officeDocument/2006/relationships/image" Target="media/379af060121c595b8dab938b017503bf01d94543.png"/><Relationship Id="rId37" Type="http://schemas.openxmlformats.org/officeDocument/2006/relationships/image" Target="media/3a13ccfef28f9583bfb8ffa6fad6c0cd87ee4e3f.png"/><Relationship Id="rId38" Type="http://schemas.openxmlformats.org/officeDocument/2006/relationships/image" Target="media/c67c351664df141a74ad4841b37c3e4adf06cdc8.png"/><Relationship Id="rId39" Type="http://schemas.openxmlformats.org/officeDocument/2006/relationships/image" Target="media/0dab734b3591fc6e44f28d70c229863ac765dd6c.png"/><Relationship Id="rId40" Type="http://schemas.openxmlformats.org/officeDocument/2006/relationships/image" Target="media/77a7b903f3de550876bb41810cdf2d1e7c0ac7f2.png"/><Relationship Id="rId41" Type="http://schemas.openxmlformats.org/officeDocument/2006/relationships/image" Target="media/2f0f0886862a384327500130debd3ae79225e0b4.png"/><Relationship Id="rId42" Type="http://schemas.openxmlformats.org/officeDocument/2006/relationships/image" Target="media/05da8f4effe706cf5aafdd89f16572da00d8acd2.png"/><Relationship Id="rId43" Type="http://schemas.openxmlformats.org/officeDocument/2006/relationships/image" Target="media/18110f2d94411825c7d788fe5ccde19f68a450f5.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2026-09-25T09:45:26.708Z</dcterms:created>
  <dcterms:modified xsi:type="dcterms:W3CDTF">2026-09-25T09:45:26.709Z</dcterms:modified>
</cp:coreProperties>
</file>

<file path=docProps/custom.xml><?xml version="1.0" encoding="utf-8"?>
<Properties xmlns="http://schemas.openxmlformats.org/officeDocument/2006/custom-properties" xmlns:vt="http://schemas.openxmlformats.org/officeDocument/2006/docPropsVTypes"/>
</file>