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current stage delivers RO1 to RO5 in operational form together with the scenario-based empirical component of RO6.</w:t>
      </w:r>
      <w:r>
        <w:rPr>
          <w:rFonts w:ascii="Cambria" w:cs="Cambria" w:eastAsia="Cambria" w:hAnsi="Cambria"/>
          <w:color w:val="E6007E"/>
          <w:sz w:val="24"/>
          <w:szCs w:val="24"/>
        </w:rPr>
        <w:t xml:space="preserve"> This component is evidenced by 36 automated tests, a live jurisdiction-based denial, an on-chain revocation followed by refusal and an independent verification of every recorded transaction. The tests include twelve unit-level attack scenarios. After a hardening of the service layer, eleven of them are refused, and the twelfth shows only that a rewritten audit event changes its digest. The five anchored transactions consumed between 32,980 and 196,406 gas and were confirmed between 4.9 and 22.1 s after submission.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formal component of RO6, together with consent modification, delegation and a full performance and scalability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60</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78</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140</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157</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6.8.13 Preliminary Measurements and Unit-Level Adversarial Tests</w:t>
      </w:r>
      <w:r>
        <w:rPr>
          <w:rFonts w:ascii="Cambria" w:cs="Cambria" w:eastAsia="Cambria" w:hAnsi="Cambria"/>
          <w:color w:val="000000"/>
          <w:sz w:val="20"/>
          <w:szCs w:val="20"/>
        </w:rPr>
        <w:t xml:space="preserve">	169</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179</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179</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179</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180</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185</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186</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186</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186</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192</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E6007E"/>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E6007E"/>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tests of tampered and expired zero-knowledge proofs and twelve attack scenarios against the consent object and the contract (Section 6.8.13).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the live HALAH demonstration and its measured and adversarial evaluation.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CC"/>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E6007E"/>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E6007E"/>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E6007E"/>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25 included studies were published between 2020 and 2026</w:t>
      </w:r>
      <w:r>
        <w:rPr>
          <w:rFonts w:ascii="Cambria" w:cs="Cambria" w:eastAsia="Cambria" w:hAnsi="Cambria"/>
          <w:color w:val="0000CC"/>
          <w:sz w:val="24"/>
          <w:szCs w:val="24"/>
        </w:rPr>
        <w:t xml:space="preserve">, which is the publication period fixed in the review protocol. </w:t>
      </w:r>
      <w:r>
        <w:rPr>
          <w:rFonts w:ascii="Cambria" w:cs="Cambria" w:eastAsia="Cambria" w:hAnsi="Cambria"/>
          <w:color w:val="E6007E"/>
          <w:sz w:val="24"/>
          <w:szCs w:val="24"/>
        </w:rPr>
        <w:t xml:space="preserve">Of the 25 studies, 13 were retrieved through Scopus, 10 through IEEE Xplore and two through ProQuest,</w:t>
      </w:r>
      <w:r>
        <w:rPr>
          <w:rFonts w:ascii="Cambria" w:cs="Cambria" w:eastAsia="Cambria" w:hAnsi="Cambria"/>
          <w:color w:val="0000CC"/>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E6007E"/>
          <w:sz w:val="24"/>
          <w:szCs w:val="24"/>
        </w:rPr>
        <w:t xml:space="preserve">each included study is referred to by the label Sn (S1 to S25)</w:t>
      </w:r>
      <w:r>
        <w:rPr>
          <w:rFonts w:ascii="Cambria" w:cs="Cambria" w:eastAsia="Cambria" w:hAnsi="Cambria"/>
          <w:color w:val="0000CC"/>
          <w:sz w:val="24"/>
          <w:szCs w:val="24"/>
        </w:rPr>
        <w:t xml:space="preserve"> together with its reference number, so that the reader can move between the tables, the text and the reference list without ambiguity. </w:t>
      </w:r>
      <w:r>
        <w:rPr>
          <w:rFonts w:ascii="Cambria" w:cs="Cambria" w:eastAsia="Cambria" w:hAnsi="Cambria"/>
          <w:color w:val="E6007E"/>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CC"/>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E6007E"/>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CC"/>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E6007E"/>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It should be noted that this raw yield reflects the breadth of the master query and the indexing mode of the databases rather than the size of the relevant literature. The two full-record searches, SpringerLink and IEEE Xplore, account for 4,701 of the 9,256 records, whereas the four field-restricted searches on title, abstract and keywords (Scopus, Web of Science, ScienceDirect and ACM Digital Library) returned 3,375 between them. The protocol accepted this over-retrieval deliberately, since a broad query was preferred to a query tuned to the sentinel papers, and the screening stages reduce the set to 1,800 full texts and 25 included studies.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E6007E"/>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CC"/>
          <w:sz w:val="24"/>
          <w:szCs w:val="24"/>
        </w:rPr>
        <w:t xml:space="preserve"> Therefore, 1,800 records advanced to full-text retrieval.</w:t>
      </w:r>
    </w:p>
    <w:p>
      <w:pPr>
        <w:spacing w:after="140" w:line="300"/>
        <w:jc w:val="both"/>
      </w:pPr>
      <w:r>
        <w:rPr>
          <w:rFonts w:ascii="Cambria" w:cs="Cambria" w:eastAsia="Cambria" w:hAnsi="Cambria"/>
          <w:color w:val="E6007E"/>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CC"/>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E6007E"/>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CC"/>
          <w:sz w:val="24"/>
          <w:szCs w:val="24"/>
        </w:rPr>
        <w:t xml:space="preserve"> Three studies were classified as secondary reviews under EC7 and retained for background [79, 80, 81]. </w:t>
      </w:r>
      <w:r>
        <w:rPr>
          <w:rFonts w:ascii="Cambria" w:cs="Cambria" w:eastAsia="Cambria" w:hAnsi="Cambria"/>
          <w:color w:val="E6007E"/>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Every one of the 44 reports also passed the quality gate</w:t>
      </w:r>
      <w:r>
        <w:rPr>
          <w:rFonts w:ascii="Cambria" w:cs="Cambria" w:eastAsia="Cambria" w:hAnsi="Cambria"/>
          <w:color w:val="0000CC"/>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E6007E"/>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w:t>
      </w:r>
      <w:r>
        <w:rPr>
          <w:rFonts w:ascii="Cambria" w:cs="Cambria" w:eastAsia="Cambria" w:hAnsi="Cambria"/>
          <w:color w:val="E6007E"/>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E6007E"/>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E6007E"/>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CC"/>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E6007E"/>
          <w:sz w:val="24"/>
          <w:szCs w:val="24"/>
        </w:rPr>
        <w:t xml:space="preserve">Each of the 25 included studies was analysed</w:t>
      </w:r>
      <w:r>
        <w:rPr>
          <w:rFonts w:ascii="Cambria" w:cs="Cambria" w:eastAsia="Cambria" w:hAnsi="Cambria"/>
          <w:color w:val="0000CC"/>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w:t>
      </w:r>
      <w:r>
        <w:rPr>
          <w:rFonts w:ascii="Cambria" w:cs="Cambria" w:eastAsia="Cambria" w:hAnsi="Cambria"/>
          <w:color w:val="E6007E"/>
          <w:sz w:val="24"/>
          <w:szCs w:val="24"/>
        </w:rPr>
        <w:t xml:space="preserve">The studies are listed in Table 2 in the order of their labels S1 to S25, together with their reference numbers.</w:t>
      </w:r>
      <w:r>
        <w:rPr>
          <w:rFonts w:ascii="Cambria" w:cs="Cambria" w:eastAsia="Cambria" w:hAnsi="Cambria"/>
          <w:color w:val="0000CC"/>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E6007E"/>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E6007E"/>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E6007E"/>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two included studies illustrate</w:t>
      </w:r>
      <w:r>
        <w:rPr>
          <w:rFonts w:ascii="Cambria" w:cs="Cambria" w:eastAsia="Cambria" w:hAnsi="Cambria"/>
          <w:color w:val="0000CC"/>
          <w:sz w:val="24"/>
          <w:szCs w:val="24"/>
        </w:rPr>
        <w:t xml:space="preserv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E6007E"/>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CC"/>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Ten further reports were assigned to this stream and coded, but they are not part of the review corpus</w:t>
      </w:r>
      <w:r>
        <w:rPr>
          <w:rFonts w:ascii="Cambria" w:cs="Cambria" w:eastAsia="Cambria" w:hAnsi="Cambria"/>
          <w:color w:val="0000CC"/>
          <w:sz w:val="24"/>
          <w:szCs w:val="24"/>
        </w:rPr>
        <w:t xml:space="preserve"> [36], [39], [41], [42], [60], [65], [68], [70], [74], [78]. </w:t>
      </w:r>
      <w:r>
        <w:rPr>
          <w:rFonts w:ascii="Cambria" w:cs="Cambria" w:eastAsia="Cambria" w:hAnsi="Cambria"/>
          <w:color w:val="E6007E"/>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ten supporting references were graded Partial</w:t>
      </w:r>
      <w:r>
        <w:rPr>
          <w:rFonts w:ascii="Cambria" w:cs="Cambria" w:eastAsia="Cambria" w:hAnsi="Cambria"/>
          <w:color w:val="0000CC"/>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E6007E"/>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CC"/>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E6007E"/>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CC"/>
          <w:sz w:val="24"/>
          <w:szCs w:val="24"/>
        </w:rPr>
        <w:t xml:space="preserve">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CC"/>
          <w:sz w:val="24"/>
          <w:szCs w:val="24"/>
        </w:rPr>
        <w:t xml:space="preserve">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E6007E"/>
          <w:sz w:val="24"/>
          <w:szCs w:val="24"/>
        </w:rPr>
        <w:t xml:space="preserve">This section reviews the eight included studies of stream 3</w:t>
      </w:r>
      <w:r>
        <w:rPr>
          <w:rFonts w:ascii="Cambria" w:cs="Cambria" w:eastAsia="Cambria" w:hAnsi="Cambria"/>
          <w:color w:val="0000CC"/>
          <w:sz w:val="24"/>
          <w:szCs w:val="24"/>
        </w:rPr>
        <w:t xml:space="preserve">, whose main contribution involves the participation of more than one party in a consent or access decision. </w:t>
      </w:r>
      <w:r>
        <w:rPr>
          <w:rFonts w:ascii="Cambria" w:cs="Cambria" w:eastAsia="Cambria" w:hAnsi="Cambria"/>
          <w:color w:val="E6007E"/>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CC"/>
          <w:sz w:val="24"/>
          <w:szCs w:val="24"/>
        </w:rPr>
        <w:t xml:space="preserve"> and the coding panel ratified six distinct mechanism classes of multi-party authorisation. </w:t>
      </w:r>
      <w:r>
        <w:rPr>
          <w:rFonts w:ascii="Cambria" w:cs="Cambria" w:eastAsia="Cambria" w:hAnsi="Cambria"/>
          <w:color w:val="E6007E"/>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CC"/>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E6007E"/>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CC"/>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E6007E"/>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E6007E"/>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This is the only study among the 25 included studies in which</w:t>
      </w:r>
      <w:r>
        <w:rPr>
          <w:rFonts w:ascii="Cambria" w:cs="Cambria" w:eastAsia="Cambria" w:hAnsi="Cambria"/>
          <w:color w:val="0000CC"/>
          <w:sz w:val="24"/>
          <w:szCs w:val="24"/>
        </w:rPr>
        <w:t xml:space="preserve"> multi-party approval and an enforced policy predicate co-occur. </w:t>
      </w:r>
      <w:r>
        <w:rPr>
          <w:rFonts w:ascii="Cambria" w:cs="Cambria" w:eastAsia="Cambria" w:hAnsi="Cambria"/>
          <w:color w:val="E6007E"/>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E6007E"/>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w:t>
      </w:r>
      <w:r>
        <w:rPr>
          <w:rFonts w:ascii="Cambria" w:cs="Cambria" w:eastAsia="Cambria" w:hAnsi="Cambria"/>
          <w:color w:val="E6007E"/>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CC"/>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E6007E"/>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CC"/>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E6007E"/>
          <w:sz w:val="24"/>
          <w:szCs w:val="24"/>
        </w:rPr>
        <w:t xml:space="preserve">This section reviews the four included studies of stream 4</w:t>
      </w:r>
      <w:r>
        <w:rPr>
          <w:rFonts w:ascii="Cambria" w:cs="Cambria" w:eastAsia="Cambria" w:hAnsi="Cambria"/>
          <w:color w:val="0000CC"/>
          <w:sz w:val="24"/>
          <w:szCs w:val="24"/>
        </w:rPr>
        <w:t xml:space="preserve"> against Req 4. </w:t>
      </w:r>
      <w:r>
        <w:rPr>
          <w:rFonts w:ascii="Cambria" w:cs="Cambria" w:eastAsia="Cambria" w:hAnsi="Cambria"/>
          <w:color w:val="E6007E"/>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CC"/>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E6007E"/>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CC"/>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4 was coded and retained outside the corpus.</w:t>
      </w:r>
      <w:r>
        <w:rPr>
          <w:rFonts w:ascii="Cambria" w:cs="Cambria" w:eastAsia="Cambria" w:hAnsi="Cambria"/>
          <w:color w:val="0000CC"/>
          <w:sz w:val="24"/>
          <w:szCs w:val="24"/>
        </w:rPr>
        <w:t xml:space="preserve">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E6007E"/>
          <w:sz w:val="24"/>
          <w:szCs w:val="24"/>
        </w:rPr>
        <w:t xml:space="preserve">This section reviews the four included studies of stream 5</w:t>
      </w:r>
      <w:r>
        <w:rPr>
          <w:rFonts w:ascii="Cambria" w:cs="Cambria" w:eastAsia="Cambria" w:hAnsi="Cambria"/>
          <w:color w:val="0000CC"/>
          <w:sz w:val="24"/>
          <w:szCs w:val="24"/>
        </w:rPr>
        <w:t xml:space="preserve">, namely Eneh et al. [44], Li et al. [51], Panagoulias et al. [57] and Hema et al. [64], and draws on the lifecycle evidence </w:t>
      </w:r>
      <w:r>
        <w:rPr>
          <w:rFonts w:ascii="Cambria" w:cs="Cambria" w:eastAsia="Cambria" w:hAnsi="Cambria"/>
          <w:color w:val="E6007E"/>
          <w:sz w:val="24"/>
          <w:szCs w:val="24"/>
        </w:rPr>
        <w:t xml:space="preserve">recorded for the included studies of the other streams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
Hema et al. [64] take a different approach in a patient-centric cryptographic protection scheme for cloud EHRs.</w:t>
      </w:r>
      <w:r>
        <w:rPr>
          <w:rFonts w:ascii="Cambria" w:cs="Cambria" w:eastAsia="Cambria" w:hAnsi="Cambria"/>
          <w:color w:val="E6007E"/>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CC"/>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E6007E"/>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E6007E"/>
          <w:sz w:val="24"/>
          <w:szCs w:val="24"/>
        </w:rPr>
        <w:t xml:space="preserve">The fourth included study illustrates</w:t>
      </w:r>
      <w:r>
        <w:rPr>
          <w:rFonts w:ascii="Cambria" w:cs="Cambria" w:eastAsia="Cambria" w:hAnsi="Cambria"/>
          <w:color w:val="0000CC"/>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E6007E"/>
          <w:sz w:val="24"/>
          <w:szCs w:val="24"/>
        </w:rPr>
        <w:t xml:space="preserve">Across the 25 included studies, T5 is coded Yes in 8 and T6 in 7. Req 5, which requires enforcement in the decision, is Yes in 8.</w:t>
      </w:r>
      <w:r>
        <w:rPr>
          <w:rFonts w:ascii="Cambria" w:cs="Cambria" w:eastAsia="Cambria" w:hAnsi="Cambria"/>
          <w:color w:val="0000CC"/>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E6007E"/>
          <w:sz w:val="24"/>
          <w:szCs w:val="24"/>
        </w:rPr>
        <w:t xml:space="preserve">among the included studies a post-revocation denial</w:t>
      </w:r>
      <w:r>
        <w:rPr>
          <w:rFonts w:ascii="Cambria" w:cs="Cambria" w:eastAsia="Cambria" w:hAnsi="Cambria"/>
          <w:color w:val="0000CC"/>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E6007E"/>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Table 7 presents a summary of the included stream-5 studies</w:t>
      </w:r>
      <w:r>
        <w:rPr>
          <w:rFonts w:ascii="Cambria" w:cs="Cambria" w:eastAsia="Cambria" w:hAnsi="Cambria"/>
          <w:color w:val="0000CC"/>
          <w:sz w:val="24"/>
          <w:szCs w:val="24"/>
        </w:rPr>
        <w:t xml:space="preserve">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5 was coded and retained outside the corpus.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w:t>
      </w:r>
      <w:r>
        <w:rPr>
          <w:rFonts w:ascii="Cambria" w:cs="Cambria" w:eastAsia="Cambria" w:hAnsi="Cambria"/>
          <w:color w:val="E6007E"/>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CC"/>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E6007E"/>
          <w:sz w:val="24"/>
          <w:szCs w:val="24"/>
        </w:rPr>
        <w:t xml:space="preserve">Stream 6 gathers the four included studies</w:t>
      </w:r>
      <w:r>
        <w:rPr>
          <w:rFonts w:ascii="Cambria" w:cs="Cambria" w:eastAsia="Cambria" w:hAnsi="Cambria"/>
          <w:color w:val="0000CC"/>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E6007E"/>
          <w:sz w:val="24"/>
          <w:szCs w:val="24"/>
        </w:rPr>
        <w:t xml:space="preserve">authorisation is therefore separated from the DID challenge-response authentication.</w:t>
      </w:r>
      <w:r>
        <w:rPr>
          <w:rFonts w:ascii="Cambria" w:cs="Cambria" w:eastAsia="Cambria" w:hAnsi="Cambria"/>
          <w:color w:val="0000CC"/>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E6007E"/>
          <w:sz w:val="24"/>
          <w:szCs w:val="24"/>
        </w:rPr>
        <w:t xml:space="preserve">This is the first complete formal assurance in the corpus. However, what is proven concerns the identity and authority fragment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E6007E"/>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E6007E"/>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E6007E"/>
          <w:sz w:val="24"/>
          <w:szCs w:val="24"/>
        </w:rPr>
        <w:t xml:space="preserve">Table 9 summarises the position of the 25 included studies</w:t>
      </w:r>
      <w:r>
        <w:rPr>
          <w:rFonts w:ascii="Cambria" w:cs="Cambria" w:eastAsia="Cambria" w:hAnsi="Cambria"/>
          <w:color w:val="0000CC"/>
          <w:sz w:val="24"/>
          <w:szCs w:val="24"/>
        </w:rPr>
        <w:t xml:space="preserve"> against the six key requirements and positions the proposed framework relative to the existing literature. </w:t>
      </w:r>
      <w:r>
        <w:rPr>
          <w:rFonts w:ascii="Cambria" w:cs="Cambria" w:eastAsia="Cambria" w:hAnsi="Cambria"/>
          <w:color w:val="E6007E"/>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CC"/>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E6007E"/>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This conjunction is formally specified and validated through allow-and-deny test cases and attack cases, whereas its formal verification is reserved for the next stage.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CC"/>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E6007E"/>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E6007E"/>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w:t>
      </w:r>
      <w:r>
        <w:rPr>
          <w:rFonts w:ascii="Cambria" w:cs="Cambria" w:eastAsia="Cambria" w:hAnsi="Cambria"/>
          <w:color w:val="E6007E"/>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E6007E"/>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E6007E"/>
          <w:sz w:val="24"/>
          <w:szCs w:val="24"/>
        </w:rPr>
        <w:t xml:space="preserve">In the 13 included studies coded as partial, and in the supporting references, the consent is</w:t>
      </w:r>
      <w:r>
        <w:rPr>
          <w:rFonts w:ascii="Cambria" w:cs="Cambria" w:eastAsia="Cambria" w:hAnsi="Cambria"/>
          <w:color w:val="0000CC"/>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w:t>
      </w:r>
      <w:r>
        <w:rPr>
          <w:rFonts w:ascii="Cambria" w:cs="Cambria" w:eastAsia="Cambria" w:hAnsi="Cambria"/>
          <w:color w:val="E6007E"/>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18 included studies coded as partial the identity is</w:t>
      </w:r>
      <w:r>
        <w:rPr>
          <w:rFonts w:ascii="Cambria" w:cs="Cambria" w:eastAsia="Cambria" w:hAnsi="Cambria"/>
          <w:color w:val="0000CC"/>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w:t>
      </w:r>
      <w:r>
        <w:rPr>
          <w:rFonts w:ascii="Cambria" w:cs="Cambria" w:eastAsia="Cambria" w:hAnsi="Cambria"/>
          <w:color w:val="E6007E"/>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CC"/>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E6007E"/>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represents the temporal validity of the request instant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w:t>
      </w:r>
      <w:r>
        <w:rPr>
          <w:rFonts w:ascii="Cambria" w:cs="Cambria" w:eastAsia="Cambria" w:hAnsi="Cambria"/>
          <w:color w:val="E6007E"/>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CC"/>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w:t>
      </w:r>
      <w:r>
        <w:rPr>
          <w:rFonts w:ascii="Cambria" w:cs="Cambria" w:eastAsia="Cambria" w:hAnsi="Cambria"/>
          <w:color w:val="E6007E"/>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CC"/>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w:t>
      </w:r>
      <w:r>
        <w:rPr>
          <w:rFonts w:ascii="Cambria" w:cs="Cambria" w:eastAsia="Cambria" w:hAnsi="Cambria"/>
          <w:color w:val="E6007E"/>
          <w:sz w:val="24"/>
          <w:szCs w:val="24"/>
        </w:rPr>
        <w:t xml:space="preserve">each requirement is satisfied by some of the 25 studies</w:t>
      </w:r>
      <w:r>
        <w:rPr>
          <w:rFonts w:ascii="Cambria" w:cs="Cambria" w:eastAsia="Cambria" w:hAnsi="Cambria"/>
          <w:color w:val="0000CC"/>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25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E6007E"/>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w:t>
      </w:r>
      <w:r>
        <w:rPr>
          <w:rFonts w:ascii="Cambria" w:cs="Cambria" w:eastAsia="Cambria" w:hAnsi="Cambria"/>
          <w:color w:val="E6007E"/>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 prototype. Empirical validation has been partially completed through automated and live negative testing and through an adversarial evaluation of twelve attack scenarios. The formal component of security assurance, together with a full performance and scalability study, therefore forms the principal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1, t</w:t>
      </w:r>
      <w:r>
        <w:rPr>
          <w:rFonts w:ascii="Cambria Math" w:cs="Cambria Math" w:eastAsia="Cambria Math" w:hAnsi="Cambria Math"/>
          <w:i/>
          <w:iCs/>
          <w:color w:val="E6007E"/>
          <w:sz w:val="22"/>
          <w:szCs w:val="22"/>
          <w:vertAlign w:val="subscript"/>
        </w:rPr>
        <w:t xml:space="preserve">s</w:t>
      </w:r>
      <w:r>
        <w:rPr>
          <w:rFonts w:ascii="Cambria Math" w:cs="Cambria Math" w:eastAsia="Cambria Math" w:hAnsi="Cambria Math"/>
          <w:i/>
          <w:iCs/>
          <w:color w:val="E6007E"/>
          <w:sz w:val="22"/>
          <w:szCs w:val="22"/>
        </w:rPr>
        <w:t xml:space="preserve"> ≤ t ≤ t</w:t>
      </w:r>
      <w:r>
        <w:rPr>
          <w:rFonts w:ascii="Cambria Math" w:cs="Cambria Math" w:eastAsia="Cambria Math" w:hAnsi="Cambria Math"/>
          <w:i/>
          <w:iCs/>
          <w:color w:val="E6007E"/>
          <w:sz w:val="22"/>
          <w:szCs w:val="22"/>
          <w:vertAlign w:val="subscript"/>
        </w:rPr>
        <w:t xml:space="preserve">e</w:t>
      </w:r>
      <w:r>
        <w:rPr>
          <w:rFonts w:ascii="Cambria Math" w:cs="Cambria Math" w:eastAsia="Cambria Math" w:hAnsi="Cambria Math"/>
          <w:i/>
          <w:iCs/>
          <w:color w:val="E6007E"/>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The 36 automated tests cover signature rejection, proof tampering and twelve attack scenarios against the components of C and the contract. In addition, preliminary measurements of on-chain cost, confirmation latency and processing time are reported in Section 6.8.13. A live out-of-jurisdiction request against a consent anchored on the deployed Sepolia contract was refused by the application,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E6007E"/>
          <w:sz w:val="24"/>
          <w:szCs w:val="24"/>
        </w:rPr>
        <w:t xml:space="preserve">The current stage delivers RO1–RO5 in operational form together with the scenario-based empirical component of RO6, including negative and unit-level adversarial testing.</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Consequently, the principal remaining agenda for CA3 is the formal component of RO6, namely the formal specification and analysis of the security properties. It also includes a full performance and scalability study, which extends the preliminary measurements of Section 6.8.13, and the removal of the identified prototype limitations (Sections 7.6 and 9.2).</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E6007E"/>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476625"/>
            <wp:effectExtent t="0" r="0" b="0" l="0"/>
            <wp:docPr id="1" name="arch6.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209800"/>
            <wp:effectExtent t="0" r="0" b="0" l="0"/>
            <wp:docPr id="1" name="arch7.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257800"/>
            <wp:effectExtent t="0" r="0" b="0" l="0"/>
            <wp:docPr id="1" name="arch8.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257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191000" cy="6819900"/>
            <wp:effectExtent t="0" r="0" b="0" l="0"/>
            <wp:docPr id="1" name="arch9.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6819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E6007E"/>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CC"/>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denote the healthcare data scope authorised by the consent object and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E6007E"/>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It closes with the measured performance and the adversarial evaluation of the prototype in Section 6.8.13.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E6007E"/>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E6007E"/>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CC"/>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E6007E"/>
          <w:sz w:val="24"/>
          <w:szCs w:val="24"/>
        </w:rPr>
        <w:t xml:space="preserve">The identifier is not supplied by any participant.</w:t>
      </w:r>
      <w:r>
        <w:rPr>
          <w:rFonts w:ascii="Cambria" w:cs="Cambria" w:eastAsia="Cambria" w:hAnsi="Cambria"/>
          <w:color w:val="E6007E"/>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E6007E"/>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E6007E"/>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current prototype implements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At access time the recovery is repeated for every recorded signature within the identity predicate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then counts only the distinct approvals of the members of G against N and checks the token identifier and the revocation flag.</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 </w:t>
      </w:r>
      <w:r>
        <w:rPr>
          <w:rFonts w:ascii="Cambria" w:cs="Cambria" w:eastAsia="Cambria" w:hAnsi="Cambria"/>
          <w:b/>
          <w:bCs/>
          <w:color w:val="E6007E"/>
          <w:sz w:val="21"/>
          <w:szCs w:val="21"/>
        </w:rPr>
        <w:t xml:space="preserve">if</w:t>
      </w:r>
      <w:r>
        <w:rPr>
          <w:rFonts w:ascii="Cambria" w:cs="Cambria" w:eastAsia="Cambria" w:hAnsi="Cambria"/>
          <w:color w:val="E6007E"/>
          <w:sz w:val="21"/>
          <w:szCs w:val="21"/>
        </w:rPr>
        <w:t xml:space="preserve"> the verification fails </w:t>
      </w:r>
      <w:r>
        <w:rPr>
          <w:rFonts w:ascii="Cambria" w:cs="Cambria" w:eastAsia="Cambria" w:hAnsi="Cambria"/>
          <w:b/>
          <w:bCs/>
          <w:color w:val="E6007E"/>
          <w:sz w:val="21"/>
          <w:szCs w:val="21"/>
        </w:rPr>
        <w:t xml:space="preserve">then</w:t>
      </w:r>
      <w:r>
        <w:rPr>
          <w:rFonts w:ascii="Cambria" w:cs="Cambria" w:eastAsia="Cambria" w:hAnsi="Cambria"/>
          <w:color w:val="E6007E"/>
          <w:sz w:val="21"/>
          <w:szCs w:val="21"/>
        </w:rPr>
        <w:t xml:space="preserve"> record the invalid approval and </w:t>
      </w:r>
      <w:r>
        <w:rPr>
          <w:rFonts w:ascii="Cambria" w:cs="Cambria" w:eastAsia="Cambria" w:hAnsi="Cambria"/>
          <w:b/>
          <w:bCs/>
          <w:color w:val="E6007E"/>
          <w:sz w:val="21"/>
          <w:szCs w:val="21"/>
        </w:rPr>
        <w:t xml:space="preserve">return</w:t>
      </w:r>
      <w:r>
        <w:rPr>
          <w:rFonts w:ascii="Cambria" w:cs="Cambria" w:eastAsia="Cambria" w:hAnsi="Cambria"/>
          <w:color w:val="E6007E"/>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E6007E"/>
          <w:sz w:val="21"/>
          <w:szCs w:val="21"/>
        </w:rPr>
        <w:t xml:space="preserve">record a local token identifier; state ← ACTIVE once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E6007E"/>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E6007E"/>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CC"/>
          <w:sz w:val="24"/>
          <w:szCs w:val="24"/>
        </w:rPr>
        <w:t xml:space="preserve">In the prototype the matrix column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records the purpose check VU only. The scope condition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CC"/>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E6007E"/>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CC"/>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(37) evaluates identity, collective authorisation and policy compliance.</w:t>
      </w:r>
      <w:r>
        <w:rPr>
          <w:rFonts w:ascii="Cambria" w:cs="Cambria" w:eastAsia="Cambria" w:hAnsi="Cambria"/>
          <w:color w:val="E6007E"/>
          <w:sz w:val="24"/>
          <w:szCs w:val="24"/>
        </w:rPr>
        <w:t xml:space="preserv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E6007E"/>
          <w:sz w:val="24"/>
          <w:szCs w:val="24"/>
        </w:rPr>
        <w:t xml:space="preserve">where Jur(·) denotes the jurisdiction attribute, recorded on-chain as a two-letter ISO code. Lifecycle state and revocation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rather than within this predicate. In the decision rules that follow,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is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E6007E"/>
          <w:sz w:val="24"/>
          <w:szCs w:val="24"/>
        </w:rPr>
        <w:t xml:space="preserve">In particular, the Consent Engine evaluates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access decision evaluates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The implementation evaluates this predicate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distinct from the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E6007E"/>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E6007E"/>
          <w:sz w:val="24"/>
          <w:szCs w:val="24"/>
        </w:rPr>
        <w:t xml:space="preserve">Algorithm 5 is implemented in the current prototype, with the exception of the transition check of lines 16 to 20. The lifecycle state is derived at each evaluation from the distinct approvals of the members of G, the token identifier, the revocation flag and the current time relative to the validity interval.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E6007E"/>
          <w:sz w:val="24"/>
          <w:szCs w:val="24"/>
        </w:rPr>
        <w:t xml:space="preserve">The scenario-based empirical half of this objective has been carried out on the demonstrated prototype. Formal proofs and model checking of the authorisation properties, together with a full performance and scalability study, remain future work.</w:t>
      </w:r>
      <w:r>
        <w:rPr>
          <w:rFonts w:ascii="Cambria" w:cs="Cambria" w:eastAsia="Cambria" w:hAnsi="Cambria"/>
          <w:color w:val="E6007E"/>
          <w:sz w:val="24"/>
          <w:szCs w:val="24"/>
        </w:rPr>
        <w:t xml:space="preserve">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suite of 36 automated tests. Its 23 functional and regression tests exercise per-dimension failures of the decision matrix, invalid EIP-712 guardian signatures, and tampered or expired proofs. Its 13 adversarial tests cover a baseline and twelve attack scenarios. The second part is the live demonstration on Sepolia, which includes the jurisdiction-based denial and the revocation followed by refusal. The third part is the independent re-verification of every recorded transaction against the chain. In addition, Section 6.8.13 reports preliminary measurements of the on-chain cost, the confirmation latency and the processing time of the decision components.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E6007E"/>
          <w:sz w:val="24"/>
          <w:szCs w:val="24"/>
        </w:rPr>
        <w:t xml:space="preserve">In particular, 36 automated tests cover per-dimension failures of the decision matrix, rejection of invalid EIP-712 signatures, and zero-knowledge tamper and expiry cases. Twelve of these tests are attack scenarios against the components of C and the contract, as reported in Section 6.8.13.</w:t>
      </w:r>
      <w:r>
        <w:rPr>
          <w:rFonts w:ascii="Cambria" w:cs="Cambria" w:eastAsia="Cambria" w:hAnsi="Cambria"/>
          <w:color w:val="E6007E"/>
          <w:sz w:val="24"/>
          <w:szCs w:val="24"/>
        </w:rPr>
        <w:t xml:space="preserve">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E6007E"/>
          <w:sz w:val="24"/>
          <w:szCs w:val="24"/>
        </w:rPr>
        <w:t xml:space="preserve">This structure reflects the staged research design. The current stage establishes the foundational authorisation mechanisms together with their dynamic validity, their scenario-based validation and a preliminary adversarial and performance evaluation. CA3 completes their formal security assurance and a full performance and scalability study.</w:t>
      </w:r>
    </w:p>
    <w:p>
      <w:pPr>
        <w:spacing w:after="140" w:line="300"/>
        <w:jc w:val="both"/>
      </w:pPr>
      <w:r>
        <w:rPr>
          <w:rFonts w:ascii="Cambria" w:cs="Cambria" w:eastAsia="Cambria" w:hAnsi="Cambria"/>
          <w:color w:val="E6007E"/>
          <w:sz w:val="24"/>
          <w:szCs w:val="24"/>
        </w:rPr>
        <w:t xml:space="preserve">The overall trust-oriented authorisation process can therefore be summarised as Trustworthy Access with</w:t>
      </w:r>
      <w:r>
        <w:rPr>
          <w:rFonts w:ascii="Cambria" w:cs="Cambria" w:eastAsia="Cambria" w:hAnsi="Cambria"/>
          <w:sz w:val="24"/>
          <w:szCs w:val="24"/>
        </w:rPr>
        <w:t xml:space="preserve">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CC"/>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w:t>
      </w:r>
      <w:r>
        <w:rPr>
          <w:rFonts w:ascii="Cambria" w:cs="Cambria" w:eastAsia="Cambria" w:hAnsi="Cambria"/>
          <w:color w:val="E6007E"/>
          <w:sz w:val="24"/>
          <w:szCs w:val="24"/>
        </w:rPr>
        <w:t xml:space="preserve">The empirical branch of Algorithm 6 has been executed against the prototype, including an adversarial scenario set S</w:t>
      </w:r>
      <w:r>
        <w:rPr>
          <w:rFonts w:ascii="Cambria" w:cs="Cambria" w:eastAsia="Cambria" w:hAnsi="Cambria"/>
          <w:color w:val="E6007E"/>
          <w:sz w:val="24"/>
          <w:szCs w:val="24"/>
          <w:vertAlign w:val="subscript"/>
        </w:rPr>
        <w:t xml:space="preserve">adv</w:t>
      </w:r>
      <w:r>
        <w:rPr>
          <w:rFonts w:ascii="Cambria" w:cs="Cambria" w:eastAsia="Cambria" w:hAnsi="Cambria"/>
          <w:color w:val="E6007E"/>
          <w:sz w:val="24"/>
          <w:szCs w:val="24"/>
        </w:rPr>
        <w:t xml:space="preserve"> of twelve attack scenarios (Section 6.8.13).</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Consequently, the formal-assurance branch remains for the next stage. The full performance and scalability study, the transition check of Algorithm 5, cryptographic VC validation, configurable k-of-n thresholds and authenticated requesters also remain for that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E6007E"/>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E6007E"/>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E6007E"/>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E6007E"/>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E6007E"/>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w:t>
      </w:r>
      <w:r>
        <w:rPr>
          <w:rFonts w:ascii="Cambria" w:cs="Cambria" w:eastAsia="Cambria" w:hAnsi="Cambria"/>
          <w:color w:val="E6007E"/>
          <w:sz w:val="24"/>
          <w:szCs w:val="24"/>
        </w:rPr>
        <w:t xml:space="preserve">and the jurisdiction L are evaluated from the application record at every access decision and are also stored on-chain by the deployed ConsentSBTv3 contract.</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E6007E"/>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E6007E"/>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E6007E"/>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E6007E"/>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E6007E"/>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E6007E"/>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E6007E"/>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E6007E"/>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E6007E"/>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E6007E"/>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E6007E"/>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715000" cy="2905125"/>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9051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E6007E"/>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E6007E"/>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E6007E"/>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4953000" cy="6181725"/>
            <wp:effectExtent t="0" r="0" b="0" l="0"/>
            <wp:docPr id="1" name="n_lifecycle.png" descr="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titl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w:t>
      </w:r>
    </w:p>
    <w:p>
      <w:pPr>
        <w:spacing w:after="140" w:line="300"/>
        <w:jc w:val="both"/>
      </w:pPr>
      <w:r>
        <w:rPr>
          <w:rFonts w:ascii="Cambria" w:cs="Cambria" w:eastAsia="Cambria" w:hAnsi="Cambria"/>
          <w:color w:val="E6007E"/>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067050"/>
            <wp:effectExtent t="0" r="0" b="0" l="0"/>
            <wp:docPr id="1" name="M7.png" descr="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titl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w:t>
      </w:r>
    </w:p>
    <w:p>
      <w:pPr>
        <w:spacing w:after="140" w:line="300"/>
        <w:jc w:val="both"/>
      </w:pP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CC"/>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forms part of the empirical component of the security-assurance objective RO6 of Section 6.6. Representative valid and invalid scenarios have been executed against the running prototype, and the recorded evidence is consistent with the public chain. The attack scenarios of Section 6.8.13 were executed separately as unit-level tests.</w:t>
      </w:r>
      <w:r>
        <w:rPr>
          <w:rFonts w:ascii="Cambria" w:cs="Cambria" w:eastAsia="Cambria" w:hAnsi="Cambria"/>
          <w:color w:val="E6007E"/>
          <w:sz w:val="24"/>
          <w:szCs w:val="24"/>
        </w:rPr>
        <w:t xml:space="preserve">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E6007E"/>
          <w:sz w:val="24"/>
          <w:szCs w:val="24"/>
        </w:rPr>
        <w:t xml:space="preserve">This corresponds to the proposed requirement for traceability and accountability. Non-repudiation of the guardian approvals is not yet provided, because each guardian signing key is derived from the public guardian DID (Section 6.8.13).</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E6007E"/>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It should be noted that this verification covers only the events that carry a transaction hash. The remaining events, including every access decision, are protected only by a per-event digest, whose limits are set out in Section 6.8.13.</w:t>
      </w:r>
    </w:p>
    <w:p>
      <w:pPr>
        <w:keepNext/>
        <w:spacing w:after="60" w:before="140"/>
        <w:jc w:val="center"/>
      </w:pPr>
      <w:r>
        <w:drawing>
          <wp:inline distT="0" distB="0" distL="0" distR="0">
            <wp:extent cx="5715000" cy="3295650"/>
            <wp:effectExtent t="0" r="0" b="0" l="0"/>
            <wp:docPr id="1" name="M8_clean.png" descr="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titl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295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w:t>
      </w:r>
    </w:p>
    <w:p>
      <w:pPr>
        <w:spacing w:after="140" w:line="300"/>
        <w:jc w:val="both"/>
      </w:pPr>
      <w:r>
        <w:rPr>
          <w:rFonts w:ascii="Cambria" w:cs="Cambria" w:eastAsia="Cambria" w:hAnsi="Cambria"/>
          <w:color w:val="E6007E"/>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E6007E"/>
          <w:sz w:val="24"/>
          <w:szCs w:val="24"/>
        </w:rPr>
        <w:t xml:space="preserve">In addition to the live demonstration, the same decision logic is exercised by a suite of 36 automated tests. The 23 functional and regression tests passed at the demonstration of 24 September 2026. They cover per-dimension failures of the decision matrix, rejection of invalid EIP-712 guardian signatures and tampered or expired zero-knowledge proofs. The 13 adversarial tests were added on 1 October 2026 and comprise a baseline and twelve attack scenarios, which are reported in Section 6.8.13.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Confirms the anchored part of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w:t>
      </w:r>
      <w:r>
        <w:rPr>
          <w:rFonts w:ascii="Cambria" w:cs="Cambria" w:eastAsia="Cambria" w:hAnsi="Cambria"/>
          <w:color w:val="E6007E"/>
          <w:sz w:val="24"/>
          <w:szCs w:val="24"/>
        </w:rPr>
        <w:t xml:space="preserve">The designated guardians then independently provide the required EIP-712 approvals.</w:t>
      </w:r>
      <w:r>
        <w:rPr>
          <w:rFonts w:ascii="Cambria" w:cs="Cambria" w:eastAsia="Cambria" w:hAnsi="Cambria"/>
          <w:color w:val="000000"/>
          <w:sz w:val="24"/>
          <w:szCs w:val="24"/>
        </w:rPr>
        <w:t xml:space="preserve">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E6007E"/>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w:t>
      </w:r>
      <w:r>
        <w:rPr>
          <w:rFonts w:ascii="Cambria" w:cs="Cambria" w:eastAsia="Cambria" w:hAnsi="Cambria"/>
          <w:color w:val="E6007E"/>
          <w:sz w:val="24"/>
          <w:szCs w:val="24"/>
        </w:rPr>
        <w:t xml:space="preserve">EMR authorised medical-record access, Revoke_chain on-chain revocation, Audit lifecycle recording in the application ledger, and Verify independent verification of the anchored transactions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E6007E"/>
          <w:sz w:val="24"/>
          <w:szCs w:val="24"/>
        </w:rPr>
        <w:t xml:space="preserve">In addition, the demonstration described in this subsection provides functional evidence only. The gas cost and confirmation latency of the anchored transactions and the processing time of the decision components are measured separately in Section 6.8.13. Throughput and scalability under load have not been measured, and a full performance and scalability study is reserved for the next stage, as set out in Section 9.2.</w:t>
      </w:r>
    </w:p>
    <w:p>
      <w:pPr>
        <w:spacing w:after="140" w:line="300"/>
        <w:jc w:val="both"/>
      </w:pPr>
      <w:r>
        <w:rPr>
          <w:rFonts w:ascii="Cambria" w:cs="Cambria" w:eastAsia="Cambria" w:hAnsi="Cambria"/>
          <w:color w:val="E6007E"/>
          <w:sz w:val="24"/>
          <w:szCs w:val="24"/>
        </w:rPr>
        <w:t xml:space="preserve">It should be noted that the identity predicate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prototype combines identifier- and credential-format validation with the EIP-712 signature check of each listed guardian. Cryptographic resolution of DIDs against a registry and authentication of the requester are also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left"/>
      </w:pPr>
      <w:r>
        <w:rPr>
          <w:rFonts w:ascii="Cambria" w:cs="Cambria" w:eastAsia="Cambria" w:hAnsi="Cambria"/>
          <w:color w:val="000000"/>
          <w:sz w:val="24"/>
          <w:szCs w:val="24"/>
        </w:rPr>
        <w:t xml:space="preserve">Contract: https://sepolia.etherscan.io/address/0x0EC3617581DEC63A7f2bb162DC14d088916ADc73</w:t>
      </w:r>
    </w:p>
    <w:p>
      <w:pPr>
        <w:spacing w:after="140" w:line="300"/>
        <w:jc w:val="left"/>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left"/>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left"/>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left"/>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E6007E"/>
          <w:sz w:val="24"/>
          <w:szCs w:val="24"/>
        </w:rPr>
        <w:t xml:space="preserve">; adversarial test record: </w:t>
      </w:r>
      <w:r>
        <w:rPr>
          <w:rFonts w:ascii="Consolas" w:cs="Consolas" w:eastAsia="Consolas" w:hAnsi="Consolas"/>
          <w:color w:val="E6007E"/>
          <w:sz w:val="20"/>
          <w:szCs w:val="20"/>
        </w:rPr>
        <w:t xml:space="preserve">evidence/adversarial_2026-10-01/</w:t>
      </w:r>
      <w:r>
        <w:rPr>
          <w:rFonts w:ascii="Cambria" w:cs="Cambria" w:eastAsia="Cambria" w:hAnsi="Cambria"/>
          <w:color w:val="E6007E"/>
          <w:sz w:val="24"/>
          <w:szCs w:val="24"/>
        </w:rPr>
        <w:t xml:space="preserve">. All three are preserved in the project evidence records.</w:t>
      </w:r>
    </w:p>
    <w:p>
      <w:pPr>
        <w:pStyle w:val="Heading3"/>
        <w:spacing w:after="160" w:before="280"/>
      </w:pPr>
      <w:r>
        <w:rPr>
          <w:color w:val="0000CC"/>
        </w:rPr>
        <w:t xml:space="preserve">6.8.13  Preliminary Measurements and Unit-Level Adversarial Tests</w:t>
      </w:r>
    </w:p>
    <w:p>
      <w:pPr>
        <w:spacing w:after="140" w:line="300"/>
        <w:jc w:val="both"/>
      </w:pPr>
      <w:r>
        <w:rPr>
          <w:rFonts w:ascii="Cambria" w:cs="Cambria" w:eastAsia="Cambria" w:hAnsi="Cambria"/>
          <w:color w:val="0000CC"/>
          <w:sz w:val="24"/>
          <w:szCs w:val="24"/>
        </w:rPr>
        <w:t xml:space="preserve">Sections 6.8.1 to 6.8.12 demonstrate the implemented workflow. In this workflow, the access decisions are taken by the application, and the activation and revocation of each consent are anchored on the public Sepolia test network. This subsection adds two forms of preliminary evidence that those sections do not provide. The first is the measured cost and time of the decision components and of the on-chain anchoring. The second is a set of twelve unit-level adversarial tests of the decision functions, the proof verifier, the digest function of the audit ledger and the contract. In Chapter 2, the empirical component of Req 6 was graded on whether a study reports evidence such as allow-and-deny test cases and attack cases. Therefore, the same standard is applied here to HALAH. The data are taken from four sources. The first two are the exported 60-event audit ledger and the receipts of the five anchored Sepolia transactions. The third is a series of repeated runs on 1 October 2026 in the cloud development container used for the demonstration. The fourth is the output of the adversarial tests, recorded before and after a hardening of the service layer on the same day.</w:t>
      </w:r>
    </w:p>
    <w:p>
      <w:pPr>
        <w:spacing w:after="140" w:line="300"/>
        <w:jc w:val="both"/>
      </w:pPr>
      <w:r>
        <w:rPr>
          <w:rFonts w:ascii="Cambria" w:cs="Cambria" w:eastAsia="Cambria" w:hAnsi="Cambria"/>
          <w:color w:val="0000CC"/>
          <w:sz w:val="24"/>
          <w:szCs w:val="24"/>
        </w:rPr>
        <w:t xml:space="preserve">Table 15 presents the on-chain cost and the confirmation latency of the five anchored transactions. Two of them belong to the earlier trial consent 011bbb21, which was minted as token #8 on the previous contract deployment and later revoked. The other three belong to the current ConsentSBTv3 deployment. They are the mint and the revocation of token #1 for the evaluated consent f050c29a and the mint of token #2 for the photographed lifecycle 04da25f5. Gas used, gas price and fee are read from the transaction receipts. The submit-to-confirmation time is the interval between the ledger timestamp of the MINT_SBT or REVOKE_CONSENT event and that of the corresponding ONCHAIN_MINT or ONCHAIN_REVOKE event. Because both events are logged by the application, this interval includes the signing and submission of the transaction as well as the wait for its receipt.</w:t>
      </w:r>
    </w:p>
    <w:p>
      <w:pPr>
        <w:keepNext/>
        <w:spacing w:after="80" w:before="160"/>
        <w:jc w:val="center"/>
      </w:pPr>
      <w:r>
        <w:rPr>
          <w:rFonts w:ascii="Cambria" w:cs="Cambria" w:eastAsia="Cambria" w:hAnsi="Cambria"/>
          <w:b/>
          <w:bCs/>
          <w:color w:val="0000CC"/>
          <w:sz w:val="21"/>
          <w:szCs w:val="21"/>
        </w:rPr>
        <w:t xml:space="preserve">Table 15: </w:t>
      </w:r>
      <w:r>
        <w:rPr>
          <w:rFonts w:ascii="Cambria" w:cs="Cambria" w:eastAsia="Cambria" w:hAnsi="Cambria"/>
          <w:color w:val="0000CC"/>
          <w:sz w:val="21"/>
          <w:szCs w:val="21"/>
        </w:rPr>
        <w:t xml:space="preserve">On-chain cost and submit-to-confirmation latency of the five anchored Sepolia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200"/>
        <w:gridCol w:w="1060"/>
        <w:gridCol w:w="1060"/>
        <w:gridCol w:w="1200"/>
        <w:gridCol w:w="1740"/>
      </w:tblGrid>
      <w:tr>
        <w:trPr>
          <w:cantSplit/>
          <w:tblHeader/>
        </w:trPr>
        <w:tc>
          <w:tcPr>
            <w:tcW w:type="dxa" w:w="1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Transaction</w:t>
            </w:r>
          </w:p>
        </w:tc>
        <w:tc>
          <w:tcPr>
            <w:tcW w:type="dxa" w:w="14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Consent and token</w:t>
            </w:r>
          </w:p>
        </w:tc>
        <w:tc>
          <w:tcPr>
            <w:tcW w:type="dxa" w:w="12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Block</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Gas used</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Gas price (gwei)</w:t>
            </w:r>
          </w:p>
        </w:tc>
        <w:tc>
          <w:tcPr>
            <w:tcW w:type="dxa" w:w="12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Fee (ETH)</w:t>
            </w:r>
          </w:p>
        </w:tc>
        <w:tc>
          <w:tcPr>
            <w:tcW w:type="dxa" w:w="17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Submit-to-confirmation (s)</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Mint, previous deployment</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011bbb21, token #8</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11,757,272</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156,589</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1.07</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0.000167</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11.5</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Revoke, previous deployment</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011bbb21, token #8</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11,757,344</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46,226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1.10</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0.000051</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13.5</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Mint, ConsentSBTv3</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f050c29a, token #1</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11,771,243</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196,406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1.06</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0.000209</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4.9</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Revoke, ConsentSBTv3</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f050c29a, token #1</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11,771,307</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32,980</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1.04</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0.000034</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10.4</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Mint, ConsentSBTv3</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04da25f5, token #2</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11,771,581</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179,306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1.05</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0.000189</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22.1</w:t>
            </w:r>
          </w:p>
        </w:tc>
      </w:tr>
    </w:tbl>
    <w:p>
      <w:pPr>
        <w:spacing w:after="180"/>
      </w:pPr>
    </w:p>
    <w:p>
      <w:pPr>
        <w:spacing w:after="140" w:line="300"/>
        <w:jc w:val="both"/>
      </w:pPr>
      <w:r>
        <w:rPr>
          <w:rFonts w:ascii="Cambria" w:cs="Cambria" w:eastAsia="Cambria" w:hAnsi="Cambria"/>
          <w:color w:val="0000CC"/>
          <w:sz w:val="24"/>
          <w:szCs w:val="24"/>
        </w:rPr>
        <w:t xml:space="preserve">Figure 41 compares the gas used by the five transactions. The mint transactions are shown in blue and the revoke transactions in orange, and each bar is labelled with its gas and its fee in ETH.</w:t>
      </w:r>
    </w:p>
    <w:p>
      <w:pPr>
        <w:keepNext/>
        <w:spacing w:after="60" w:before="140"/>
        <w:jc w:val="center"/>
      </w:pPr>
      <w:r>
        <w:drawing>
          <wp:inline distT="0" distB="0" distL="0" distR="0">
            <wp:extent cx="5715000" cy="3181350"/>
            <wp:effectExtent t="0" r="0" b="0" l="0"/>
            <wp:docPr id="1" name="eval_f41.png" descr="Figure 41: Gas used by the five anchored Sepolia transactions: mint transactions in blue and revoke transactions in orange, each labelled with its gas and its fee in ETH." title="Figure 41: Gas used by the five anchored Sepolia transactions: mint transactions in blue and revoke transactions in orange, each labelled with its gas and its fee in 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41: Gas used by the five anchored Sepolia transactions: mint transactions in blue and revoke transactions in orange, each labelled with its gas and its fee in ETH.</w:t>
      </w:r>
    </w:p>
    <w:p>
      <w:pPr>
        <w:spacing w:after="140" w:line="300"/>
        <w:jc w:val="both"/>
      </w:pPr>
      <w:r>
        <w:rPr>
          <w:rFonts w:ascii="Cambria" w:cs="Cambria" w:eastAsia="Cambria" w:hAnsi="Cambria"/>
          <w:color w:val="0000CC"/>
          <w:sz w:val="24"/>
          <w:szCs w:val="24"/>
        </w:rPr>
        <w:t xml:space="preserve">As shown in Figure 41, a mint costs considerably more gas than a revocation. On the current contract, the mint of token #1 used 196,406 gas, whereas its revocation used 32,980 gas, which is about one sixth of the mint. This is because a mint creates a token and writes a complete consent record, while a revocation changes only a single flag of an existing record. The two mints on the current contract also used more gas than the mint of 156,589 gas on the previous deployment. The gas of a mint depends mainly on whether a storage slot is written for the first time. The difference of 17,100 gas between the two mints on the current contract is consistent with the token counter being written from zero at the first mint only. In the same way, the holder of token #8 already held earlier tokens on the previous deployment, so its token balance was not written from zero. In contrast, both holders on the current contract received their first token there. In addition, the current contract emits two events at each mint that the previous deployment did not emit. The notBefore time, the jurisdiction and the burn authorisation share one storage slot with the expiry, so they add little gas.</w:t>
      </w:r>
    </w:p>
    <w:p>
      <w:pPr>
        <w:spacing w:after="140" w:line="300"/>
        <w:jc w:val="both"/>
      </w:pPr>
      <w:r>
        <w:rPr>
          <w:rFonts w:ascii="Cambria" w:cs="Cambria" w:eastAsia="Cambria" w:hAnsi="Cambria"/>
          <w:color w:val="0000CC"/>
          <w:sz w:val="24"/>
          <w:szCs w:val="24"/>
        </w:rPr>
        <w:t xml:space="preserve">The gas price remained between 1.04 and 1.10 gwei, so no fee exceeded 0.00021 ETH. However, Sepolia ether has no monetary value. Therefore, the portable measure of cost is the gas used and not the fee. The fee on another network is the same gas multiplied by the gas price of that network.</w:t>
      </w:r>
    </w:p>
    <w:p>
      <w:pPr>
        <w:spacing w:after="140" w:line="300"/>
        <w:jc w:val="both"/>
      </w:pPr>
      <w:r>
        <w:rPr>
          <w:rFonts w:ascii="Cambria" w:cs="Cambria" w:eastAsia="Cambria" w:hAnsi="Cambria"/>
          <w:color w:val="0000CC"/>
          <w:sz w:val="24"/>
          <w:szCs w:val="24"/>
        </w:rPr>
        <w:t xml:space="preserve">Confirmation took between 4.9 s and 22.1 s. The guardian subsystem does not wait for the mint confirmation, because the mint is submitted by a background job, as described in Section 6.8.3. Consequently, the confirmation time determines when the consent becomes verifiable on the public chain, but it does not delay the guardians or the doctor. The consent becomes ACTIVE in the local store as soon as the local token is assigned, and the access decision does not consult the chain. The revocation is different, because the patient subsystem waits for the block confirmation before it reports the final state, as shown in Figure 33. For the revocation of token #1, this wait was 10.4 s.</w:t>
      </w:r>
    </w:p>
    <w:p>
      <w:pPr>
        <w:spacing w:after="140" w:line="300"/>
        <w:jc w:val="both"/>
      </w:pPr>
      <w:r>
        <w:rPr>
          <w:rFonts w:ascii="Cambria" w:cs="Cambria" w:eastAsia="Cambria" w:hAnsi="Cambria"/>
          <w:color w:val="0000CC"/>
          <w:sz w:val="24"/>
          <w:szCs w:val="24"/>
        </w:rPr>
        <w:t xml:space="preserve">Table 16 presents the access decisions recorded in the audit ledger. The ledger holds 18 STATE_CHECK events and nine DATA_ACCESS events. Six of the STATE_CHECK events carry the complete decision matrix, and all six were recorded on 24 September 2026 for consents f050c29a and 04da25f5. Each of them is listed with the DATA_ACCESS event that followed it and with the proof mode recorded for that access. The remaining 12 STATE_CHECK events record only the consent state. The three DATA_ACCESS events of 22 September 2026 predate the logging of the matrix and of the proof mode, so they are summarised in a single row. In the table, n/l denotes a value that was not logged. The ledger rows are numbered by the index column of the exported ledger, which starts at 0.</w:t>
      </w:r>
    </w:p>
    <w:p>
      <w:pPr>
        <w:keepNext/>
        <w:spacing w:after="80" w:before="160"/>
        <w:jc w:val="center"/>
      </w:pPr>
      <w:r>
        <w:rPr>
          <w:rFonts w:ascii="Cambria" w:cs="Cambria" w:eastAsia="Cambria" w:hAnsi="Cambria"/>
          <w:b/>
          <w:bCs/>
          <w:color w:val="0000CC"/>
          <w:sz w:val="21"/>
          <w:szCs w:val="21"/>
        </w:rPr>
        <w:t xml:space="preserve">Table 16: </w:t>
      </w:r>
      <w:r>
        <w:rPr>
          <w:rFonts w:ascii="Cambria" w:cs="Cambria" w:eastAsia="Cambria" w:hAnsi="Cambria"/>
          <w:color w:val="0000CC"/>
          <w:sz w:val="21"/>
          <w:szCs w:val="21"/>
        </w:rPr>
        <w:t xml:space="preserve">Access decisions recorded in the audit ledger, with the decision matrix of each logged evaluation and the access result that followed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1060"/>
        <w:gridCol w:w="700"/>
        <w:gridCol w:w="700"/>
        <w:gridCol w:w="700"/>
        <w:gridCol w:w="700"/>
        <w:gridCol w:w="700"/>
        <w:gridCol w:w="1000"/>
        <w:gridCol w:w="1100"/>
        <w:gridCol w:w="1000"/>
      </w:tblGrid>
      <w:tr>
        <w:trPr>
          <w:cantSplit/>
          <w:tblHeader/>
        </w:trPr>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Rows</w:t>
            </w:r>
          </w:p>
        </w:tc>
        <w:tc>
          <w:tcPr>
            <w:tcW w:type="dxa" w:w="10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Date and time</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Consent</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V</w:t>
            </w:r>
            <w:r>
              <w:rPr>
                <w:rFonts w:ascii="Cambria" w:cs="Cambria" w:eastAsia="Cambria" w:hAnsi="Cambria"/>
                <w:b/>
                <w:bCs/>
                <w:color w:val="0000CC"/>
                <w:sz w:val="17"/>
                <w:szCs w:val="17"/>
                <w:vertAlign w:val="subscript"/>
              </w:rPr>
              <w:t xml:space="preserve">I</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V</w:t>
            </w:r>
            <w:r>
              <w:rPr>
                <w:rFonts w:ascii="Cambria" w:cs="Cambria" w:eastAsia="Cambria" w:hAnsi="Cambria"/>
                <w:b/>
                <w:bCs/>
                <w:color w:val="0000CC"/>
                <w:sz w:val="17"/>
                <w:szCs w:val="17"/>
                <w:vertAlign w:val="subscript"/>
              </w:rPr>
              <w:t xml:space="preserve">A</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V</w:t>
            </w:r>
            <w:r>
              <w:rPr>
                <w:rFonts w:ascii="Cambria" w:cs="Cambria" w:eastAsia="Cambria" w:hAnsi="Cambria"/>
                <w:b/>
                <w:bCs/>
                <w:color w:val="0000CC"/>
                <w:sz w:val="17"/>
                <w:szCs w:val="17"/>
                <w:vertAlign w:val="subscript"/>
              </w:rPr>
              <w:t xml:space="preserve">P</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V</w:t>
            </w:r>
            <w:r>
              <w:rPr>
                <w:rFonts w:ascii="Cambria" w:cs="Cambria" w:eastAsia="Cambria" w:hAnsi="Cambria"/>
                <w:b/>
                <w:bCs/>
                <w:color w:val="0000CC"/>
                <w:sz w:val="17"/>
                <w:szCs w:val="17"/>
                <w:vertAlign w:val="subscript"/>
              </w:rPr>
              <w:t xml:space="preserve">T</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V</w:t>
            </w:r>
            <w:r>
              <w:rPr>
                <w:rFonts w:ascii="Cambria" w:cs="Cambria" w:eastAsia="Cambria" w:hAnsi="Cambria"/>
                <w:b/>
                <w:bCs/>
                <w:color w:val="0000CC"/>
                <w:sz w:val="17"/>
                <w:szCs w:val="17"/>
                <w:vertAlign w:val="subscript"/>
              </w:rPr>
              <w:t xml:space="preserve">L</w:t>
            </w:r>
          </w:p>
        </w:tc>
        <w:tc>
          <w:tcPr>
            <w:tcW w:type="dxa" w:w="10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Decision</w:t>
            </w:r>
          </w:p>
        </w:tc>
        <w:tc>
          <w:tcPr>
            <w:tcW w:type="dxa" w:w="11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Access result</w:t>
            </w:r>
          </w:p>
        </w:tc>
        <w:tc>
          <w:tcPr>
            <w:tcW w:type="dxa" w:w="10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Proof mode</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41, 42</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24 Sep 09:51:36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f050c29a</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43, 44</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24 Sep 09:51:39</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f050c29a</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45, 46</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24 Sep 10:02:50</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f050c29a</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FAIL</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DENY</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DENIED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54, 55</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24 Sep 11:02:52</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04da25f5</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56, 57</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24 Sep 11:04:16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04da25f5</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58, 59</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24 Sep 11:04:26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04da25f5</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8, 21, 32</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22 Sep 10:07 to 10:21</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f5a8ad89, cd9a24bd, 011bbb21</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GRANTED (3)</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n/l</w:t>
            </w:r>
          </w:p>
        </w:tc>
      </w:tr>
    </w:tbl>
    <w:p>
      <w:pPr>
        <w:spacing w:after="180"/>
      </w:pPr>
    </w:p>
    <w:p>
      <w:pPr>
        <w:spacing w:after="140" w:line="300"/>
        <w:jc w:val="both"/>
      </w:pPr>
      <w:r>
        <w:rPr>
          <w:rFonts w:ascii="Cambria" w:cs="Cambria" w:eastAsia="Cambria" w:hAnsi="Cambria"/>
          <w:color w:val="0000CC"/>
          <w:sz w:val="24"/>
          <w:szCs w:val="24"/>
        </w:rPr>
        <w:t xml:space="preserve">As shown in Table 16, each of the five logged ALLOW decisions was followed by a GRANTED access, and all five accesses record the proof mode groth16. The single logged DENY is the jurisdiction demonstration of Section 6.8.5, in which the requester declared the jurisdiction SA for a consent issued for AU. In this evaluation,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failed while the other four predicates passed, and the access that followed was DENIED. The ledger row of this refusal records the proof check as passed and the scope as valid. Therefore, the refusal was produced by the decision matrix alone, and each of the six logged matrices agrees with the access result that followed it. The three earlier grants of 22 September record the proof check as passed, the scope as valid and the state as ACTIVE, but neither the matrix nor the proof mode. For this reason, the ledger does not show whether these three grants used a Groth16 proof or the SHA-256 integrity digest that replaces the proof when the zero-knowledge build is unavailable.</w:t>
      </w:r>
    </w:p>
    <w:p>
      <w:pPr>
        <w:spacing w:after="140" w:line="300"/>
        <w:jc w:val="both"/>
      </w:pPr>
      <w:r>
        <w:rPr>
          <w:rFonts w:ascii="Cambria" w:cs="Cambria" w:eastAsia="Cambria" w:hAnsi="Cambria"/>
          <w:color w:val="0000CC"/>
          <w:sz w:val="24"/>
          <w:szCs w:val="24"/>
        </w:rPr>
        <w:t xml:space="preserve">It should be noted that the refusal after revocation shown in Figure 36 does not appear as a ledger row. Once the consent is no longer ACTIVE, the doctor subsystem stops the request before it can be submitted, so no STATE_CHECK or DATA_ACCESS event is written. The evidence for that refusal is therefore the screenshot of Figure 36. The refusal follows from the revocation flag in the local store, because the doctor subsystem does not read the chain. The on-chain state of token #1 corroborates the revocation separately. The independent verification of Section 6.8.9 reports checkValid as false for this token after its revocation in block 11,771,307.</w:t>
      </w:r>
    </w:p>
    <w:p>
      <w:pPr>
        <w:spacing w:after="140" w:line="300"/>
        <w:jc w:val="both"/>
      </w:pPr>
      <w:r>
        <w:rPr>
          <w:rFonts w:ascii="Cambria" w:cs="Cambria" w:eastAsia="Cambria" w:hAnsi="Cambria"/>
          <w:color w:val="0000CC"/>
          <w:sz w:val="24"/>
          <w:szCs w:val="24"/>
        </w:rPr>
        <w:t xml:space="preserve">Table 17 summarises the processing time of the decision components. The decision rule was timed over 1,000 evaluations of the five predicates on a consent object that was already loaded, without signature recovery. EIP-712 signature recovery was timed for a single signature. The Groth16 proof generation time includes the start-up of the proving process. The checkValid and checkValidAt measurements are read-only calls to the contract through the public Sepolia RPC endpoint. Signature recovery, proof generation, proof verification and the two read calls were each repeated 20 times. All of these measurements were taken in the same container, before the hardening described later in this subsection. The hardening adds only the selection of distinct approvals from members of G to the decision rule. The anchoring confirmation row summarises the submit-to-confirmation times of the five transactions in Table 15.</w:t>
      </w:r>
    </w:p>
    <w:p>
      <w:pPr>
        <w:keepNext/>
        <w:spacing w:after="80" w:before="160"/>
        <w:jc w:val="center"/>
      </w:pPr>
      <w:r>
        <w:rPr>
          <w:rFonts w:ascii="Cambria" w:cs="Cambria" w:eastAsia="Cambria" w:hAnsi="Cambria"/>
          <w:b/>
          <w:bCs/>
          <w:color w:val="0000CC"/>
          <w:sz w:val="21"/>
          <w:szCs w:val="21"/>
        </w:rPr>
        <w:t xml:space="preserve">Table 17: </w:t>
      </w:r>
      <w:r>
        <w:rPr>
          <w:rFonts w:ascii="Cambria" w:cs="Cambria" w:eastAsia="Cambria" w:hAnsi="Cambria"/>
          <w:color w:val="0000CC"/>
          <w:sz w:val="21"/>
          <w:szCs w:val="21"/>
        </w:rPr>
        <w:t xml:space="preserve">Processing time of the decision components, measured in the cloud development container used for the demonstration, with the anchoring confirmation taken from Table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cantSplit/>
          <w:tblHeader/>
        </w:trPr>
        <w:tc>
          <w:tcPr>
            <w:tcW w:type="dxa" w:w="31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Component</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Median</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Mean</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Minimum</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Maximum</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n</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Decision rule, five predicates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2.37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2.60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2.32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31.59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1,000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EIP-712 signature recovery, one signature</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10.93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11.67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10.55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15.64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Groth16 proof generation</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1,401.1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1,597.0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1,342.8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5,349.6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Groth16 proof verification</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465.3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472.5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441.0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525.1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On-chain checkValid read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573.5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587.4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568.2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715.5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On-chain checkValidAt read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574.6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592.7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568.2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745.6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Anchoring confirmation</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11.5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12.5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4.9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22.1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5</w:t>
            </w:r>
          </w:p>
        </w:tc>
      </w:tr>
    </w:tbl>
    <w:p>
      <w:pPr>
        <w:spacing w:after="180"/>
      </w:pPr>
    </w:p>
    <w:p>
      <w:pPr>
        <w:spacing w:after="140" w:line="300"/>
        <w:jc w:val="both"/>
      </w:pPr>
      <w:r>
        <w:rPr>
          <w:rFonts w:ascii="Cambria" w:cs="Cambria" w:eastAsia="Cambria" w:hAnsi="Cambria"/>
          <w:color w:val="0000CC"/>
          <w:sz w:val="24"/>
          <w:szCs w:val="24"/>
        </w:rPr>
        <w:t xml:space="preserve">Figure 42 places the components of Table 17 on a logarithmic time axis, except the checkValid read, whose times are almost identical to those of the checkValidAt read. For each component, the dot marks the median and the line extends from the minimum to the maximum. A logarithmic axis is required because the medians range from 2.37 µs for the decision rule to 11.5 s for anchoring confirmation.</w:t>
      </w:r>
    </w:p>
    <w:p>
      <w:pPr>
        <w:keepNext/>
        <w:spacing w:after="60" w:before="140"/>
        <w:jc w:val="center"/>
      </w:pPr>
      <w:r>
        <w:drawing>
          <wp:inline distT="0" distB="0" distL="0" distR="0">
            <wp:extent cx="5715000" cy="2876550"/>
            <wp:effectExtent t="0" r="0" b="0" l="0"/>
            <wp:docPr id="1" name="eval_f42.png" descr="Figure 42: Processing time of the decision components on a logarithmic axis: the dot marks the median and the line spans the minimum to the maximum, with n = 1,000 for the decision rule, n = 5 for anchoring confirmation and n = 20 for the other components." title="Figure 42: Processing time of the decision components on a logarithmic axis: the dot marks the median and the line spans the minimum to the maximum, with n = 1,000 for the decision rule, n = 5 for anchoring confirmation and n = 20 for the other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42: Processing time of the decision components on a logarithmic axis: the dot marks the median and the line spans the minimum to the maximum, with n = 1,000 for the decision rule, n = 5 for anchoring confirmation and n = 20 for the other components.</w:t>
      </w:r>
    </w:p>
    <w:p>
      <w:pPr>
        <w:spacing w:after="140" w:line="300"/>
        <w:jc w:val="both"/>
      </w:pPr>
      <w:r>
        <w:rPr>
          <w:rFonts w:ascii="Cambria" w:cs="Cambria" w:eastAsia="Cambria" w:hAnsi="Cambria"/>
          <w:color w:val="0000CC"/>
          <w:sz w:val="24"/>
          <w:szCs w:val="24"/>
        </w:rPr>
        <w:t xml:space="preserve">As shown in Figure 42, the time taken to evaluate the decision rule is negligible, with a median of 2.37 µs. Signature recovery takes about 11 ms per guardian, or approximately 22 ms for the two signatures required under the N-of-N rule with N = |G| = 2. The Groth16 proof dominates the interactive path of an access request, with medians of 1,401.1 ms for generation and 465.3 ms for verification. It should be noted that each generation and each verification starts a separate process, so these times include process start-up as well as cryptographic work. In addition, the prover and the verifier run on the same server, as stated in Section 6.8.11. Therefore, this cost is incurred for the integration of the zero-knowledge toolchain rather than for an additional privacy guarantee. The maximum generation time of 5,349.6 ms was recorded in the first run of the series, whereas the other 19 runs remained close to the median. Because every run starts a new process, process start-up alone does not explain this delay. The delay is most probably caused by the first, uncached loading of the proving library and the proving files, although this cause was not measured separately. This run also raises the mean generation time to 1,597.0 ms. At the median, the decision rule, the two signature recoveries and the proof generation and verification of one access request take about 1.9 s in total. More than 98 per cent of this time is spent on the proof.</w:t>
      </w:r>
    </w:p>
    <w:p>
      <w:pPr>
        <w:spacing w:after="140" w:line="300"/>
        <w:jc w:val="both"/>
      </w:pPr>
      <w:r>
        <w:rPr>
          <w:rFonts w:ascii="Cambria" w:cs="Cambria" w:eastAsia="Cambria" w:hAnsi="Cambria"/>
          <w:color w:val="0000CC"/>
          <w:sz w:val="24"/>
          <w:szCs w:val="24"/>
        </w:rPr>
        <w:t xml:space="preserve">The checkValidAt read, which an external verifier can use to confirm a token, has a median of 574.6 ms. It is not consulted by the access decision of the prototype. Because the contract function only reads stored values, this time consists mainly of the network round trip to the public endpoint. Anchoring confirmation is the slowest step, with a median of 11.5 s. However, it does not lie on the access path of the doctor, because the mint is confirmed in the background.</w:t>
      </w:r>
    </w:p>
    <w:p>
      <w:pPr>
        <w:spacing w:after="140" w:line="300"/>
        <w:jc w:val="both"/>
      </w:pPr>
      <w:r>
        <w:rPr>
          <w:rFonts w:ascii="Cambria" w:cs="Cambria" w:eastAsia="Cambria" w:hAnsi="Cambria"/>
          <w:color w:val="000000"/>
          <w:sz w:val="24"/>
          <w:szCs w:val="24"/>
        </w:rPr>
        <w:t xml:space="preserve">The second part of this subsection reports the unit-level adversarial tests. These tests assume honest infrastructure and exercise the same four components at unit level. The adversary considered tries to obtain or keep access without satisfying a condition of C, or to alter the anchored consent or the recorded evidence of a decision.</w:t>
      </w:r>
      <w:r>
        <w:rPr>
          <w:rFonts w:ascii="Cambria" w:cs="Cambria" w:eastAsia="Cambria" w:hAnsi="Cambria"/>
          <w:color w:val="0000CC"/>
          <w:sz w:val="24"/>
          <w:szCs w:val="24"/>
        </w:rPr>
        <w:t xml:space="preserve"> This adversary may be an outside requester or a participant of the consent. It can supply crafted inputs to the decision functions, alter the bits of a Groth16 proof or its public signals, and send transactions to the contract from an account that is not its owner. The tests also consider an attempt to rewrite a recorded audit event after the decision, in which the adversary does not recompute the digest of that event.</w:t>
      </w:r>
    </w:p>
    <w:p>
      <w:pPr>
        <w:spacing w:after="140" w:line="300"/>
        <w:jc w:val="both"/>
      </w:pPr>
      <w:r>
        <w:rPr>
          <w:rFonts w:ascii="Cambria" w:cs="Cambria" w:eastAsia="Cambria" w:hAnsi="Cambria"/>
          <w:color w:val="0000CC"/>
          <w:sz w:val="24"/>
          <w:szCs w:val="24"/>
        </w:rPr>
        <w:t xml:space="preserve">Several capabilities are outside the scope of this evaluation, because the prototype does not defend against them. The interface authenticates no role, so any user can act as a listed guardian or as the doctor and can declare any requester jurisdiction. Each guardian signing key is derived from the public guardian DID, so any party that knows a guardian DID can produce a valid approval for that guardian. Apart from the rewriting of an audit event described above, the adversary is assumed to have no write access to the consent or audit store. The adversary is also assumed to have no control of the server clock. In addition, the consent terms are assumed not to change after approval, and the prover of the Groth16 proof is assumed to be honest. Finally, compromise of the contract owner key, network-level attacks, denial of service and any behaviour of the Sepolia network itself are excluded.</w:t>
      </w:r>
    </w:p>
    <w:p>
      <w:pPr>
        <w:spacing w:after="140" w:line="300"/>
        <w:jc w:val="both"/>
      </w:pPr>
      <w:r>
        <w:rPr>
          <w:rFonts w:ascii="Cambria" w:cs="Cambria" w:eastAsia="Cambria" w:hAnsi="Cambria"/>
          <w:color w:val="000000"/>
          <w:sz w:val="24"/>
          <w:szCs w:val="24"/>
        </w:rPr>
        <w:t xml:space="preserve">Table 18 summarises the twelve scenarios A1 to A12. Together, they target every component of C and the contract at least once, and they use each capability of the adversary stated above. Each scenario is implemented as an automated unit test that applies the attack directly to the service functions, the proof verifier, the digest function of the audit ledger or the contract. A scenario is counted as refused when the targeted predicate fails and the decision is DENY, or when the scope check, the Groth16 prover or verifier, or the contract rejects the input.</w:t>
      </w:r>
      <w:r>
        <w:rPr>
          <w:rFonts w:ascii="Cambria" w:cs="Cambria" w:eastAsia="Cambria" w:hAnsi="Cambria"/>
          <w:color w:val="0000CC"/>
          <w:sz w:val="24"/>
          <w:szCs w:val="24"/>
        </w:rPr>
        <w:t xml:space="preserve"> None of the tests drives the running application, its data store or the Sepolia deployment. For each scenario, the table gives the targeted component of C or the contract and the expected outcome. It also gives the observed outcome before and after the service layer was hardened on 1 October 2026.</w:t>
      </w:r>
    </w:p>
    <w:p>
      <w:pPr>
        <w:keepNext/>
        <w:spacing w:after="80" w:before="160"/>
        <w:jc w:val="center"/>
      </w:pPr>
      <w:r>
        <w:rPr>
          <w:rFonts w:ascii="Cambria" w:cs="Cambria" w:eastAsia="Cambria" w:hAnsi="Cambria"/>
          <w:b/>
          <w:bCs/>
          <w:color w:val="0000CC"/>
          <w:sz w:val="21"/>
          <w:szCs w:val="21"/>
        </w:rPr>
        <w:t xml:space="preserve">Table 18: </w:t>
      </w:r>
      <w:r>
        <w:rPr>
          <w:rFonts w:ascii="Cambria" w:cs="Cambria" w:eastAsia="Cambria" w:hAnsi="Cambria"/>
          <w:color w:val="0000CC"/>
          <w:sz w:val="21"/>
          <w:szCs w:val="21"/>
        </w:rPr>
        <w:t xml:space="preserve">Unit-level adversarial tests A1 to A12, their targeted component and their outcome before the hardening (commit b1468b7) and after the hardening of 1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900"/>
        <w:gridCol w:w="1060"/>
        <w:gridCol w:w="1240"/>
        <w:gridCol w:w="1180"/>
        <w:gridCol w:w="2780"/>
      </w:tblGrid>
      <w:tr>
        <w:trPr>
          <w:cantSplit/>
          <w:tblHeader/>
        </w:trPr>
        <w:tc>
          <w:tcPr>
            <w:tcW w:type="dxa" w:w="6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ID</w:t>
            </w:r>
          </w:p>
        </w:tc>
        <w:tc>
          <w:tcPr>
            <w:tcW w:type="dxa" w:w="16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Attack</w:t>
            </w:r>
          </w:p>
        </w:tc>
        <w:tc>
          <w:tcPr>
            <w:tcW w:type="dxa" w:w="9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Target</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Expected</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Before hardening</w:t>
            </w:r>
          </w:p>
        </w:tc>
        <w:tc>
          <w:tcPr>
            <w:tcW w:type="dxa" w:w="118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After hardening</w:t>
            </w:r>
          </w:p>
        </w:tc>
        <w:tc>
          <w:tcPr>
            <w:tcW w:type="dxa" w:w="278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CC"/>
                <w:sz w:val="17"/>
                <w:szCs w:val="17"/>
              </w:rPr>
              <w:t xml:space="preserve">Evidence</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A1</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Approval signed by a signer outside G</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Accepted at unit level (blocked in the interface)</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test_​A1_​signer_​outside_​G_​is_​not_​counted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A2</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Guardian signature replayed from another consent</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I</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test_​A2_​replayed_​signature_​is_​rejected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A3</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Same guardian approves twice to reach 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Accepted at unit level (blocked in the interface)</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test_​A3_​duplicate_​approval_​does_​not_​reach_​threshold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A4</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Requested scope exceeds the authorised scope</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 (scope check)</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test_​A4_​over_​scope_​request_​is_​rejected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A5</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Request with an empty scope</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P (scope check)</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Accepted at unit level (blocked in the interface)</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test_​A5_​empty_​scope_​is_​rejected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A6</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Request before notBefore or after expiry</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test_​A6_​outside_​validity_​interval_​is_​denied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A7</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Requester declares a different jurisdiction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L</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test_​A7_​jurisdiction_​mismatch_​is_​denied; live application decision, 24 Sep: Figure 32</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A8</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Access after revocation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E (via V</w:t>
            </w:r>
            <w:r>
              <w:rPr>
                <w:rFonts w:ascii="Cambria" w:cs="Cambria" w:eastAsia="Cambria" w:hAnsi="Cambria"/>
                <w:b w:val="false"/>
                <w:bCs w:val="false"/>
                <w:color w:val="0000CC"/>
                <w:sz w:val="17"/>
                <w:szCs w:val="17"/>
                <w:vertAlign w:val="subscript"/>
              </w:rPr>
              <w:t xml:space="preserve">A</w:t>
            </w:r>
            <w:r>
              <w:rPr>
                <w:rFonts w:ascii="Cambria" w:cs="Cambria" w:eastAsia="Cambria" w:hAnsi="Cambria"/>
                <w:b w:val="false"/>
                <w:bCs w:val="false"/>
                <w:color w:val="0000CC"/>
                <w:sz w:val="17"/>
                <w:szCs w:val="17"/>
              </w:rPr>
              <w:t xml:space="preserve">)</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test_​A8_​revoked_​consent_​is_​denied (local flag); separate on-chain revocation, Sepolia block 11,771,307, 24 Sep</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A9</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Tampered Groth16 proof or public signal</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E</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test_​A9_​tampered_​proof_​fails_​verification</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A10</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Honest proof generation for an expired consent</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test_​A10_​honest_​prover_​cannot_​prove_​expired_​consent (honest prover only)</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A11</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Result field of a recorded audit event rewritten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E</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Digest differs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Digest differs</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Digest differs</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test_​A11_​rewritten_​event_​changes_​its_​digest (no component compares the digest)</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A12</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Mint or revoke by a non-owner, or token transfer</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Contract</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CC"/>
                <w:sz w:val="17"/>
                <w:szCs w:val="17"/>
              </w:rPr>
              <w:t xml:space="preserve">test_​A12_​non_​owner_​cannot_​mint_​or_​revoke (in-memory EVM, not Sepolia)</w:t>
            </w:r>
          </w:p>
        </w:tc>
      </w:tr>
    </w:tbl>
    <w:p>
      <w:pPr>
        <w:spacing w:after="180"/>
      </w:pPr>
    </w:p>
    <w:p>
      <w:pPr>
        <w:spacing w:after="140" w:line="300"/>
        <w:jc w:val="both"/>
      </w:pPr>
      <w:r>
        <w:rPr>
          <w:rFonts w:ascii="Cambria" w:cs="Cambria" w:eastAsia="Cambria" w:hAnsi="Cambria"/>
          <w:color w:val="0000CC"/>
          <w:sz w:val="24"/>
          <w:szCs w:val="24"/>
        </w:rPr>
        <w:t xml:space="preserve">It should be noted that, in the implementation,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combines the structural DID check of Section 6.7 with the verification of each listed guardian's EIP-712 signature. A2 therefore exercises the signature part of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rather than DID resolution. The scope tested by A4 and A5 is checked by a separate scope check at request time and is not one of the five logged predicates of the decision matrix. For A11, the table reports only that the recomputed digest of the modified event differs from the stored digest, and no component of the prototype performs this comparison. For A12, a refusal means that the contract reverts the transaction on an in-memory Ethereum virtual machine. For A7 and A8, the Evidence column also cites the live demonstration of 24 September 2026, which predates the tests. The A7 refusal of Figure 32 was decided by the application rather than by the contract. The A8 entry cites the separate on-chain revocation in Sepolia block 11,771,307, whereas the A8 test evaluates only the revocation flag of the local store.</w:t>
      </w:r>
    </w:p>
    <w:p>
      <w:pPr>
        <w:spacing w:after="140" w:line="300"/>
        <w:jc w:val="both"/>
      </w:pPr>
      <w:r>
        <w:rPr>
          <w:rFonts w:ascii="Cambria" w:cs="Cambria" w:eastAsia="Cambria" w:hAnsi="Cambria"/>
          <w:color w:val="0000CC"/>
          <w:sz w:val="24"/>
          <w:szCs w:val="24"/>
        </w:rPr>
        <w:t xml:space="preserve">Figure 43 presents the same results as an evaluation matrix. Each row is a scenario, and the columns I, A, P, T, L, E and Contract mark the component that the scenario targets. The last two columns show the unit-level outcome before and after the hardening, with an icon and a label for each refusal or acceptance and a neutral marker for the digest result of A11. An acceptance before the hardening means that the service function accepted the attack when it was called directly, not that the running application did. For A11, the figure reports only that the recomputed digest of the modified event differs, as explained for Table 18.</w:t>
      </w:r>
    </w:p>
    <w:p>
      <w:pPr>
        <w:keepNext/>
        <w:spacing w:after="60" w:before="140"/>
        <w:jc w:val="center"/>
      </w:pPr>
      <w:r>
        <w:drawing>
          <wp:inline distT="0" distB="0" distL="0" distR="0">
            <wp:extent cx="5715000" cy="4181475"/>
            <wp:effectExtent t="0" r="0" b="0" l="0"/>
            <wp:docPr id="1" name="eval_f43.png" descr="Figure 43: Adversarial evaluation matrix: the component of C or the contract targeted by each of the unit-level scenarios A1 to A12, and its outcome before and after the hardening of 1 October 2026." title="Figure 43: Adversarial evaluation matrix: the component of C or the contract targeted by each of the unit-level scenarios A1 to A12, and its outcome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43: Adversarial evaluation matrix: the component of C or the contract targeted by each of the unit-level scenarios A1 to A12, and its outcome before and after the hardening of 1 October 2026.</w:t>
      </w:r>
    </w:p>
    <w:p>
      <w:pPr>
        <w:spacing w:after="140" w:line="300"/>
        <w:jc w:val="both"/>
      </w:pPr>
      <w:r>
        <w:rPr>
          <w:rFonts w:ascii="Cambria" w:cs="Cambria" w:eastAsia="Cambria" w:hAnsi="Cambria"/>
          <w:color w:val="000000"/>
          <w:sz w:val="24"/>
          <w:szCs w:val="24"/>
        </w:rPr>
        <w:t xml:space="preserve">As shown in Figure 43, three attacks were accepted before the hardening, when the service functions of commit b1468b7 were called directly in unit tests.</w:t>
      </w:r>
      <w:r>
        <w:rPr>
          <w:rFonts w:ascii="Cambria" w:cs="Cambria" w:eastAsia="Cambria" w:hAnsi="Cambria"/>
          <w:color w:val="0000CC"/>
          <w:sz w:val="24"/>
          <w:szCs w:val="24"/>
        </w:rPr>
        <w:t xml:space="preserve"> Consequently, three of the 13 adversarial tests failed at that version. In A1, evaluate_allow counted an approval from a signer outside G towards N. In A3, evaluate_allow counted two approvals from the same guardian and so reached the threshold. In A5, check_scope accepted a request with an empty scope. None of the three was reachable through the interface as used in the demonstration of 24 September 2026. The guardian selector offers only the DIDs listed in G, the guardian subsystem refuses a second signature from the same DID, and the doctor subsystem refuses an empty selection. However, the guardian selector restricts only the choice of DID, because the interface does not authenticate guardians. In addition, the empty-selection guard was added on 24 September 2026, before the demonstration, and before that date an empty request could have been granted through the interface. Such a grant would have released no records, because a query over an empty scope returns nothing. A4 was rejected by check_scope both before and after the hardening, and it was also unreachable through the interface, which offers only the authorised modules. Therefore, the three results represent a gap in defence in depth rather than a demonstrated breach of the deployed system.</w:t>
      </w:r>
    </w:p>
    <w:p>
      <w:pPr>
        <w:spacing w:after="140" w:line="300"/>
        <w:jc w:val="both"/>
      </w:pPr>
      <w:r>
        <w:rPr>
          <w:rFonts w:ascii="Cambria" w:cs="Cambria" w:eastAsia="Cambria" w:hAnsi="Cambria"/>
          <w:color w:val="0000CC"/>
          <w:sz w:val="24"/>
          <w:szCs w:val="24"/>
        </w:rPr>
        <w:t xml:space="preserve">A direct call to the service layer would nevertheless have bypassed these interface checks. Consequently, the same checks were added to the service layer itself, and the interface checks were retained. The decision function evaluate_allow now counts only distinct approvals from members of G, and check_scope now requires a non-empty request within the authorised scope. A follow-up change on the same day applied the same counting rule to the lifecycle state evaluation and to the mint trigger of the guardian subsystem. Both had still counted every listed signature. After these changes, all 13 adversarial tests pass. The full suite of 36 tests also passes. It consists of the 23 earlier functional and regression tests and 13 adversarial tests, which are a baseline test and one test for each of the twelve scenarios. One earlier test was adjusted, because its fixture used signer labels that were not members of G. The test outputs before and after the hardening are preserved in the project evidence records.</w:t>
      </w:r>
    </w:p>
    <w:p>
      <w:pPr>
        <w:spacing w:after="140" w:line="300"/>
        <w:jc w:val="both"/>
      </w:pPr>
      <w:r>
        <w:rPr>
          <w:rFonts w:ascii="Cambria" w:cs="Cambria" w:eastAsia="Cambria" w:hAnsi="Cambria"/>
          <w:color w:val="0000CC"/>
          <w:sz w:val="24"/>
          <w:szCs w:val="24"/>
        </w:rPr>
        <w:t xml:space="preserve">The evaluation has six limitations. First, A12 runs the compiled ConsentSBTv3 artefact of the project repository on an in-memory Ethereum virtual machine provided by the eth-tester library, and no Sepolia transaction was sent. The contract deployed on Sepolia was compiled separately in Remix, as described in Section 6.8.1. Therefore, A12 shows the behaviour of the contract source but not that of the deployed bytecode. Its result also holds only while the single owner key remains uncompromised, and the test does not exercise burn, safeTransferFrom or the ownership functions. Second, A11 shows only that a change to one of the six digested fields changes the digest of that event. Such a change can be detected only by comparison with a copy of the digest held separately, and no component of the prototype performs this comparison. The SHA-256 digest is neither keyed nor chained to the previous event, and it is stored in the same row. In addition, the digest covers the actor, action, patient, consent, result and timestamp of an event but not its scope, purpose, actor role, transaction hash or metadata. Consequently, the recorded decision matrix is not protected by the digest. The ledger is therefore not tamper-evident against a party with write access to the store. Deleted or reordered events are not detected, and the access events are not anchored on the chain.</w:t>
      </w:r>
    </w:p>
    <w:p>
      <w:pPr>
        <w:spacing w:after="140" w:line="300"/>
        <w:jc w:val="both"/>
      </w:pPr>
      <w:r>
        <w:rPr>
          <w:rFonts w:ascii="Cambria" w:cs="Cambria" w:eastAsia="Cambria" w:hAnsi="Cambria"/>
          <w:color w:val="0000CC"/>
          <w:sz w:val="24"/>
          <w:szCs w:val="24"/>
        </w:rPr>
        <w:t xml:space="preserve">Third, A2 shows that replay across consent identifiers is rejected. The signed message covers only the consent identifier, the guardian and the network. Consequently, a change of scope, purpose, requester, expiry or jurisdiction after approval is not detected. In addition, signatures are checked only when the caller supplies the signature verifier, as the interface does. Fourth, A6 relies on the server clock, A7 on the jurisdiction declared by the requester, and A8 on the revocation flag of the local store. A requester who declares a false jurisdiction therefore passes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A party who can write to the consent store can also reverse a revocation for the access decision. For an anchored consent, this mismatch would be reported only when the independent verification of Section 6.8.9 is next run.</w:t>
      </w:r>
    </w:p>
    <w:p>
      <w:pPr>
        <w:spacing w:after="140" w:line="300"/>
        <w:jc w:val="both"/>
      </w:pPr>
      <w:r>
        <w:rPr>
          <w:rFonts w:ascii="Cambria" w:cs="Cambria" w:eastAsia="Cambria" w:hAnsi="Cambria"/>
          <w:color w:val="0000CC"/>
          <w:sz w:val="24"/>
          <w:szCs w:val="24"/>
        </w:rPr>
        <w:t xml:space="preserve">Fifth, A9 shows that the Groth16 verifier rejects bit-level tampering with a proof or its public signals. This result holds under the development trusted setup of the prototype, which was generated by a single party. The verifier checks neither the commitment against a registered value nor the freshness of the public time, and the prover and the verifier run on the same server. Therefore, A10 shows only that the honest prover, using the server clock and the stored expiry, cannot generate a proof for an expired consent. A prover that backdates the time or substitutes the expiry produces a proof that verifies. Sixth, the measurements come from a single container and five transactions. Consequently, they are indicative only and do not constitute the full performance and scalability study of Section 9.2, which remains outstanding.</w:t>
      </w:r>
    </w:p>
    <w:p>
      <w:pPr>
        <w:spacing w:after="140" w:line="300"/>
        <w:jc w:val="both"/>
      </w:pPr>
      <w:r>
        <w:rPr>
          <w:rFonts w:ascii="Cambria" w:cs="Cambria" w:eastAsia="Cambria" w:hAnsi="Cambria"/>
          <w:color w:val="000000"/>
          <w:sz w:val="24"/>
          <w:szCs w:val="24"/>
        </w:rPr>
        <w:t xml:space="preserve">These results extend the empirical half of RO6. Nevertheless, RO6 remains partially completed, as stated in Section 7.6. The empirical evidence previously consisted of the allow-and-deny cases of Sections 6.8.4 to 6.8.6, the 23 functional and regression tests and the independent verification of Section 6.8.9.</w:t>
      </w:r>
      <w:r>
        <w:rPr>
          <w:rFonts w:ascii="Cambria" w:cs="Cambria" w:eastAsia="Cambria" w:hAnsi="Cambria"/>
          <w:color w:val="0000CC"/>
          <w:sz w:val="24"/>
          <w:szCs w:val="24"/>
        </w:rPr>
        <w:t xml:space="preserve"> It now also includes the preliminary cost and timing measurements and the twelve unit-level adversarial tests reported above. Therefore, HALAH now reports both allow-and-deny test cases and attack cases under the empirical component of Req 6. This is the empirical standard against which the reviewed studies were graded in Chapter 2. However, these tests are not a penetration test of the deployed system, and the full performance and scalability study and the extended adversarial evaluation of Section 9.2 remain for the next stage. The formal half of RO6 is also left for that stage. It consists of the proof or model checking of the soundness property and of the lifecycle invariant stated in Section 9.2.</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E6007E"/>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E6007E"/>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checks the format of identifiers and credentials and verifies the EIP-712 signature of each listed guardian.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E6007E"/>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 The adversarial evaluation of Section 6.8.13 includes two attacks on the threshold, namely an approval from a signer outside G (A1) and a repeated approval from the same guardian (A3). Before the hardening of 1 October 2026, both attacks were blocked only by the interface. Since that hardening, the decision rule and the lifecycle evaluation count only distinct approvals from members of G towards N, and both attacks are refused.</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E6007E"/>
          <w:sz w:val="24"/>
          <w:szCs w:val="24"/>
        </w:rPr>
        <w:t xml:space="preserve">Status: Completed</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E6007E"/>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CC"/>
          <w:sz w:val="24"/>
          <w:szCs w:val="24"/>
        </w:rPr>
        <w:t xml:space="preserve">where Policy(C, R) denotes the conjunction of the purpose check V</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the formal model,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in this case. In the prototype, the scope condition is enforced by a separate scope check at request time rather than within the logged predicate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Consequently, an over-scope request is refused with the scope named as the failed check, and the interface itself offers only the authorised modules. This refusal is exercised by attack scenario A4 of Section 6.8.13. In addition, an empty request scope (scenario A5) was blocked only by the interface before the hardening of 1 October 2026. Since that hardening, it is also refused by the scope check itself. Section 6.8.4 shows the requested-subset rule enforced on the live system.</w:t>
      </w:r>
    </w:p>
    <w:p>
      <w:pPr>
        <w:spacing w:after="140" w:line="300"/>
        <w:jc w:val="both"/>
      </w:pPr>
      <w:r>
        <w:rPr>
          <w:rFonts w:ascii="Cambria" w:cs="Cambria" w:eastAsia="Cambria" w:hAnsi="Cambria"/>
          <w:color w:val="E6007E"/>
          <w:sz w:val="24"/>
          <w:szCs w:val="24"/>
        </w:rPr>
        <w:t xml:space="preserve">The policy predicate is evaluated as one term of the complete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Every denial names the failed checks in the interface. A denial against an ACTIVE consent is also recorded in the audit ledger with the complete decision matrix, whereas a refusal for a consent that is not ACTIVE is shown in the interface only (Section 6.4).</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preliminary measurements and unit-level adversarial tests complete; formal assurance, a full performance and scalability study and the extended adversarial evaluation outstanding)</w:t>
      </w:r>
    </w:p>
    <w:p>
      <w:pPr>
        <w:spacing w:after="140" w:line="300"/>
        <w:jc w:val="both"/>
      </w:pPr>
      <w:r>
        <w:rPr>
          <w:rFonts w:ascii="Cambria" w:cs="Cambria" w:eastAsia="Cambria" w:hAnsi="Cambria"/>
          <w:color w:val="E6007E"/>
          <w:sz w:val="24"/>
          <w:szCs w:val="24"/>
        </w:rPr>
        <w:t xml:space="preserve">RO6 is partially completed through the implementation and scenario-based validation of the HALAH prototype, together with preliminary measurements and an adversarial evaluation of twelve attack scenarios (Section 6.8.13).</w:t>
      </w:r>
      <w:r>
        <w:rPr>
          <w:rFonts w:ascii="Cambria" w:cs="Cambria" w:eastAsia="Cambria" w:hAnsi="Cambria"/>
          <w:sz w:val="24"/>
          <w:szCs w:val="24"/>
        </w:rPr>
        <w:t xml:space="preserv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E6007E"/>
          <w:sz w:val="24"/>
          <w:szCs w:val="24"/>
        </w:rPr>
        <w:t xml:space="preserve">A suite of 36 automated tests exercises per-dimension failures of the decision matrix, rejection of invalid EIP-712 guardian signatures, tampered or expired zero-knowledge proofs and twelve attack scenarios. Live validation on the Sepolia testnet includes a negative demonstration in which a request declaring jurisdiction SA is made against a consent issued for AU.</w:t>
      </w:r>
      <w:r>
        <w:rPr>
          <w:rFonts w:ascii="Cambria" w:cs="Cambria" w:eastAsia="Cambria" w:hAnsi="Cambria"/>
          <w:color w:val="E6007E"/>
          <w:sz w:val="24"/>
          <w:szCs w:val="24"/>
        </w:rPr>
        <w:t xml:space="preserve"> The request is denied, with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w:t>
      </w:r>
      <w:r>
        <w:rPr>
          <w:rFonts w:ascii="Cambria" w:cs="Cambria" w:eastAsia="Cambria" w:hAnsi="Cambria"/>
          <w:sz w:val="24"/>
          <w:szCs w:val="24"/>
        </w:rPr>
        <w:t xml:space="preserve"> </w:t>
      </w:r>
      <w:r>
        <w:rPr>
          <w:rFonts w:ascii="Cambria" w:cs="Cambria" w:eastAsia="Cambria" w:hAnsi="Cambria"/>
          <w:color w:val="E6007E"/>
          <w:sz w:val="24"/>
          <w:szCs w:val="24"/>
        </w:rPr>
        <w:t xml:space="preserve">In addition, an independent verification tool re-checks every ledger transaction hash against Sepolia receipts and reads each token of the current contract back from the chain, reporting ALL CHECKS PASSED. Every access granted on 24 September 2026 was accompanied by a real Groth16 proof generated and verified at request time, as recorded in the audit ledger. The three earlier grants of 22 September do not record the proof mode (Table 16).</w:t>
      </w:r>
      <w:r>
        <w:rPr>
          <w:rFonts w:ascii="Cambria" w:cs="Cambria" w:eastAsia="Cambria" w:hAnsi="Cambria"/>
          <w:sz w:val="24"/>
          <w:szCs w:val="24"/>
        </w:rPr>
        <w:t xml:space="preserve"> </w:t>
      </w:r>
      <w:r>
        <w:rPr>
          <w:rFonts w:ascii="Cambria" w:cs="Cambria" w:eastAsia="Cambria" w:hAnsi="Cambria"/>
          <w:color w:val="E6007E"/>
          <w:sz w:val="24"/>
          <w:szCs w:val="24"/>
        </w:rPr>
        <w:t xml:space="preserve">The prototype enforces Eq. (75), with the scope condition of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evaluated by a separate scope check at request time. In addition, access is granted only when the proof verifies.</w:t>
      </w:r>
      <w:r>
        <w:rPr>
          <w:rFonts w:ascii="Cambria" w:cs="Cambria" w:eastAsia="Cambria" w:hAnsi="Cambria"/>
          <w:sz w:val="24"/>
          <w:szCs w:val="24"/>
        </w:rPr>
        <w:t xml:space="preserve"> </w:t>
      </w:r>
      <w:r>
        <w:rPr>
          <w:rFonts w:ascii="Cambria" w:cs="Cambria" w:eastAsia="Cambria" w:hAnsi="Cambria"/>
          <w:color w:val="E6007E"/>
          <w:sz w:val="24"/>
          <w:szCs w:val="24"/>
        </w:rPr>
        <w:t xml:space="preserve">In the adversarial evaluation of Section 6.8.13, eleven of the twelve unit-level attack scenarios are refused after the hardening of 1 October 2026. In the twelfth, A11, a rewritten audit event changes its digest, but no component of the prototype compares the digest. Before that hardening, three scenarios were accepted by the service-layer functions when these were called directly, although the interface already blocked them. These were an approval from a signer outside G (A1), a repeated approval from the same guardian (A3) and an empty request scope (A5). Formal security analysis and a full performance and scalability study remain for the next stage.</w:t>
      </w:r>
      <w:r>
        <w:rPr>
          <w:rFonts w:ascii="Cambria" w:cs="Cambria" w:eastAsia="Cambria" w:hAnsi="Cambria"/>
          <w:sz w:val="24"/>
          <w:szCs w:val="24"/>
        </w:rPr>
        <w:t xml:space="preserv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and revocation have now been demonstrated empirically. Jurisdiction violation and revocation followed by denial were demonstrated in the live Sepolia deployment. Policy violation and temporal expiration were demonstrated in the automated test suite, including attack scenarios A4 to A6. Unauthorised lifecycle transitions have been examined only in part. Scenario A12 runs ConsentSBTv3, compiled from the project source, on an in-memory Ethereum virtual machine and shows that an account other than the contract owner can neither mint nor revoke a token. Scenarios A1 and A3 show that an approval from outside G or a repeated approval does not move a consent beyond the PENDING_SIGNATURE state. The transition check of Algorithm 5 is not yet implemented, so the other unauthorised transitions are left for the next stage. Nevertheless, the remaining work for the next stage is considerably narrower.</w:t>
      </w:r>
      <w:r>
        <w:rPr>
          <w:rFonts w:ascii="Cambria" w:cs="Cambria" w:eastAsia="Cambria" w:hAnsi="Cambria"/>
          <w:color w:val="E6007E"/>
          <w:sz w:val="24"/>
          <w:szCs w:val="24"/>
        </w:rPr>
        <w:t xml:space="preserve"> It consists of the formal definition and verification of the security properties and a full performance and scalability study that extends the preliminary measurements of Section 6.8.13. It also includes the removal of prototype limitations such as the N-of-N approval rule, the server-derived guardian keys and the unauthenticated requester role. At the current stage, RO1 to RO4 are completed at the conceptual and prototype level, and RO5 is largely completed with its temporal and revocation controls enforced and anchored on-chain. RO6 is partially completed through its empirical component, which includes the preliminary measurements and the adversarial evaluation of Section 6.8.13. Therefore, the next stage of the research is defined by the formal component of RO6, the full performance and scalability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19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19: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E6007E"/>
                <w:sz w:val="19"/>
                <w:szCs w:val="19"/>
              </w:rPr>
              <w:t xml:space="preserve">the decentralised implementation and the scenario-based validation are complete on the Sepolia public testnet, and a preliminary performance and adversarial evaluation has been carried out; a full performance and scalability study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E6007E"/>
                <w:sz w:val="19"/>
                <w:szCs w:val="19"/>
              </w:rPr>
              <w:t xml:space="preserve">the paper's empirical section can now draw upon the deployed contract, the two minted tokens, the verified transaction trail, the measured cost and latency and the twelve attack scenarios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scenario-based empirical component of RO6 has also been delivered through 36 automated tests, which include twelve attack scenarios. In addition, Section 6.8.13 reports preliminary measurements of gas cost, confirmation latency and processing time.</w:t>
      </w:r>
      <w:r>
        <w:rPr>
          <w:rFonts w:ascii="Cambria" w:cs="Cambria" w:eastAsia="Cambria" w:hAnsi="Cambria"/>
          <w:color w:val="E6007E"/>
          <w:sz w:val="24"/>
          <w:szCs w:val="24"/>
        </w:rPr>
        <w:t xml:space="preserve"> The delivered evidence includes the ConsentSBTv3 contract, deployed and source-verified on Sepolia at 0x0EC3617581DEC63A7f2bb162DC14d088916ADc73. The evaluated consent was minted as token #1 in block 11,771,243 and revoked on-chain in block 11,771,307, and a second lifecycle with the same configuration, consent 04da25f5,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a full performance and scalability study built on the measurements of Section 6.8.13, and the identified prototype limitations. These limitations include the N-of-N approval rule, the server-derived guardian keys, the unauthenticated requester, the absence of cryptographic DID resolution, the missing transition check of Algorithm 5 and the unkeyed and unchained audit digest described in Section 6.8.13.</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and revocation is effective at the contract level. The six lifecycle states are derived at each evaluation, although the transition check of Algorithm 5 is not yet implemented. Consequently, the next stage concentrates on formal security assurance and on the extension of the empirical validation, including a full performance and scalability study.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w:t>
      </w:r>
      <w:r>
        <w:rPr>
          <w:rFonts w:ascii="Cambria" w:cs="Cambria" w:eastAsia="Cambria" w:hAnsi="Cambria"/>
          <w:color w:val="E6007E"/>
          <w:sz w:val="24"/>
          <w:szCs w:val="24"/>
        </w:rPr>
        <w:t xml:space="preserve">The formal specification of the security properties will be undertaken first, since the empirical experiments are to be designed against those properties. A preliminary performance and adversarial evaluation has already been carried out and is reported in Section 6.8.13. The full performance and scalability study and the extended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current prototype-based evaluation already includes successful access requests and twelve attack scenarios, as reported in Section 6.8.13. The next stage will extend this evaluation to a larger number of consents, guardians and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w:t>
      </w:r>
      <w:r>
        <w:rPr>
          <w:rFonts w:ascii="Cambria" w:cs="Cambria" w:eastAsia="Cambria" w:hAnsi="Cambria"/>
          <w:color w:val="E6007E"/>
          <w:sz w:val="24"/>
          <w:szCs w:val="24"/>
        </w:rPr>
        <w:t xml:space="preserve">Table 20</w:t>
      </w:r>
      <w:r>
        <w:rPr>
          <w:rFonts w:ascii="Cambria" w:cs="Cambria" w:eastAsia="Cambria" w:hAnsi="Cambria"/>
          <w:sz w:val="24"/>
          <w:szCs w:val="24"/>
        </w:rPr>
        <w:t xml:space="preserve">.</w:t>
      </w:r>
    </w:p>
    <w:p>
      <w:pPr>
        <w:spacing w:after="140" w:line="300"/>
        <w:jc w:val="both"/>
      </w:pPr>
      <w:r>
        <w:rPr>
          <w:rFonts w:ascii="Cambria" w:cs="Cambria" w:eastAsia="Cambria" w:hAnsi="Cambria"/>
          <w:color w:val="E6007E"/>
          <w:sz w:val="24"/>
          <w:szCs w:val="24"/>
        </w:rPr>
        <w:t xml:space="preserve">Preliminary performance measurements are reported in Section 6.8.13. They cover the gas cost of the three mint and two revoke transactions, the submit-to-confirmation latency on Sepolia, the Groth16 proof generation and verification time, and the processing time of the decision components. The full performance study of the next stage will repeat these measurements over a larger number of consents and access requests. It will also measure the end-to-end decision latency under concurrent load. In addition, it will report enforcement accuracy over an extended adversarial scenario set that builds on the twelve attack scenarios of Section 6.8.13.</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20: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Scale and extend the HALAH prototype experiments, including the twelve attack scenarios of Section 6.8.13, to larger sets of positive, negative and adversarial healthcare data-sharing scenarios. Extend the preliminary measurements of runtime performance, overhead and enforcement accuracy to operation under load.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20 is as follows. The temporal and lifecycle foundation of the first activity, Consent Modification, Delegation and Lifecycle Extensions, is largely completed. The on-chain notBefore and expiry fields are in place, the revoke transaction was confirmed in block 11,771,307, and the six lifecycle states are derived at each evaluation. The transition check of Algorithm 5 remains outstanding. The modification, delegation and guardian-set extensions themselves have not been started. The third activity, empirical validation with the HALAH prototype scenarios, is partially delivered. Its evidence consists of the 36 automated tests with their twelve attack scenarios, the live jurisdiction denial and revocation-then-denial on Sepolia, and the independent chain verification reporting ALL CHECKS PASSED. Preliminary measurements of gas cost, confirmation latency and processing time are reported in Section 6.8.13, whereas a full performance and scalability study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E6007E"/>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21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21: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combines identifier- and credential-format validation with the EIP-712 signature check of each listed guardian;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STATE_CHECK events recording V</w:t>
            </w:r>
            <w:r>
              <w:rPr>
                <w:rFonts w:ascii="Cambria" w:cs="Cambria" w:eastAsia="Cambria" w:hAnsi="Cambria"/>
                <w:b w:val="false"/>
                <w:bCs w:val="false"/>
                <w:color w:val="E6007E"/>
                <w:sz w:val="18"/>
                <w:szCs w:val="18"/>
                <w:vertAlign w:val="subscript"/>
              </w:rPr>
              <w:t xml:space="preserve">P</w:t>
            </w:r>
            <w:r>
              <w:rPr>
                <w:rFonts w:ascii="Cambria" w:cs="Cambria" w:eastAsia="Cambria" w:hAnsi="Cambria"/>
                <w:b w:val="false"/>
                <w:bCs w:val="false"/>
                <w:color w:val="E6007E"/>
                <w:sz w:val="18"/>
                <w:szCs w:val="18"/>
              </w:rPr>
              <w:t xml:space="preserve"> = PASS and DATA_ACCESS events recording the four-module scope of consents f050c29a and 04da25f5 as valid</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Auditor subsystem, the independent verifier re-checking every transaction receipt, and the suite of 36 automated tests including twelve attack scenarios (Section 6.8.13)</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60-event ledger; RESULT: ALL CHECKS PASSED; token #2, block 11,771,581; 36 tests passed; attack scenarios A1 to A10 and A12 refused, A11 digest differs (Section 6.8.13)</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E6007E"/>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E6007E"/>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E6007E"/>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E6007E"/>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E6007E"/>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E6007E"/>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E6007E"/>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E6007E"/>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E6007E"/>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E6007E"/>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E6007E"/>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E6007E"/>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color w:val="E6007E"/>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E6007E"/>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E6007E"/>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E6007E"/>
          <w:sz w:val="24"/>
          <w:szCs w:val="24"/>
        </w:rPr>
        <w:t xml:space="preserve">[44] A. U. Eneh, L. A. C. Ahakonye, J. M. Lee, and D.-S. Kim.</w:t>
      </w:r>
      <w:r>
        <w:rPr>
          <w:rFonts w:ascii="Cambria" w:cs="Cambria" w:eastAsia="Cambria" w:hAnsi="Cambria"/>
          <w:color w:val="0000CC"/>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w:t>
      </w:r>
      <w:r>
        <w:rPr>
          <w:rFonts w:ascii="Cambria" w:cs="Cambria" w:eastAsia="Cambria" w:hAnsi="Cambria"/>
          <w:color w:val="E6007E"/>
          <w:sz w:val="24"/>
          <w:szCs w:val="24"/>
        </w:rPr>
        <w:t xml:space="preserve">Iranian Journal of Science and Technology, Transactions of Electrical Engineering, 2026.</w:t>
      </w:r>
      <w:r>
        <w:rPr>
          <w:rFonts w:ascii="Cambria" w:cs="Cambria" w:eastAsia="Cambria" w:hAnsi="Cambria"/>
          <w:color w:val="0000CC"/>
          <w:sz w:val="24"/>
          <w:szCs w:val="24"/>
        </w:rPr>
        <w:t xml:space="preserve">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w:t>
      </w:r>
      <w:r>
        <w:rPr>
          <w:rFonts w:ascii="Cambria" w:cs="Cambria" w:eastAsia="Cambria" w:hAnsi="Cambria"/>
          <w:color w:val="E6007E"/>
          <w:sz w:val="24"/>
          <w:szCs w:val="24"/>
        </w:rPr>
        <w:t xml:space="preserve">into an EDC System for Data Protection-Compliant Identity Management, Consent Management and Pseudonymization in Medical Research Studies.</w:t>
      </w:r>
      <w:r>
        <w:rPr>
          <w:rFonts w:ascii="Cambria" w:cs="Cambria" w:eastAsia="Cambria" w:hAnsi="Cambria"/>
          <w:color w:val="0000CC"/>
          <w:sz w:val="24"/>
          <w:szCs w:val="24"/>
        </w:rPr>
        <w:t xml:space="preserve">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7f691d763dba86ee49b25518e490fe406bd1e793.png"/><Relationship Id="rId14" Type="http://schemas.openxmlformats.org/officeDocument/2006/relationships/image" Target="media/0fc1020c5f2d577fb45977f6ee9d775a5b66ce0a.png"/><Relationship Id="rId15" Type="http://schemas.openxmlformats.org/officeDocument/2006/relationships/image" Target="media/5dda75865b8a7d4d8bbd3d4e406d6ac57f913b3c.png"/><Relationship Id="rId16" Type="http://schemas.openxmlformats.org/officeDocument/2006/relationships/image" Target="media/9becb05c4a6101f5d421517f324e978051b8cf09.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89ee42679d2e1ad8ed27842c845511aa37be6ce2.png"/><Relationship Id="rId44" Type="http://schemas.openxmlformats.org/officeDocument/2006/relationships/image" Target="media/437d3b5dafb646c4afc365beb5e51e2de16280e2.png"/><Relationship Id="rId45" Type="http://schemas.openxmlformats.org/officeDocument/2006/relationships/image" Target="media/e147a5141730618b0819db29827be9951fbc05ee.png"/><Relationship Id="rId46" Type="http://schemas.openxmlformats.org/officeDocument/2006/relationships/image" Target="media/f0af766d9de14575067307b6f7dccaf71ca25b88.png"/><Relationship Id="rId47" Type="http://schemas.openxmlformats.org/officeDocument/2006/relationships/image" Target="media/32a920cb8d148805391dcda55782af93c6edfd51.png"/><Relationship Id="rId48" Type="http://schemas.openxmlformats.org/officeDocument/2006/relationships/image" Target="media/06dd8d4f71199a2b46751bf3ced20974c9f60efc.png"/><Relationship Id="rId49" Type="http://schemas.openxmlformats.org/officeDocument/2006/relationships/image" Target="media/4315c9b43325fa22d4a470efde68b53ff388ded2.png"/><Relationship Id="rId50" Type="http://schemas.openxmlformats.org/officeDocument/2006/relationships/image" Target="media/8d37ec6dfd7b5ada41ed458b574790aaa33c10b0.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2026-10-01T10:20:48.290Z</dcterms:created>
  <dcterms:modified xsi:type="dcterms:W3CDTF">2026-10-01T10:20:48.291Z</dcterms:modified>
</cp:coreProperties>
</file>

<file path=docProps/custom.xml><?xml version="1.0" encoding="utf-8"?>
<Properties xmlns="http://schemas.openxmlformats.org/officeDocument/2006/custom-properties" xmlns:vt="http://schemas.openxmlformats.org/officeDocument/2006/docPropsVTypes"/>
</file>