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Authorization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18</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19</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26</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27</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30</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30</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31</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32</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32</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33</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35</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37</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40</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41</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43</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46</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46</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48</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52</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Authorization Workflow</w:t>
      </w:r>
      <w:r>
        <w:rPr>
          <w:rFonts w:ascii="Cambria" w:cs="Cambria" w:eastAsia="Cambria" w:hAnsi="Cambria"/>
          <w:sz w:val="22"/>
          <w:szCs w:val="22"/>
        </w:rPr>
        <w:t xml:space="preserve">	53</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56</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57</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62</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65</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65</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65</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67</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69</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69</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70</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70</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73</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74</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74</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75</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78</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79</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6.4.2 Procedure for Temporal and Lifecycle Validation</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6.4.3 Algorithm 4: Policy-Aware Access Decision</w:t>
      </w:r>
      <w:r>
        <w:rPr>
          <w:rFonts w:ascii="Cambria" w:cs="Cambria" w:eastAsia="Cambria" w:hAnsi="Cambria"/>
          <w:sz w:val="20"/>
          <w:szCs w:val="20"/>
        </w:rPr>
        <w:t xml:space="preserve">	84</w:t>
      </w:r>
    </w:p>
    <w:p>
      <w:pPr>
        <w:tabs>
          <w:tab w:val="right" w:pos="9360" w:leader="dot"/>
        </w:tabs>
        <w:spacing w:after="60"/>
        <w:ind w:left="720"/>
      </w:pPr>
      <w:r>
        <w:rPr>
          <w:rFonts w:ascii="Cambria" w:cs="Cambria" w:eastAsia="Cambria" w:hAnsi="Cambria"/>
          <w:b w:val="false"/>
          <w:bCs w:val="false"/>
          <w:sz w:val="20"/>
          <w:szCs w:val="20"/>
        </w:rPr>
        <w:t xml:space="preserve">6.4.4 Procedure for Policy-Aware Access Decision</w:t>
      </w:r>
      <w:r>
        <w:rPr>
          <w:rFonts w:ascii="Cambria" w:cs="Cambria" w:eastAsia="Cambria" w:hAnsi="Cambria"/>
          <w:sz w:val="20"/>
          <w:szCs w:val="20"/>
        </w:rPr>
        <w:t xml:space="preserve">	85</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88</w:t>
      </w:r>
    </w:p>
    <w:p>
      <w:pPr>
        <w:tabs>
          <w:tab w:val="right" w:pos="9360" w:leader="dot"/>
        </w:tabs>
        <w:spacing w:after="60"/>
        <w:ind w:left="720"/>
      </w:pPr>
      <w:r>
        <w:rPr>
          <w:rFonts w:ascii="Cambria" w:cs="Cambria" w:eastAsia="Cambria" w:hAnsi="Cambria"/>
          <w:b w:val="false"/>
          <w:bCs w:val="false"/>
          <w:sz w:val="20"/>
          <w:szCs w:val="20"/>
        </w:rPr>
        <w:t xml:space="preserve">6.5.2 Algorithm 5: Temporal and Lifecycle Validation</w:t>
      </w:r>
      <w:r>
        <w:rPr>
          <w:rFonts w:ascii="Cambria" w:cs="Cambria" w:eastAsia="Cambria" w:hAnsi="Cambria"/>
          <w:sz w:val="20"/>
          <w:szCs w:val="20"/>
        </w:rPr>
        <w:t xml:space="preserve">	89</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90</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91</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91</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96</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97</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100</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102</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103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103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103</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108</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val="false"/>
          <w:bCs w:val="false"/>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0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color w:val="000000"/>
          <w:sz w:val="24"/>
          <w:szCs w:val="24"/>
        </w:rPr>
        <w:t xml:space="preserve">The next stage will investigate formal security assurance, whereas empirical validation has now been undertaken on the implemented prototype.</w:t>
      </w:r>
    </w:p>
    <w:p>
      <w:pPr>
        <w:spacing w:after="140" w:line="300"/>
        <w:jc w:val="both"/>
      </w:pPr>
      <w:r>
        <w:rPr>
          <w:rFonts w:ascii="Cambria" w:cs="Cambria" w:eastAsia="Cambria" w:hAnsi="Cambria"/>
          <w:color w:val="000000"/>
          <w:sz w:val="24"/>
          <w:szCs w:val="24"/>
        </w:rPr>
        <w:t xml:space="preserve">The implemented prototype now maintains authorisation trust dynamically over time and has been validated through prototype-based experimentation. Consequently, the next stage will build upon these foundations by reasoning formally about the authorisation model under defined security assumptions.</w:t>
      </w:r>
    </w:p>
    <w:p>
      <w:pPr>
        <w:spacing w:after="140" w:line="300"/>
        <w:jc w:val="both"/>
      </w:pPr>
      <w:r>
        <w:rPr>
          <w:rFonts w:ascii="Cambria" w:cs="Cambria" w:eastAsia="Cambria" w:hAnsi="Cambria"/>
          <w:color w:val="000000"/>
          <w:sz w:val="24"/>
          <w:szCs w:val="24"/>
        </w:rPr>
        <w:t xml:space="preserve">The research has since extended this foundation towards dynamic trust management, and stronger formal security assurance remains the focus of the subsequent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The included studies span the years 2022 to 2026 and concentrate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[1, 2, 3, 7, 9, 11, 12, 13, 14, 21, 22, 24, 28, 31, 32] address the healthcare data sharing, consent, and access-control dimensions of the review, while references [4, 5, 10, 15, 16, 20, 23, 25, 27, 33]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decentralized identity, privacy-preserving access control, and auditability. The review was designed to establish the conceptual and technical foundations of the research and thus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authorization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(SLR) is guided by the following questions</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decentralized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 including 1) IEEE Xplore, 2) ACM Digital Library, 3) ScienceDirect, 4) SpringerLink, 5) PubMed, 6) Scopus; and 7) Web of Science.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decentralized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decentralized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3638550"/>
            <wp:effectExtent t="0" r="0" b="0" l="0"/>
            <wp:docPr id="1" name="gfig1.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38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2022 and 2026. The search was performed on August 2026. The search period was selected to capture the rapid development of multi-party trust healthcare data management, decentralized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decentralized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authorization,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 which summarizes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organized into thematic categories corresponding to the research questions. These categories included consent specification and management, decentralized identity and credential verification, authorization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authorization, auditable access records, and mechanisms for preserving patient autonomy.</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2"/>
        <w:spacing w:after="160" w:before="280"/>
      </w:pPr>
      <w:r>
        <w:t xml:space="preserve">2.3  Review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sz w:val="24"/>
          <w:szCs w:val="24"/>
        </w:rP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Requires further extension towards lifecycle trust, formal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color w:val="000000"/>
          <w:sz w:val="24"/>
          <w:szCs w:val="24"/>
        </w:rPr>
        <w:t xml:space="preserve">Lifecycle trust and empirical validation realised in the implemented prototype; formal security assurance requires further extension</w:t>
      </w: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r>
        <w:rPr>
          <w:rFonts w:ascii="Cambria" w:cs="Cambria" w:eastAsia="Cambria" w:hAnsi="Cambria"/>
          <w:color w:val="000000"/>
          <w:sz w:val="22"/>
          <w:szCs w:val="22"/>
        </w:rPr>
        <w:t xml:space="preserve">	(6)</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and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E represents the enforcement state recording whether the consent remains active or has been revoked.</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spacing w:after="140" w:line="300"/>
        <w:jc w:val="both"/>
      </w:pPr>
      <w:r>
        <w:rPr>
          <w:rFonts w:ascii="Cambria" w:cs="Cambria" w:eastAsia="Cambria" w:hAnsi="Cambria"/>
          <w:color w:val="000000"/>
          <w:sz w:val="24"/>
          <w:szCs w:val="24"/>
        </w:rPr>
        <w:t xml:space="preserve">In the implemented framework, N is instantiated as |G|, the number of designated guardians, such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0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000000"/>
          <w:sz w:val="24"/>
          <w:szCs w:val="24"/>
        </w:rPr>
        <w:t xml:space="preserve">summarised in Table 3 and Table 4.</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temporal validity, expiration, revocation, and controlled consent-state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color w:val="000000"/>
          <w:sz w:val="24"/>
          <w:szCs w:val="24"/>
        </w:rPr>
        <w:t xml:space="preserve">RO5_SCOPE_Temporal validity, expiration, revocation and controlled state transitions, enforced in the current prototype and anchored on-chain RO6_SCOPE_Formal analysis of the security properties (CA3), building upon the empirical negative and adversarial testing already performed with the HALAH prototype</w:t>
      </w: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r>
        <w:rPr>
          <w:rFonts w:ascii="Cambria" w:cs="Cambria" w:eastAsia="Cambria" w:hAnsi="Cambria"/>
          <w:color w:val="000000"/>
          <w:sz w:val="22"/>
          <w:szCs w:val="22"/>
        </w:rPr>
        <w:t xml:space="preserve">	(29)</w:t>
      </w:r>
    </w:p>
    <w:p>
      <w:pPr>
        <w:spacing w:after="140" w:line="300"/>
        <w:jc w:val="both"/>
      </w:pPr>
      <w:r>
        <w:rPr>
          <w:rFonts w:ascii="Cambria" w:cs="Cambria" w:eastAsia="Cambria" w:hAnsi="Cambria"/>
          <w:color w:val="0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3: Layered MVC Architecture and Component Decomposition of the HALAH Framework" title="Figure 3: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4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4: Functional Decomposition of the MVC Components" title="Figure 4: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5. 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VL (C), determines whether the consent remains in a valid lifecycle state. The integrated decision can therefore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Consequently, the corresponding component in Figure 5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5: Trust Predicate Evaluation and Authorisation Decision Flow" title="Figure 5: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following</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Authorization Workflow</w:t>
      </w:r>
    </w:p>
    <w:p>
      <w:pPr>
        <w:spacing w:after="140" w:line="300"/>
        <w:jc w:val="both"/>
      </w:pPr>
      <w:r>
        <w:rPr>
          <w:rFonts w:ascii="Cambria" w:cs="Cambria" w:eastAsia="Cambria" w:hAnsi="Cambria"/>
          <w:sz w:val="24"/>
          <w:szCs w:val="24"/>
        </w:rP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 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 Av denote the set of successfully verified approvals and let N denote the required authorization threshold. Multi-party authorization is satisfied when</w:t>
      </w:r>
    </w:p>
    <w:p>
      <w:pPr>
        <w:keepNext/>
        <w:spacing w:after="60" w:before="140"/>
        <w:jc w:val="center"/>
      </w:pPr>
      <w:r>
        <w:drawing>
          <wp:inline distT="0" distB="0" distL="0" distR="0">
            <wp:extent cx="4000500" cy="6181725"/>
            <wp:effectExtent t="0" r="0" b="0" l="0"/>
            <wp:docPr id="1" name="fig6.png" descr="Figure 6: End-to-End Workflow of Trust-Oriented Consent Authorization Framework" title="Figure 6: End-to-End Workflow of Trust-Oriented Consent Author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End-to-End Workflow of Trust-Oriented Consent Authorization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authorization process terminates with a denial decision. This prevents a single participant from unilaterally establishing authorization when the consent policy requires collective approval. When the authorization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authorization decision is therefore determined by the conjunction of identity and authority verification, multi-party authorization,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authorization threshold, and VP (C, R) represents compliance between the access request and the consent policy. If any of these conditions is false, the request is denied. Only when all required conditions are satisfied is healthcare data access granted. 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 that</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supports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investigate whether this core can maintain trust dynamically over time,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7: RO1 workflow for trust-centric consent creation" title="Figure 7: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RO1 workflow for trust-centric consent creation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id_C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16a: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8: RO2 workflow for decentralised identity and authority verification" title="Figure 8: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9: RO3 workflow for threshold-based multi-party authorisation" title="Figure 9: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sz w:val="21"/>
          <w:szCs w:val="21"/>
        </w:rPr>
        <w:t xml:space="preserve">Require: </w:t>
      </w:r>
      <w:r>
        <w:rPr>
          <w:rFonts w:ascii="Cambria" w:cs="Cambria" w:eastAsia="Cambria" w:hAnsi="Cambria"/>
          <w:strike/>
          <w:color w:val="808080"/>
          <w:sz w:val="21"/>
          <w:szCs w:val="21"/>
        </w:rPr>
        <w:t xml:space="preserve">Consent object C, participant approval a, threshold 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1a: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3: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4: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12: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19: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19a: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19b: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21: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current stage research on authorisation decision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0: RO4 workflow for policy- and context-aware access control" title="Figure 10: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RO4 workflow for policy- and context-aware access control</w:t>
      </w:r>
    </w:p>
    <w:p>
      <w:pPr>
        <w:pStyle w:val="Heading3"/>
        <w:spacing w:after="160" w:before="280"/>
      </w:pPr>
      <w:r>
        <w:t xml:space="preserve">6.4.2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VALID. If any mandatory condition fails, the procedure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6.4.3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25a: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25b: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27: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6.4.4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which means the requested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40" w:before="60"/>
      </w:pPr>
      <w:r>
        <w:rPr>
          <w:rFonts w:ascii="Cambria" w:cs="Cambria" w:eastAsia="Cambria" w:hAnsi="Cambria"/>
          <w:b/>
          <w:bCs/>
          <w:color w:val="000000"/>
          <w:sz w:val="18"/>
          <w:szCs w:val="18"/>
        </w:rPr>
        <w:t xml:space="preserve">[GENERATED ADDITION — Figure A, implemented consent lifecycle (companion to HALAH Implementation v1.3, Section 6)]</w:t>
      </w:r>
    </w:p>
    <w:p>
      <w:pPr>
        <w:keepNext/>
        <w:spacing w:after="60" w:before="140"/>
        <w:jc w:val="center"/>
      </w:pPr>
      <w:r>
        <w:drawing>
          <wp:inline distT="0" distB="0" distL="0" distR="0">
            <wp:extent cx="5715000" cy="2009775"/>
            <wp:effectExtent t="0" r="0" b="0" l="0"/>
            <wp:docPr id="1" name="lifecycle.png" descr="Figure A: The implemented consent lifecycle: every consent progresses through controlled states, and the activating and revoking transitions are anchored as verifiable Sepolia transactions (blocks 11,771,243 and 11,771,307)." title="Figure A: The implemented consent lifecycle: every consent progresses through controlled states, and the activating and revoking transitions are anchored as verifiable Sepolia transactions (blocks 11,771,243 and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A: The implemented consent lifecycle: every consent progresses through controlled states, and the activating and revoking transitions are anchored as verifiable Sepolia transactions (blocks 11,771,243 and 11,771,307).</w:t>
      </w:r>
    </w:p>
    <w:p>
      <w:pPr>
        <w:spacing w:after="140" w:line="300"/>
        <w:jc w:val="both"/>
      </w:pPr>
      <w:r>
        <w:rPr>
          <w:rFonts w:ascii="Cambria" w:cs="Cambria" w:eastAsia="Cambria" w:hAnsi="Cambria"/>
          <w:sz w:val="24"/>
          <w:szCs w:val="24"/>
        </w:rP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R) = 1 ⟺ Jur(R) = Jur(C) ∨ Jur(C) = ∅, 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1: RO5 planned workflow for temporal and consent lifecycle trust" title="Figure 11: RO5 planned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RO5 planned workflow for temporal and consent lifecycle trust</w:t>
      </w:r>
    </w:p>
    <w:p>
      <w:pPr>
        <w:spacing w:after="140" w:line="300"/>
        <w:jc w:val="both"/>
      </w:pPr>
      <w:r>
        <w:rPr>
          <w:rFonts w:ascii="Cambria" w:cs="Cambria" w:eastAsia="Cambria" w:hAnsi="Cambria"/>
          <w:sz w:val="24"/>
          <w:szCs w:val="24"/>
        </w:rPr>
        <w:t xml:space="preserve">Algorithm 5 extends the current stage works on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12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000000"/>
          <w:sz w:val="24"/>
          <w:szCs w:val="24"/>
        </w:rPr>
        <w:t xml:space="preserve">Decision(C, R)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2: RO6 planned workflow for formal security assurance and empirical validation" title="Figure 12: RO6 planned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RO6 planned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spacing w:after="140" w:line="300"/>
        <w:jc w:val="both"/>
      </w:pPr>
      <w:r>
        <w:rPr>
          <w:rFonts w:ascii="Cambria" w:cs="Cambria" w:eastAsia="Cambria" w:hAnsi="Cambria"/>
          <w:color w:val="000000"/>
          <w:sz w:val="24"/>
          <w:szCs w:val="24"/>
        </w:rPr>
        <w:t xml:space="preserve">Decision(C, R, t)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the implemented system enforces this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only as the historical current-stage formulation.</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color w:val="0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sz w:val="24"/>
          <w:szCs w:val="24"/>
        </w:rPr>
        <w:t xml:space="preserve">The consent lifecycle will also be extended to represent controlled transitions such as Specification → Verification → Approval → Active → Expiration/Revocation. The expected outcome is a lifecycle-aware consent mechanism capable of rejecting access after expiration or revocation and preventing unauthorised lifecycle transitions. This work will constitute a major component of next stage.</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(RQ1-RQ3)</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000000"/>
          <w:sz w:val="24"/>
          <w:szCs w:val="24"/>
        </w:rPr>
        <w:t xml:space="preserve">Status: Partially Completed.</w:t>
      </w:r>
    </w:p>
    <w:p>
      <w:pPr>
        <w:spacing w:after="140" w:line="300"/>
        <w:jc w:val="both"/>
      </w:pPr>
      <w:r>
        <w:rPr>
          <w:rFonts w:ascii="Cambria" w:cs="Cambria" w:eastAsia="Cambria" w:hAnsi="Cambria"/>
          <w:color w:val="0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Decentralised implementation and performance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evaluation (Chapter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Specialized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color w:val="000000"/>
          <w:sz w:val="24"/>
          <w:szCs w:val="24"/>
        </w:rPr>
        <w:t xml:space="preserve">Decentralised implementation and scenario-based validation complete on the Sepolia public testnet; performance evaluation outstanding. The paper’s empirical section can now draw upon the deployed contract, the two minted tokens and the verified transaction trail as delivered evidence.</w:t>
      </w: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second focus is formal security assurance.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third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and Lifecycle Trust
(Dynamic Consent States)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Trust Computing framework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 (generated)</w:t>
      </w:r>
    </w:p>
    <w:p>
      <w:pPr>
        <w:spacing w:after="140" w:line="300"/>
        <w:jc w:val="both"/>
      </w:pPr>
      <w:r>
        <w:rPr>
          <w:rFonts w:ascii="Cambria" w:cs="Cambria" w:eastAsia="Cambria" w:hAnsi="Cambria"/>
          <w:color w:val="000000"/>
          <w:sz w:val="24"/>
          <w:szCs w:val="24"/>
        </w:rPr>
        <w:t xml:space="preserve">Table A summarises how each formal artefact of this report is realised in the implemented HALAH v1.2 subsystem, as documented in the companion chapter HALAH Implementation v1.3,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§6.4 (next stage)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(Figure A)</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A: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2022.</w:t>
      </w:r>
    </w:p>
    <w:p>
      <w:pPr>
        <w:spacing w:after="140" w:line="300"/>
        <w:jc w:val="both"/>
      </w:pPr>
      <w:r>
        <w:rPr>
          <w:rFonts w:ascii="Cambria" w:cs="Cambria" w:eastAsia="Cambria" w:hAnsi="Cambria"/>
          <w:sz w:val="24"/>
          <w:szCs w:val="24"/>
        </w:rPr>
        <w:t xml:space="preserve">[4] Haotian Deng, Jinwen Liang, Chuan Zhang, Ximeng Liu, Liehuang Zhu, and Song Guo. Futuredid: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ucon-based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Digital health,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Glann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 </w:t>
      </w:r>
      <w:r>
        <w:rPr>
          <w:rFonts w:ascii="Cambria" w:cs="Cambria" w:eastAsia="Cambria" w:hAnsi="Cambria"/>
          <w:b w:val="false"/>
          <w:bCs w:val="false"/>
          <w:sz w:val="24"/>
          <w:szCs w:val="24"/>
        </w:rPr>
        <w:t xml:space="preserve">(volume/issue to be confirmed against the publisher's record)</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b w:val="false"/>
          <w:bCs w:val="false"/>
          <w:sz w:val="24"/>
          <w:szCs w:val="24"/>
        </w:rPr>
        <w:t xml:space="preserve">vol. 27,</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Andrei McCall. Privacy-preserving interoperability in healthcare data ecosystems: balancing data sharing with individual autonomy. </w:t>
      </w:r>
      <w:r>
        <w:rPr>
          <w:rFonts w:ascii="Cambria" w:cs="Cambria" w:eastAsia="Cambria" w:hAnsi="Cambria"/>
          <w:b w:val="false"/>
          <w:bCs w:val="false"/>
          <w:sz w:val="24"/>
          <w:szCs w:val="24"/>
        </w:rPr>
        <w:t xml:space="preserve">IEEE Journal of Biomedical and Health Informatics</w:t>
      </w:r>
      <w:r>
        <w:rPr>
          <w:rFonts w:ascii="Cambria" w:cs="Cambria" w:eastAsia="Cambria" w:hAnsi="Cambria"/>
          <w:sz w:val="24"/>
          <w:szCs w:val="24"/>
        </w:rPr>
        <w:t xml:space="preserve">, 28(3):1234–1245, 2024.</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2022.</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pages 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 (the source lists 2022; the article was published in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Dp-did: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3c62232b6ceb20480e68f424d7993b0e2f73d8.png"/><Relationship Id="rId9" Type="http://schemas.openxmlformats.org/officeDocument/2006/relationships/image" Target="media/d4fcae5448728df700f7fcb56b8fc5a1fc56fa7f.png"/><Relationship Id="rId10" Type="http://schemas.openxmlformats.org/officeDocument/2006/relationships/image" Target="media/2b536558d832546ec393dd67925c929dd6236fad.png"/><Relationship Id="rId11" Type="http://schemas.openxmlformats.org/officeDocument/2006/relationships/image" Target="media/e698f47fea018ba4e2802cc16cd6dfd9035c7463.png"/><Relationship Id="rId12" Type="http://schemas.openxmlformats.org/officeDocument/2006/relationships/image" Target="media/580bfb808c41b68f58dd6143da2bda07a4fdfcd6.png"/><Relationship Id="rId13" Type="http://schemas.openxmlformats.org/officeDocument/2006/relationships/image" Target="media/cfb68299954ed8f8f5e10a9a9db637b9bb1e6943.png"/><Relationship Id="rId14" Type="http://schemas.openxmlformats.org/officeDocument/2006/relationships/image" Target="media/afac86a350f9945eeb94b9ee246e19d29bb41335.png"/><Relationship Id="rId15" Type="http://schemas.openxmlformats.org/officeDocument/2006/relationships/image" Target="media/ee95cfbafdc45fc97602cba6ccc94f86e621b2e0.png"/><Relationship Id="rId16" Type="http://schemas.openxmlformats.org/officeDocument/2006/relationships/image" Target="media/8a0259851c9ce9543a4dd4e70fbf6ef776d64c4f.png"/><Relationship Id="rId17" Type="http://schemas.openxmlformats.org/officeDocument/2006/relationships/image" Target="media/751a1c2ff4c695ebcf2d04aee2d3822c664dbd66.png"/><Relationship Id="rId18" Type="http://schemas.openxmlformats.org/officeDocument/2006/relationships/image" Target="media/6b2eed335569e4023d73a2acfc049e4652246425.png"/><Relationship Id="rId19" Type="http://schemas.openxmlformats.org/officeDocument/2006/relationships/image" Target="media/fcbfc7caea7791f142b62cd810e09ae43c0a3029.png"/><Relationship Id="rId20" Type="http://schemas.openxmlformats.org/officeDocument/2006/relationships/image" Target="media/098992a49f33b5863197c094b0274b3a570ac6b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Authorization Framework for Multi-Party Patient Consent in Healthcare Data Sharing</dc:title>
  <dc:creator>Yasir Dhaifallah O Alyoubi</dc:creator>
  <cp:lastModifiedBy>Un-named</cp:lastModifiedBy>
  <cp:revision>1</cp:revision>
  <dcterms:created xsi:type="dcterms:W3CDTF">2026-09-25T09:08:48.688Z</dcterms:created>
  <dcterms:modified xsi:type="dcterms:W3CDTF">2026-09-25T09:08:48.688Z</dcterms:modified>
</cp:coreProperties>
</file>

<file path=docProps/custom.xml><?xml version="1.0" encoding="utf-8"?>
<Properties xmlns="http://schemas.openxmlformats.org/officeDocument/2006/custom-properties" xmlns:vt="http://schemas.openxmlformats.org/officeDocument/2006/docPropsVTypes"/>
</file>