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35.png" ContentType="image/png"/>
  <Override PartName="/word/media/rId139.png" ContentType="image/png"/>
  <Override PartName="/word/media/rId142.png" ContentType="image/png"/>
  <Override PartName="/word/media/rId146.png" ContentType="image/png"/>
  <Override PartName="/word/media/rId16.png" ContentType="image/png"/>
  <Override PartName="/word/media/rId86.png" ContentType="image/png"/>
  <Override PartName="/word/media/rId94.png" ContentType="image/png"/>
  <Override PartName="/word/media/rId101.png" ContentType="image/png"/>
  <Override PartName="/word/media/rId107.png" ContentType="image/png"/>
  <Override PartName="/word/media/rId116.png" ContentType="image/png"/>
  <Override PartName="/word/media/rId122.png" ContentType="image/png"/>
  <Override PartName="/word/media/rId154.png" ContentType="image/png"/>
  <Override PartName="/word/media/rId22.png" ContentType="image/png"/>
  <Override PartName="/word/media/rId58.png" ContentType="image/png"/>
  <Override PartName="/word/media/rId6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2"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BodyText"/>
      </w:pPr>
      <w: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[34].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[35]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[36]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w:t>
      </w:r>
      <w:r>
        <w:t xml:space="preserve"> </w:t>
      </w:r>
      <w:r>
        <w:rPr>
          <w:i/>
          <w:iCs/>
        </w:rPr>
        <w:t xml:space="preserve">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 Research Scope and Progression</w:t>
      </w:r>
    </w:p>
    <w:tbl>
      <w:tblPr>
        <w:tblStyle w:val="Table"/>
        <w:tblW w:type="pct" w:w="5000"/>
        <w:tblLayout w:type="fixed"/>
        <w:tblLook w:firstRow="1" w:lastRow="0" w:firstColumn="0" w:lastColumn="0" w:noHBand="0" w:noVBand="0" w:val="0020"/>
        <w:tblCaption w:val="Table 1: Research Scope and Progression"/>
      </w:tblPr>
      <w:tblGrid>
        <w:gridCol w:w="1092"/>
        <w:gridCol w:w="2093"/>
        <w:gridCol w:w="473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Modelling</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Authorisation</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End w:id="12"/>
    <w:bookmarkStart w:id="38" w:name="systematic-literature-review"/>
    <w:p>
      <w:pPr>
        <w:pStyle w:val="Heading1"/>
      </w:pPr>
      <w:r>
        <w:t xml:space="preserve">2 Systematic Literature Review</w:t>
      </w:r>
    </w:p>
    <w:bookmarkStart w:id="13" w:name="overview"/>
    <w:p>
      <w:pPr>
        <w:pStyle w:val="Heading2"/>
      </w:pPr>
      <w:r>
        <w:t xml:space="preserve">2.1 Overview</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bookmarkEnd w:id="13"/>
    <w:bookmarkStart w:id="28" w:name="systematic-literature-review-methodology"/>
    <w:p>
      <w:pPr>
        <w:pStyle w:val="Heading2"/>
      </w:pPr>
      <w:r>
        <w:t xml:space="preserve">2.2 Systematic Literature Review Methodology</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2.2.1–2.2.8, and the resulting study selection is summarised in Figure 2.</w:t>
      </w:r>
    </w:p>
    <w:bookmarkStart w:id="14" w:name="review-design-and-reporting-framework"/>
    <w:p>
      <w:pPr>
        <w:pStyle w:val="Heading3"/>
      </w:pPr>
      <w:r>
        <w:t xml:space="preserve">2.2.1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2.2.8.</w:t>
      </w:r>
    </w:p>
    <w:bookmarkEnd w:id="14"/>
    <w:bookmarkStart w:id="15" w:name="questions-for-review"/>
    <w:p>
      <w:pPr>
        <w:pStyle w:val="Heading3"/>
      </w:pPr>
      <w:r>
        <w:t xml:space="preserve">2.2.2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5"/>
    <w:bookmarkStart w:id="19" w:name="search-databases-and-search-strategy"/>
    <w:p>
      <w:pPr>
        <w:pStyle w:val="Heading3"/>
      </w:pPr>
      <w:r>
        <w:t xml:space="preserve">2.2.3 Search Databases and Search Strategy</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1.</w:t>
      </w:r>
    </w:p>
    <w:p>
      <w:pPr>
        <w:pStyle w:val="CaptionedFigure"/>
      </w:pPr>
      <w:r>
        <w:drawing>
          <wp:inline>
            <wp:extent cx="5465445" cy="3370858"/>
            <wp:effectExtent b="0" l="0" r="0" t="0"/>
            <wp:docPr descr="Figure 1: SLR Search String Definition" title="" id="17" name="Picture"/>
            <a:graphic>
              <a:graphicData uri="http://schemas.openxmlformats.org/drawingml/2006/picture">
                <pic:pic>
                  <pic:nvPicPr>
                    <pic:cNvPr descr="media/fig01.png" id="18" name="Picture"/>
                    <pic:cNvPicPr>
                      <a:picLocks noChangeArrowheads="1" noChangeAspect="1"/>
                    </pic:cNvPicPr>
                  </pic:nvPicPr>
                  <pic:blipFill>
                    <a:blip r:embed="rId16"/>
                    <a:stretch>
                      <a:fillRect/>
                    </a:stretch>
                  </pic:blipFill>
                  <pic:spPr bwMode="auto">
                    <a:xfrm>
                      <a:off x="0" y="0"/>
                      <a:ext cx="5465445" cy="3370858"/>
                    </a:xfrm>
                    <a:prstGeom prst="rect">
                      <a:avLst/>
                    </a:prstGeom>
                    <a:noFill/>
                    <a:ln w="9525">
                      <a:noFill/>
                      <a:headEnd/>
                      <a:tailEnd/>
                    </a:ln>
                  </pic:spPr>
                </pic:pic>
              </a:graphicData>
            </a:graphic>
          </wp:inline>
        </w:drawing>
      </w:r>
    </w:p>
    <w:p>
      <w:pPr>
        <w:pStyle w:val="ImageCaption"/>
      </w:pPr>
      <w:r>
        <w:t xml:space="preserve">Figure 1: SLR Search String Definition</w:t>
      </w:r>
    </w:p>
    <w:bookmarkEnd w:id="19"/>
    <w:bookmarkStart w:id="20" w:name="search-period-and-search-execution"/>
    <w:p>
      <w:pPr>
        <w:pStyle w:val="Heading3"/>
      </w:pPr>
      <w:r>
        <w:t xml:space="preserve">2.2.4 Search Period and Search Execution</w:t>
      </w:r>
    </w:p>
    <w:p>
      <w:pPr>
        <w:pStyle w:val="FirstParagraph"/>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bookmarkEnd w:id="20"/>
    <w:bookmarkStart w:id="21" w:name="eligibility-criteria"/>
    <w:p>
      <w:pPr>
        <w:pStyle w:val="Heading3"/>
      </w:pPr>
      <w:r>
        <w:t xml:space="preserve">2.2.5 Eligibility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2.2.4.</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bookmarkEnd w:id="21"/>
    <w:bookmarkStart w:id="25" w:name="screening-and-study-selection"/>
    <w:p>
      <w:pPr>
        <w:pStyle w:val="Heading3"/>
      </w:pPr>
      <w:r>
        <w:t xml:space="preserve">2.2.6 Screening and Study Selection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753100" cy="3074679"/>
            <wp:effectExtent b="0" l="0" r="0" t="0"/>
            <wp:docPr descr="Figure 2: PRISMA Study Selection Summary" title="" id="23" name="Picture"/>
            <a:graphic>
              <a:graphicData uri="http://schemas.openxmlformats.org/drawingml/2006/picture">
                <pic:pic>
                  <pic:nvPicPr>
                    <pic:cNvPr descr="media_col/fig02.png" id="24" name="Picture"/>
                    <pic:cNvPicPr>
                      <a:picLocks noChangeArrowheads="1" noChangeAspect="1"/>
                    </pic:cNvPicPr>
                  </pic:nvPicPr>
                  <pic:blipFill>
                    <a:blip r:embed="rId22"/>
                    <a:stretch>
                      <a:fillRect/>
                    </a:stretch>
                  </pic:blipFill>
                  <pic:spPr bwMode="auto">
                    <a:xfrm>
                      <a:off x="0" y="0"/>
                      <a:ext cx="5753100" cy="3074679"/>
                    </a:xfrm>
                    <a:prstGeom prst="rect">
                      <a:avLst/>
                    </a:prstGeom>
                    <a:noFill/>
                    <a:ln w="9525">
                      <a:noFill/>
                      <a:headEnd/>
                      <a:tailEnd/>
                    </a:ln>
                  </pic:spPr>
                </pic:pic>
              </a:graphicData>
            </a:graphic>
          </wp:inline>
        </w:drawing>
      </w:r>
    </w:p>
    <w:p>
      <w:pPr>
        <w:pStyle w:val="ImageCaption"/>
      </w:pPr>
      <w:r>
        <w:t xml:space="preserve">Figure 2: PRISMA Study Selection Summary</w:t>
      </w:r>
    </w:p>
    <w:p>
      <w:pPr>
        <w:pStyle w:val="BodyText"/>
      </w:pPr>
      <w:r>
        <w:t xml:space="preserve">Figure 2 presents the PRISMA flow diagram for this review, prepared following PRISMA 2020 [37], which summarises the identification, screening, eligibility, and inclusion stages of the SLR. The final number of included studies was derived after completing the screening and eligibility assessment across the identified literature base.</w:t>
      </w:r>
    </w:p>
    <w:bookmarkEnd w:id="25"/>
    <w:bookmarkStart w:id="26" w:name="data-extraction-and-synthesis"/>
    <w:p>
      <w:pPr>
        <w:pStyle w:val="Heading3"/>
      </w:pPr>
      <w:r>
        <w:t xml:space="preserve">2.2.7 Data Extraction and Synthesis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bookmarkEnd w:id="26"/>
    <w:bookmarkStart w:id="27" w:name="quality-assessment"/>
    <w:p>
      <w:pPr>
        <w:pStyle w:val="Heading3"/>
      </w:pPr>
      <w:r>
        <w:t xml:space="preserve">2.2.8 Quality Assessment</w:t>
      </w:r>
    </w:p>
    <w:p>
      <w:pPr>
        <w:pStyle w:val="FirstParagraph"/>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 The 125 records identified comprised IEEE Xplore [n], ACM Digital Library [n], ScienceDirect [n], SpringerLink [n], PubMed [n], Scopus [n] and Web of Science [n].</w:t>
      </w:r>
    </w:p>
    <w:bookmarkEnd w:id="27"/>
    <w:bookmarkEnd w:id="28"/>
    <w:bookmarkStart w:id="36" w:name="review"/>
    <w:p>
      <w:pPr>
        <w:pStyle w:val="Heading2"/>
      </w:pPr>
      <w:r>
        <w:t xml:space="preserve">2.3 Review</w:t>
      </w:r>
    </w:p>
    <w:p>
      <w:pPr>
        <w:pStyle w:val="FirstParagraph"/>
      </w:pPr>
      <w:r>
        <w:t xml:space="preserve">This section analyses each of the research streams introduced in Section 2.1 in turn.</w:t>
      </w:r>
    </w:p>
    <w:bookmarkStart w:id="29" w:name="Xf0d39a1e46bef7b65f013535e5ed0149354ae05"/>
    <w:p>
      <w:pPr>
        <w:pStyle w:val="Heading3"/>
      </w:pPr>
      <w:r>
        <w:t xml:space="preserve">2.3.1 Healthcare Consent and Decentralised Data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bookmarkEnd w:id="29"/>
    <w:bookmarkStart w:id="30" w:name="X2a81d1017ab362264ba053931c582f4a6c34161"/>
    <w:p>
      <w:pPr>
        <w:pStyle w:val="Heading3"/>
      </w:pPr>
      <w:r>
        <w:t xml:space="preserve">2.3.2 Blockchain-Based Consent and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pStyle w:val="BodyText"/>
      </w:pPr>
      <w: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bookmarkEnd w:id="30"/>
    <w:bookmarkStart w:id="31" w:name="Xce8374abd25737680a0ea224e7b0673254898a7"/>
    <w:p>
      <w:pPr>
        <w:pStyle w:val="Heading3"/>
      </w:pPr>
      <w:r>
        <w:t xml:space="preserve">2.3.3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bookmarkEnd w:id="31"/>
    <w:bookmarkStart w:id="32" w:name="X3a5b3d1d0a9f1be36ba29fe34578e9369c010e5"/>
    <w:p>
      <w:pPr>
        <w:pStyle w:val="Heading3"/>
      </w:pPr>
      <w:r>
        <w:t xml:space="preserve">2.3.4 Multi-Party Authorisation and Collaborative Consent</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bookmarkEnd w:id="32"/>
    <w:bookmarkStart w:id="33" w:name="Xbcf1c150ceed73ca1d49c8591d5085e7f71fea1"/>
    <w:p>
      <w:pPr>
        <w:pStyle w:val="Heading3"/>
      </w:pPr>
      <w:r>
        <w:t xml:space="preserve">2.3.5 Policy-Based and Context-Aware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w:r>
        <w:t xml:space="preserve"> </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w:r>
        <w:t xml:space="preserve"> </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bookmarkEnd w:id="33"/>
    <w:bookmarkStart w:id="34" w:name="X70697d1bf80033494359f9b6207e02cd31d6057"/>
    <w:p>
      <w:pPr>
        <w:pStyle w:val="Heading3"/>
      </w:pPr>
      <w:r>
        <w:t xml:space="preserve">2.3.6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bookmarkEnd w:id="34"/>
    <w:bookmarkStart w:id="35" w:name="X825064b2f9c6a59f6907e485e5a8e31c4a70bee"/>
    <w:p>
      <w:pPr>
        <w:pStyle w:val="Heading3"/>
      </w:pPr>
      <w:r>
        <w:t xml:space="preserve">2.3.7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 summarises the principal focus and limitations of the major research streams and positions the proposed framework relative to the existing literature.</w:t>
      </w:r>
    </w:p>
    <w:p>
      <w:pPr>
        <w:pStyle w:val="TableCaption"/>
      </w:pPr>
      <w:r>
        <w:t xml:space="preserve">Table 2: Comparison of Existing Research Approaches and the Proposed Framework</w:t>
      </w:r>
    </w:p>
    <w:tbl>
      <w:tblPr>
        <w:tblStyle w:val="Table"/>
        <w:tblW w:type="pct" w:w="5000"/>
        <w:tblLayout w:type="fixed"/>
        <w:tblLook w:firstRow="1" w:lastRow="0" w:firstColumn="0" w:lastColumn="0" w:noHBand="0" w:noVBand="0" w:val="0020"/>
        <w:tblCaption w:val="Table 2: Comparison of Existing Research Approaches and the Proposed Framework"/>
      </w:tblPr>
      <w:tblGrid>
        <w:gridCol w:w="1584"/>
        <w:gridCol w:w="2006"/>
        <w:gridCol w:w="2534"/>
        <w:gridCol w:w="179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8, 26, 29, 30]</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9, 19, 21]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[17, 18, 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synthesis-and-research-gap"/>
    <w:p>
      <w:pPr>
        <w:pStyle w:val="Heading2"/>
      </w:pPr>
      <w:r>
        <w:t xml:space="preserve">2.4 Synthesis and Research Gap</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End w:id="38"/>
    <w:bookmarkStart w:id="49" w:name="research-gaps-and-questions"/>
    <w:p>
      <w:pPr>
        <w:pStyle w:val="Heading1"/>
      </w:pPr>
      <w:r>
        <w:t xml:space="preserve">3 Research Gaps and Questions</w:t>
      </w:r>
    </w:p>
    <w:bookmarkStart w:id="39"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39"/>
    <w:bookmarkStart w:id="40"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0"/>
    <w:bookmarkStart w:id="47"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1"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1"/>
    <w:bookmarkStart w:id="42"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2"/>
    <w:bookmarkStart w:id="43"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3"/>
    <w:bookmarkStart w:id="44"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 </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44"/>
    <w:bookmarkStart w:id="45"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rPr>
          <w:i/>
          <w:iCs/>
        </w:rPr>
        <w:t xml:space="preserve">, 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45"/>
    <w:bookmarkStart w:id="46"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[38]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46"/>
    <w:bookmarkEnd w:id="47"/>
    <w:bookmarkStart w:id="48"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 </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connects user-facing trust with back-end system security.</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48"/>
    <w:bookmarkEnd w:id="49"/>
    <w:bookmarkStart w:id="57"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0"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0"/>
    <w:bookmarkStart w:id="51"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1"/>
    <w:bookmarkStart w:id="52"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2"/>
    <w:bookmarkStart w:id="53"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3"/>
    <w:bookmarkStart w:id="54"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54"/>
    <w:bookmarkStart w:id="55"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55"/>
    <w:bookmarkStart w:id="56"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3 and Table 4.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3: Research Questions, Research Objectives, and Thesis Chapters for Current Stage</w:t>
      </w:r>
    </w:p>
    <w:tbl>
      <w:tblPr>
        <w:tblStyle w:val="Table"/>
        <w:tblW w:type="pct" w:w="5000"/>
        <w:tblLayout w:type="fixed"/>
        <w:tblLook w:firstRow="1" w:lastRow="0" w:firstColumn="0" w:lastColumn="0" w:noHBand="0" w:noVBand="0" w:val="0020"/>
        <w:tblCaption w:val="Table 3: Research Questions, Research Objectives, and Thesis Chapters for Current Stage"/>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 Research Questions, Research Objectives, and Thesis Chapters (continued: RQ4 current stage; RQ5–RQ6 CA3)</w:t>
      </w:r>
    </w:p>
    <w:tbl>
      <w:tblPr>
        <w:tblStyle w:val="Table"/>
        <w:tblW w:type="pct" w:w="5000"/>
        <w:tblLayout w:type="fixed"/>
        <w:tblLook w:firstRow="1" w:lastRow="0" w:firstColumn="0" w:lastColumn="0" w:noHBand="0" w:noVBand="0" w:val="0020"/>
        <w:tblCaption w:val="Table 4: Research Questions, Research Objectives, and Thesis Chapters (continued: RQ4 current stage; RQ5–RQ6 CA3)"/>
      </w:tblPr>
      <w:tblGrid>
        <w:gridCol w:w="770"/>
        <w:gridCol w:w="2090"/>
        <w:gridCol w:w="3960"/>
        <w:gridCol w:w="110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r>
        <w:t xml:space="preserve"> </w:t>
      </w:r>
      <w:r>
        <w:t xml:space="preserve"> </w:t>
      </w:r>
      <w:r>
        <w:t xml:space="preserve"> </w:t>
      </w:r>
      <w:r>
        <w:t xml:space="preserve">where</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 research on dynamic trust, formal assurance, and comprehensive validation.</w:t>
      </w:r>
    </w:p>
    <w:bookmarkEnd w:id="56"/>
    <w:bookmarkEnd w:id="57"/>
    <w:bookmarkStart w:id="85"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w:t>
      </w:r>
      <w:r>
        <w:t xml:space="preserve"> </w:t>
      </w:r>
      <w:r>
        <w:rPr>
          <w:i/>
          <w:iCs/>
        </w:rPr>
        <w:t xml:space="preserve">interact with it</w:t>
      </w:r>
      <w:r>
        <w:t xml:space="preserve">, and</w:t>
      </w:r>
      <w:r>
        <w:t xml:space="preserve"> </w:t>
      </w:r>
      <w:r>
        <w:rPr>
          <w:i/>
          <w:iCs/>
        </w:rPr>
        <w:t xml:space="preserve">how trust is enforced</w:t>
      </w:r>
      <w:r>
        <w:t xml:space="preserve">.</w:t>
      </w:r>
    </w:p>
    <w:bookmarkStart w:id="71"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w:t>
      </w:r>
      <w:r>
        <w:t xml:space="preserve"> </w:t>
      </w:r>
      <w:r>
        <w:rPr>
          <w:i/>
          <w:iCs/>
        </w:rPr>
        <w:t xml:space="preserve">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753100" cy="5876720"/>
            <wp:effectExtent b="0" l="0" r="0" t="0"/>
            <wp:docPr descr="Figure 3: Layered MVC Architecture and Component Decomposition of the HALAH Framework" title="" id="59" name="Picture"/>
            <a:graphic>
              <a:graphicData uri="http://schemas.openxmlformats.org/drawingml/2006/picture">
                <pic:pic>
                  <pic:nvPicPr>
                    <pic:cNvPr descr="media_col/fig03.png" id="60" name="Picture"/>
                    <pic:cNvPicPr>
                      <a:picLocks noChangeArrowheads="1" noChangeAspect="1"/>
                    </pic:cNvPicPr>
                  </pic:nvPicPr>
                  <pic:blipFill>
                    <a:blip r:embed="rId58"/>
                    <a:stretch>
                      <a:fillRect/>
                    </a:stretch>
                  </pic:blipFill>
                  <pic:spPr bwMode="auto">
                    <a:xfrm>
                      <a:off x="0" y="0"/>
                      <a:ext cx="5753100" cy="5876720"/>
                    </a:xfrm>
                    <a:prstGeom prst="rect">
                      <a:avLst/>
                    </a:prstGeom>
                    <a:noFill/>
                    <a:ln w="9525">
                      <a:noFill/>
                      <a:headEnd/>
                      <a:tailEnd/>
                    </a:ln>
                  </pic:spPr>
                </pic:pic>
              </a:graphicData>
            </a:graphic>
          </wp:inline>
        </w:drawing>
      </w:r>
    </w:p>
    <w:p>
      <w:pPr>
        <w:pStyle w:val="ImageCaption"/>
      </w:pPr>
      <w:r>
        <w:t xml:space="preserve">Figure 3: Layered MVC Architecture and Component Decomposition of the HALAH Framework</w:t>
      </w:r>
    </w:p>
    <w:bookmarkStart w:id="64"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753100" cy="3155240"/>
            <wp:effectExtent b="0" l="0" r="0" t="0"/>
            <wp:docPr descr="Figure 4: Functional Decomposition of the MVC Components" title="" id="62" name="Picture"/>
            <a:graphic>
              <a:graphicData uri="http://schemas.openxmlformats.org/drawingml/2006/picture">
                <pic:pic>
                  <pic:nvPicPr>
                    <pic:cNvPr descr="media_col/fig04.png" id="63" name="Picture"/>
                    <pic:cNvPicPr>
                      <a:picLocks noChangeArrowheads="1" noChangeAspect="1"/>
                    </pic:cNvPicPr>
                  </pic:nvPicPr>
                  <pic:blipFill>
                    <a:blip r:embed="rId61"/>
                    <a:stretch>
                      <a:fillRect/>
                    </a:stretch>
                  </pic:blipFill>
                  <pic:spPr bwMode="auto">
                    <a:xfrm>
                      <a:off x="0" y="0"/>
                      <a:ext cx="5753100" cy="3155240"/>
                    </a:xfrm>
                    <a:prstGeom prst="rect">
                      <a:avLst/>
                    </a:prstGeom>
                    <a:noFill/>
                    <a:ln w="9525">
                      <a:noFill/>
                      <a:headEnd/>
                      <a:tailEnd/>
                    </a:ln>
                  </pic:spPr>
                </pic:pic>
              </a:graphicData>
            </a:graphic>
          </wp:inline>
        </w:drawing>
      </w:r>
    </w:p>
    <w:p>
      <w:pPr>
        <w:pStyle w:val="ImageCaption"/>
      </w:pPr>
      <w:r>
        <w:t xml:space="preserve">Figure 4: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w:t>
      </w:r>
      <w:r>
        <w:t xml:space="preserve"> </w:t>
      </w:r>
      <w:r>
        <w:rPr>
          <w:i/>
          <w:iCs/>
        </w:rPr>
        <w:t xml:space="preserve">Engine</w:t>
      </w:r>
      <w:r>
        <w:t xml:space="preserve"> </w:t>
      </w:r>
      <w:r>
        <w:t xml:space="preserve">combines the resulting predicates into the final authorisation decision. Finally,</w:t>
      </w:r>
      <w:r>
        <w:t xml:space="preserve"> </w:t>
      </w:r>
      <w:r>
        <w:rPr>
          <w:i/>
          <w:iCs/>
        </w:rPr>
        <w:t xml:space="preserve">Audit</w:t>
      </w:r>
      <w:r>
        <w:t xml:space="preserve"> </w:t>
      </w:r>
      <w:r>
        <w:rPr>
          <w:i/>
          <w:iCs/>
        </w:rPr>
        <w:t xml:space="preserve">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64"/>
    <w:bookmarkStart w:id="68"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w:t>
      </w:r>
    </w:p>
    <w:p>
      <w:pPr>
        <w:pStyle w:val="BodyText"/>
      </w:pPr>
      <w:r>
        <w:t xml:space="preserve">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 </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BodyText"/>
      </w:pPr>
      <w:r>
        <w:t xml:space="preserve"> </w:t>
      </w:r>
    </w:p>
    <w:p>
      <w:pPr>
        <w:pStyle w:val="CaptionedFigure"/>
      </w:pPr>
      <w:r>
        <w:drawing>
          <wp:inline>
            <wp:extent cx="3419856" cy="7671897"/>
            <wp:effectExtent b="0" l="0" r="0" t="0"/>
            <wp:docPr descr="Figure 5: Trust Predicate Evaluation and Authorisation Decision Flow" title="" id="66" name="Picture"/>
            <a:graphic>
              <a:graphicData uri="http://schemas.openxmlformats.org/drawingml/2006/picture">
                <pic:pic>
                  <pic:nvPicPr>
                    <pic:cNvPr descr="media_col/fig05.png" id="67" name="Picture"/>
                    <pic:cNvPicPr>
                      <a:picLocks noChangeArrowheads="1" noChangeAspect="1"/>
                    </pic:cNvPicPr>
                  </pic:nvPicPr>
                  <pic:blipFill>
                    <a:blip r:embed="rId65"/>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68"/>
    <w:bookmarkStart w:id="69"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69"/>
    <w:bookmarkStart w:id="70"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0"/>
    <w:bookmarkEnd w:id="71"/>
    <w:bookmarkStart w:id="75" w:name="X558a2b42e7f558743af400a9676e37558071ee0"/>
    <w:p>
      <w:pPr>
        <w:pStyle w:val="Heading2"/>
      </w:pPr>
      <w:r>
        <w:t xml:space="preserve">5.2 Trust-Oriented Consent Authorisation Workflow</w:t>
      </w:r>
    </w:p>
    <w:p>
      <w:pPr>
        <w:pStyle w:val="FirstParagraph"/>
      </w:pPr>
      <w:r>
        <w:t xml:space="preserve">Figure 6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6: End-to-End Workflow of Trust-Oriented Consent Authorisation Framework" title="" id="73" name="Picture"/>
            <a:graphic>
              <a:graphicData uri="http://schemas.openxmlformats.org/drawingml/2006/picture">
                <pic:pic>
                  <pic:nvPicPr>
                    <pic:cNvPr descr="media_col/fig06.png" id="74" name="Picture"/>
                    <pic:cNvPicPr>
                      <a:picLocks noChangeArrowheads="1" noChangeAspect="1"/>
                    </pic:cNvPicPr>
                  </pic:nvPicPr>
                  <pic:blipFill>
                    <a:blip r:embed="rId72"/>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6: End-to-End Workflow of Trust-Oriented Consent Authorisation Framework</w:t>
      </w:r>
    </w:p>
    <w:p>
      <w:pPr>
        <w:pStyle w:val="BodyText"/>
      </w:pPr>
      <w:r>
        <w:t xml:space="preserve"> </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 </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r>
        <w:t xml:space="preserve"> </w:t>
      </w:r>
      <w:r>
        <w:t xml:space="preserve"> </w:t>
      </w:r>
      <w:r>
        <w:t xml:space="preserve"> </w:t>
      </w: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75"/>
    <w:bookmarkStart w:id="76"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 </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exceeds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76"/>
    <w:bookmarkStart w:id="77"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w:t>
      </w:r>
      <w:r>
        <w:t xml:space="preserve"> </w:t>
      </w:r>
      <w:r>
        <w:rPr>
          <w:i/>
          <w:iCs/>
        </w:rPr>
        <w:t xml:space="preserve">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77"/>
    <w:bookmarkStart w:id="78"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r>
        <w:t xml:space="preserve"> </w:t>
      </w:r>
      <w:r>
        <w:t xml:space="preserve"> </w:t>
      </w:r>
      <w:r>
        <w:t xml:space="preserve"> </w:t>
      </w: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 </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 </w:t>
      </w:r>
    </w:p>
    <w:p>
      <w:pPr>
        <w:pStyle w:val="BodyText"/>
      </w:pPr>
      <w:r>
        <w:t xml:space="preserve">The overall current stage authorisation decision is therefore determined by the conjunction of the foundational trust conditions in Eq. (6).</w:t>
      </w:r>
    </w:p>
    <w:p>
      <w:pPr>
        <w:pStyle w:val="BodyText"/>
      </w:pPr>
      <w:r>
        <w:t xml:space="preserve"> </w:t>
      </w:r>
    </w:p>
    <w:p>
      <w:pPr>
        <w:pStyle w:val="BodyText"/>
      </w:pPr>
      <w:r>
        <w:t xml:space="preserve"> </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78"/>
    <w:bookmarkStart w:id="79"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79"/>
    <w:bookmarkStart w:id="80"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w:t>
      </w:r>
      <w:r>
        <w:t xml:space="preserve"> </w:t>
      </w:r>
      <w:r>
        <w:rPr>
          <w:i/>
          <w:iCs/>
        </w:rPr>
        <w:t xml:space="preserve">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 </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0"/>
    <w:bookmarkStart w:id="81"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1"/>
    <w:bookmarkStart w:id="82"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collective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decision accountability</w:t>
      </w:r>
      <w:r>
        <w:t xml:space="preserve">. The system maintains evidence concerning the conditions that produced an authorisation decision, thereby supporting auditing and subsequent verification. These properties can be summarised as shown in Table 5.</w:t>
      </w:r>
    </w:p>
    <w:bookmarkEnd w:id="82"/>
    <w:bookmarkStart w:id="83"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3"/>
    <w:bookmarkStart w:id="84"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 Security Properties Supported by the Proposed MVC-Based Consent Architecture</w:t>
      </w:r>
    </w:p>
    <w:tbl>
      <w:tblPr>
        <w:tblStyle w:val="Table"/>
        <w:tblW w:type="pct" w:w="5000"/>
        <w:tblLayout w:type="fixed"/>
        <w:tblLook w:firstRow="1" w:lastRow="0" w:firstColumn="0" w:lastColumn="0" w:noHBand="0" w:noVBand="0" w:val="0020"/>
        <w:tblCaption w:val="Table 5: Security Properties Supported by the Proposed MVC-Based Consent Architecture"/>
      </w:tblPr>
      <w:tblGrid>
        <w:gridCol w:w="1680"/>
        <w:gridCol w:w="2880"/>
        <w:gridCol w:w="336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6: Mapping Between Research Objectives and MVC Components</w:t>
      </w:r>
    </w:p>
    <w:tbl>
      <w:tblPr>
        <w:tblStyle w:val="Table"/>
        <w:tblW w:type="pct" w:w="5000"/>
        <w:tblLayout w:type="fixed"/>
        <w:tblLook w:firstRow="1" w:lastRow="0" w:firstColumn="0" w:lastColumn="0" w:noHBand="0" w:noVBand="0" w:val="0020"/>
        <w:tblCaption w:val="Table 6: Mapping Between Research Objectives and MVC Components"/>
      </w:tblPr>
      <w:tblGrid>
        <w:gridCol w:w="1357"/>
        <w:gridCol w:w="1697"/>
        <w:gridCol w:w="1810"/>
        <w:gridCol w:w="30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84"/>
    <w:bookmarkEnd w:id="85"/>
    <w:bookmarkStart w:id="129" w:name="proposed-solution"/>
    <w:p>
      <w:pPr>
        <w:pStyle w:val="Heading1"/>
      </w:pPr>
      <w:r>
        <w:t xml:space="preserve">6 Proposed Solution</w:t>
      </w:r>
    </w:p>
    <w:bookmarkStart w:id="92"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r>
        <w:t xml:space="preserve"> </w:t>
      </w:r>
      <w:r>
        <w:t xml:space="preserve"> </w:t>
      </w:r>
      <w:r>
        <w:t xml:space="preserve"> </w:t>
      </w:r>
      <w:r>
        <w:t xml:space="preserve">where</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89" w:name="ro1-consent-creation-workflow"/>
    <w:p>
      <w:pPr>
        <w:pStyle w:val="Heading3"/>
      </w:pPr>
      <w:r>
        <w:t xml:space="preserve">6.1.1 RO1 Consent Creation Workflow</w:t>
      </w:r>
    </w:p>
    <w:p>
      <w:pPr>
        <w:pStyle w:val="FirstParagraph"/>
      </w:pPr>
      <w:r>
        <w:t xml:space="preserve">The following workflow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13 (Section 7.2). The implementation also collects the start and expiry time of the consent.</w:t>
      </w:r>
    </w:p>
    <w:p>
      <w:pPr>
        <w:pStyle w:val="CaptionedFigure"/>
      </w:pPr>
      <w:r>
        <w:drawing>
          <wp:inline>
            <wp:extent cx="3913632" cy="7680896"/>
            <wp:effectExtent b="0" l="0" r="0" t="0"/>
            <wp:docPr descr="Figure 7: RO1 workflow for trust-centric consent creation" title="" id="87" name="Picture"/>
            <a:graphic>
              <a:graphicData uri="http://schemas.openxmlformats.org/drawingml/2006/picture">
                <pic:pic>
                  <pic:nvPicPr>
                    <pic:cNvPr descr="media_bw/fig07.png" id="88" name="Picture"/>
                    <pic:cNvPicPr>
                      <a:picLocks noChangeArrowheads="1" noChangeAspect="1"/>
                    </pic:cNvPicPr>
                  </pic:nvPicPr>
                  <pic:blipFill>
                    <a:blip r:embed="rId86"/>
                    <a:stretch>
                      <a:fillRect/>
                    </a:stretch>
                  </pic:blipFill>
                  <pic:spPr bwMode="auto">
                    <a:xfrm>
                      <a:off x="0" y="0"/>
                      <a:ext cx="3913632" cy="7680896"/>
                    </a:xfrm>
                    <a:prstGeom prst="rect">
                      <a:avLst/>
                    </a:prstGeom>
                    <a:noFill/>
                    <a:ln w="9525">
                      <a:noFill/>
                      <a:headEnd/>
                      <a:tailEnd/>
                    </a:ln>
                  </pic:spPr>
                </pic:pic>
              </a:graphicData>
            </a:graphic>
          </wp:inline>
        </w:drawing>
      </w:r>
    </w:p>
    <w:p>
      <w:pPr>
        <w:pStyle w:val="ImageCaption"/>
      </w:pPr>
      <w:r>
        <w:t xml:space="preserve">Figure 7: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89"/>
    <w:bookmarkStart w:id="90"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4"/>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5"/>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6"/>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7"/>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8"/>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09"/>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rPr>
          <w:i/>
          <w:iCs/>
        </w:rPr>
        <w:t xml:space="preserve">&gt; t</w:t>
      </w:r>
      <w:r>
        <w:rPr>
          <w:vertAlign w:val="subscript"/>
        </w:rPr>
        <w:t xml:space="preserve">s</w:t>
      </w:r>
      <w:r>
        <w:t xml:space="preserve">. If this condition is not satisfied, the consent request is rejected.</w:t>
      </w:r>
    </w:p>
    <w:p>
      <w:pPr>
        <w:pStyle w:val="Compact"/>
        <w:numPr>
          <w:ilvl w:val="0"/>
          <w:numId w:val="1010"/>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1"/>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2"/>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3"/>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4"/>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5"/>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w:t>
      </w:r>
      <w:r>
        <w:t xml:space="preserve">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bookmarkEnd w:id="90"/>
    <w:bookmarkStart w:id="91" w:name="algorithm-1-trust-aware-consent-creation"/>
    <w:p>
      <w:pPr>
        <w:pStyle w:val="Heading3"/>
      </w:pPr>
      <w:r>
        <w:t xml:space="preserve">6.1.3 Algorithm 1: Trust-Aware Consent Creation</w:t>
      </w:r>
    </w:p>
    <w:p>
      <w:pPr>
        <w:pStyle w:val="FirstParagrap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1"/>
    <w:bookmarkEnd w:id="92"/>
    <w:bookmarkStart w:id="99"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 </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r>
        <w:t xml:space="preserve"> </w:t>
      </w:r>
      <w:r>
        <w:t xml:space="preserve"> </w:t>
      </w:r>
      <w:r>
        <w:t xml:space="preserve"> </w:t>
      </w:r>
      <w:r>
        <w:t xml:space="preserve">where</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93" w:name="X40f13bf52dbab2e76356a6753423f1584e794fb"/>
    <w:p>
      <w:pPr>
        <w:pStyle w:val="Heading3"/>
      </w:pPr>
      <w:r>
        <w:t xml:space="preserve">6.2.1 RO2 Identity and Authority Verification Workflow</w:t>
      </w:r>
    </w:p>
    <w:p>
      <w:pPr>
        <w:pStyle w:val="FirstParagrap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[39]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[41, 42],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93"/>
    <w:bookmarkStart w:id="97"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6"/>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7"/>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aptionedFigure"/>
      </w:pPr>
      <w:r>
        <w:drawing>
          <wp:inline>
            <wp:extent cx="4133087" cy="7678519"/>
            <wp:effectExtent b="0" l="0" r="0" t="0"/>
            <wp:docPr descr="Figure 8: RO2 workflow for decentralised identity and authority verification" title="" id="95" name="Picture"/>
            <a:graphic>
              <a:graphicData uri="http://schemas.openxmlformats.org/drawingml/2006/picture">
                <pic:pic>
                  <pic:nvPicPr>
                    <pic:cNvPr descr="media_bw/fig08.png" id="96" name="Picture"/>
                    <pic:cNvPicPr>
                      <a:picLocks noChangeArrowheads="1" noChangeAspect="1"/>
                    </pic:cNvPicPr>
                  </pic:nvPicPr>
                  <pic:blipFill>
                    <a:blip r:embed="rId94"/>
                    <a:stretch>
                      <a:fillRect/>
                    </a:stretch>
                  </pic:blipFill>
                  <pic:spPr bwMode="auto">
                    <a:xfrm>
                      <a:off x="0" y="0"/>
                      <a:ext cx="4133087" cy="7678519"/>
                    </a:xfrm>
                    <a:prstGeom prst="rect">
                      <a:avLst/>
                    </a:prstGeom>
                    <a:noFill/>
                    <a:ln w="9525">
                      <a:noFill/>
                      <a:headEnd/>
                      <a:tailEnd/>
                    </a:ln>
                  </pic:spPr>
                </pic:pic>
              </a:graphicData>
            </a:graphic>
          </wp:inline>
        </w:drawing>
      </w:r>
    </w:p>
    <w:p>
      <w:pPr>
        <w:pStyle w:val="ImageCaption"/>
      </w:pPr>
      <w:r>
        <w:t xml:space="preserve">Figure 8: RO2 workflow for decentralised identity and authority verification</w:t>
      </w:r>
    </w:p>
    <w:p>
      <w:pPr>
        <w:pStyle w:val="Compact"/>
        <w:numPr>
          <w:ilvl w:val="0"/>
          <w:numId w:val="1018"/>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19"/>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0"/>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1"/>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2"/>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3"/>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4"/>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97"/>
    <w:bookmarkStart w:id="98"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98"/>
    <w:bookmarkEnd w:id="99"/>
    <w:bookmarkStart w:id="106"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 </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0" w:name="ro3-multi-party-authorisation-workflow"/>
    <w:p>
      <w:pPr>
        <w:pStyle w:val="Heading3"/>
      </w:pPr>
      <w:r>
        <w:t xml:space="preserve">6.3.1 RO3 Multi-Party Authorisation Workflow</w:t>
      </w:r>
    </w:p>
    <w:p>
      <w:pPr>
        <w:pStyle w:val="FirstParagraph"/>
      </w:pPr>
      <w: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BodyText"/>
      </w:pPr>
      <w:r>
        <w:t xml:space="preserve">In the HALAH prototype, the Guardian workflow (Figure 14,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10; the v3 contract adds on-chain validity checks and ERC-5484 consensual burn [40].</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0"/>
    <w:bookmarkStart w:id="104"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5"/>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aptionedFigure"/>
      </w:pPr>
      <w:r>
        <w:drawing>
          <wp:inline>
            <wp:extent cx="5753100" cy="7461079"/>
            <wp:effectExtent b="0" l="0" r="0" t="0"/>
            <wp:docPr descr="Figure 9: RO3 workflow for threshold-based multi-party authorisation" title="" id="102" name="Picture"/>
            <a:graphic>
              <a:graphicData uri="http://schemas.openxmlformats.org/drawingml/2006/picture">
                <pic:pic>
                  <pic:nvPicPr>
                    <pic:cNvPr descr="media_bw/fig09.png" id="103" name="Picture"/>
                    <pic:cNvPicPr>
                      <a:picLocks noChangeArrowheads="1" noChangeAspect="1"/>
                    </pic:cNvPicPr>
                  </pic:nvPicPr>
                  <pic:blipFill>
                    <a:blip r:embed="rId101"/>
                    <a:stretch>
                      <a:fillRect/>
                    </a:stretch>
                  </pic:blipFill>
                  <pic:spPr bwMode="auto">
                    <a:xfrm>
                      <a:off x="0" y="0"/>
                      <a:ext cx="5753100" cy="7461079"/>
                    </a:xfrm>
                    <a:prstGeom prst="rect">
                      <a:avLst/>
                    </a:prstGeom>
                    <a:noFill/>
                    <a:ln w="9525">
                      <a:noFill/>
                      <a:headEnd/>
                      <a:tailEnd/>
                    </a:ln>
                  </pic:spPr>
                </pic:pic>
              </a:graphicData>
            </a:graphic>
          </wp:inline>
        </w:drawing>
      </w:r>
    </w:p>
    <w:p>
      <w:pPr>
        <w:pStyle w:val="ImageCaption"/>
      </w:pPr>
      <w:r>
        <w:t xml:space="preserve">Figure 9: RO3 workflow for threshold-based multi-party authorisation</w:t>
      </w:r>
    </w:p>
    <w:p>
      <w:pPr>
        <w:pStyle w:val="Compact"/>
        <w:numPr>
          <w:ilvl w:val="0"/>
          <w:numId w:val="1026"/>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7"/>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8"/>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29"/>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0"/>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 </w:t>
      </w:r>
      <w:r>
        <w:t xml:space="preserve">that</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1"/>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2"/>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3"/>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4"/>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5"/>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6"/>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7"/>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04"/>
    <w:bookmarkStart w:id="105"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05"/>
    <w:bookmarkEnd w:id="106"/>
    <w:bookmarkStart w:id="113"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p>
      <w:pPr>
        <w:pStyle w:val="BodyText"/>
      </w:pPr>
      <w:r>
        <w:t xml:space="preserve"> </w:t>
      </w:r>
    </w:p>
    <w:bookmarkStart w:id="110" w:name="ro4-policy-aware-access-workflow"/>
    <w:p>
      <w:pPr>
        <w:pStyle w:val="Heading3"/>
      </w:pPr>
      <w:r>
        <w:t xml:space="preserve">6.4.1 RO4 Policy-Aware Access Workflow</w:t>
      </w:r>
    </w:p>
    <w:p>
      <w:pPr>
        <w:pStyle w:val="FirstParagraph"/>
      </w:pPr>
      <w:r>
        <w:t xml:space="preserve">The workflow begins when a doctor submits a request for patient data. The system retrieves the relevant consent object and verifies the requesting participant. It then checks whether the required multi-party authorisation has been established.</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15–16 (Section 7.4).</w:t>
      </w:r>
    </w:p>
    <w:p>
      <w:pPr>
        <w:pStyle w:val="BodyText"/>
      </w:pPr>
      <w:r>
        <w:t xml:space="preserve"> </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(6).</w:t>
      </w:r>
    </w:p>
    <w:p>
      <w:pPr>
        <w:pStyle w:val="CaptionedFigure"/>
      </w:pPr>
      <w:r>
        <w:drawing>
          <wp:inline>
            <wp:extent cx="3072384" cy="7684849"/>
            <wp:effectExtent b="0" l="0" r="0" t="0"/>
            <wp:docPr descr="Figure 10: RO4 workflow for policy- and context-aware access control" title="" id="108" name="Picture"/>
            <a:graphic>
              <a:graphicData uri="http://schemas.openxmlformats.org/drawingml/2006/picture">
                <pic:pic>
                  <pic:nvPicPr>
                    <pic:cNvPr descr="media_bw/fig10.png" id="109" name="Picture"/>
                    <pic:cNvPicPr>
                      <a:picLocks noChangeArrowheads="1" noChangeAspect="1"/>
                    </pic:cNvPicPr>
                  </pic:nvPicPr>
                  <pic:blipFill>
                    <a:blip r:embed="rId107"/>
                    <a:stretch>
                      <a:fillRect/>
                    </a:stretch>
                  </pic:blipFill>
                  <pic:spPr bwMode="auto">
                    <a:xfrm>
                      <a:off x="0" y="0"/>
                      <a:ext cx="3072384" cy="7684849"/>
                    </a:xfrm>
                    <a:prstGeom prst="rect">
                      <a:avLst/>
                    </a:prstGeom>
                    <a:noFill/>
                    <a:ln w="9525">
                      <a:noFill/>
                      <a:headEnd/>
                      <a:tailEnd/>
                    </a:ln>
                  </pic:spPr>
                </pic:pic>
              </a:graphicData>
            </a:graphic>
          </wp:inline>
        </w:drawing>
      </w:r>
    </w:p>
    <w:p>
      <w:pPr>
        <w:pStyle w:val="ImageCaption"/>
      </w:pPr>
      <w:r>
        <w:t xml:space="preserve">Figure 10: RO4 workflow for policy- and context-aware access control</w:t>
      </w:r>
    </w:p>
    <w:bookmarkEnd w:id="110"/>
    <w:bookmarkStart w:id="111"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8"/>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39"/>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0"/>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1"/>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2"/>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where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3"/>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4"/>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5"/>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6"/>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7"/>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8"/>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1"/>
    <w:bookmarkStart w:id="112"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2"/>
    <w:bookmarkEnd w:id="113"/>
    <w:bookmarkStart w:id="120"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 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 </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 </w:t>
      </w:r>
    </w:p>
    <w:p>
      <w:pPr>
        <w:pStyle w:val="BodyText"/>
      </w:pPr>
      <w:r>
        <w:t xml:space="preserve">The extended authorisation decision is therefore given by Eq. (24).</w:t>
      </w:r>
    </w:p>
    <w:p>
      <w:pPr>
        <w:pStyle w:val="BodyText"/>
      </w:pPr>
      <w:r>
        <w:t xml:space="preserve"> </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14" w:name="ro5-temporal-and-lifecycle-workflow"/>
    <w:p>
      <w:pPr>
        <w:pStyle w:val="Heading3"/>
      </w:pPr>
      <w:r>
        <w:t xml:space="preserve">6.5.1 RO5 Temporal and Lifecycle Workflow</w:t>
      </w:r>
    </w:p>
    <w:p>
      <w:pPr>
        <w:pStyle w:val="FirstParagraph"/>
      </w:pPr>
      <w: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14"/>
    <w:bookmarkStart w:id="115"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49"/>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0"/>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1"/>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2"/>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3"/>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4"/>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5"/>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6"/>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7"/>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 that</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15"/>
    <w:bookmarkStart w:id="119"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CaptionedFigure"/>
      </w:pPr>
      <w:r>
        <w:drawing>
          <wp:inline>
            <wp:extent cx="3593592" cy="7679000"/>
            <wp:effectExtent b="0" l="0" r="0" t="0"/>
            <wp:docPr descr="Figure 11: RO5 planned workflow for temporal and consent lifecycle trust" title="" id="117" name="Picture"/>
            <a:graphic>
              <a:graphicData uri="http://schemas.openxmlformats.org/drawingml/2006/picture">
                <pic:pic>
                  <pic:nvPicPr>
                    <pic:cNvPr descr="media_bw/fig11.png" id="118" name="Picture"/>
                    <pic:cNvPicPr>
                      <a:picLocks noChangeArrowheads="1" noChangeAspect="1"/>
                    </pic:cNvPicPr>
                  </pic:nvPicPr>
                  <pic:blipFill>
                    <a:blip r:embed="rId116"/>
                    <a:stretch>
                      <a:fillRect/>
                    </a:stretch>
                  </pic:blipFill>
                  <pic:spPr bwMode="auto">
                    <a:xfrm>
                      <a:off x="0" y="0"/>
                      <a:ext cx="3593592" cy="7679000"/>
                    </a:xfrm>
                    <a:prstGeom prst="rect">
                      <a:avLst/>
                    </a:prstGeom>
                    <a:noFill/>
                    <a:ln w="9525">
                      <a:noFill/>
                      <a:headEnd/>
                      <a:tailEnd/>
                    </a:ln>
                  </pic:spPr>
                </pic:pic>
              </a:graphicData>
            </a:graphic>
          </wp:inline>
        </w:drawing>
      </w:r>
    </w:p>
    <w:p>
      <w:pPr>
        <w:pStyle w:val="ImageCaption"/>
      </w:pPr>
      <w:r>
        <w:t xml:space="preserve">Figure 11: RO5 planned workflow for temporal and consent lifecycle trust</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19"/>
    <w:bookmarkEnd w:id="120"/>
    <w:bookmarkStart w:id="127"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 </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21" w:name="ro6-assurance-and-validation-workflow"/>
    <w:p>
      <w:pPr>
        <w:pStyle w:val="Heading3"/>
      </w:pPr>
      <w:r>
        <w:t xml:space="preserve">6.6.1 RO6 Assurance and Validation Workflow</w:t>
      </w:r>
    </w:p>
    <w:p>
      <w:pPr>
        <w:pStyle w:val="FirstParagraph"/>
      </w:pPr>
      <w: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21"/>
    <w:bookmarkStart w:id="125"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aptionedFigure"/>
      </w:pPr>
      <w:r>
        <w:drawing>
          <wp:inline>
            <wp:extent cx="5753100" cy="7402813"/>
            <wp:effectExtent b="0" l="0" r="0" t="0"/>
            <wp:docPr descr="Figure 12: RO6 planned workflow for formal security assurance and empirical validation" title="" id="123" name="Picture"/>
            <a:graphic>
              <a:graphicData uri="http://schemas.openxmlformats.org/drawingml/2006/picture">
                <pic:pic>
                  <pic:nvPicPr>
                    <pic:cNvPr descr="media_bw/fig12.png" id="124" name="Picture"/>
                    <pic:cNvPicPr>
                      <a:picLocks noChangeArrowheads="1" noChangeAspect="1"/>
                    </pic:cNvPicPr>
                  </pic:nvPicPr>
                  <pic:blipFill>
                    <a:blip r:embed="rId122"/>
                    <a:stretch>
                      <a:fillRect/>
                    </a:stretch>
                  </pic:blipFill>
                  <pic:spPr bwMode="auto">
                    <a:xfrm>
                      <a:off x="0" y="0"/>
                      <a:ext cx="5753100" cy="7402813"/>
                    </a:xfrm>
                    <a:prstGeom prst="rect">
                      <a:avLst/>
                    </a:prstGeom>
                    <a:noFill/>
                    <a:ln w="9525">
                      <a:noFill/>
                      <a:headEnd/>
                      <a:tailEnd/>
                    </a:ln>
                  </pic:spPr>
                </pic:pic>
              </a:graphicData>
            </a:graphic>
          </wp:inline>
        </w:drawing>
      </w:r>
    </w:p>
    <w:p>
      <w:pPr>
        <w:pStyle w:val="ImageCaption"/>
      </w:pPr>
      <w:r>
        <w:t xml:space="preserve">Figure 12: RO6 planned workflow for formal security assurance and empirical validation</w:t>
      </w:r>
    </w:p>
    <w:p>
      <w:pPr>
        <w:pStyle w:val="Compact"/>
        <w:numPr>
          <w:ilvl w:val="0"/>
          <w:numId w:val="1058"/>
        </w:numPr>
      </w:pPr>
      <w:r>
        <w:rPr>
          <w:b/>
          <w:bCs/>
        </w:rPr>
        <w:t xml:space="preserve">Step 1 – Define the Expected Authorisation Properties.</w:t>
      </w:r>
    </w:p>
    <w:p>
      <w:pPr>
        <w:pStyle w:val="FirstParagraph"/>
      </w:pPr>
      <w:r>
        <w:t xml:space="preserve">The first step is to define the security and authorisation properties P 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59"/>
        </w:numPr>
      </w:pPr>
      <w:r>
        <w:rPr>
          <w:b/>
          <w:bCs/>
        </w:rPr>
        <w:t xml:space="preserve">Step 2 – Define Valid Scenarios.</w:t>
      </w:r>
    </w:p>
    <w:p>
      <w:pPr>
        <w:pStyle w:val="FirstParagraph"/>
      </w:pPr>
      <w:r>
        <w:t xml:space="preserve">The system defines a set of valid scenarios 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0"/>
        </w:numPr>
      </w:pPr>
      <w:r>
        <w:rPr>
          <w:b/>
          <w:bCs/>
        </w:rPr>
        <w:t xml:space="preserve">Step 3 – Define Negative Scenarios.</w:t>
      </w:r>
    </w:p>
    <w:p>
      <w:pPr>
        <w:pStyle w:val="FirstParagraph"/>
      </w:pPr>
      <w:r>
        <w:t xml:space="preserve">The system defines a set of negative scenarios 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1"/>
        </w:numPr>
      </w:pPr>
      <w:r>
        <w:rPr>
          <w:b/>
          <w:bCs/>
        </w:rPr>
        <w:t xml:space="preserve">Step 4 – Define Adversarial Scenarios.</w:t>
      </w:r>
    </w:p>
    <w:p>
      <w:pPr>
        <w:pStyle w:val="FirstParagraph"/>
      </w:pPr>
      <w:r>
        <w:t xml:space="preserve">The system defines adversarial scenarios 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2"/>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∈S is associated with an expected authorisation outcome and the security properties that it is intended to evaluate.</w:t>
      </w:r>
    </w:p>
    <w:p>
      <w:pPr>
        <w:pStyle w:val="Compact"/>
        <w:numPr>
          <w:ilvl w:val="0"/>
          <w:numId w:val="1063"/>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4"/>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5"/>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6"/>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7"/>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8"/>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69"/>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0"/>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1"/>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2"/>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3"/>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4"/>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bookmarkEnd w:id="125"/>
    <w:bookmarkStart w:id="126" w:name="Xb697f75e4cb43d67a9074b27c380a0731d6d029"/>
    <w:p>
      <w:pPr>
        <w:pStyle w:val="Heading3"/>
      </w:pPr>
      <w:r>
        <w:t xml:space="preserve">6.6.3 Algorithm 6: Formal and Empirical Authorisation Validation</w:t>
      </w:r>
    </w:p>
    <w:p>
      <w:pPr>
        <w:pStyle w:val="FirstParagraph"/>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26"/>
    <w:bookmarkEnd w:id="127"/>
    <w:bookmarkStart w:id="128"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 stage implementation, the operational decision is based on Eq. (6).</w:t>
      </w:r>
    </w:p>
    <w:p>
      <w:pPr>
        <w:pStyle w:val="BodyText"/>
      </w:pPr>
      <w:r>
        <w:t xml:space="preserve"> </w:t>
      </w:r>
    </w:p>
    <w:p>
      <w:pPr>
        <w:pStyle w:val="BodyText"/>
      </w:pPr>
      <w:r>
        <w:t xml:space="preserve">The CA3 extension incorporates temporal and lifecycle conditions, as in Eq. (24).</w:t>
      </w:r>
    </w:p>
    <w:p>
      <w:pPr>
        <w:pStyle w:val="BodyText"/>
      </w:pPr>
      <w:r>
        <w:t xml:space="preserve"> </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28"/>
    <w:bookmarkEnd w:id="129"/>
    <w:bookmarkStart w:id="161"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implemented by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0"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0"/>
    <w:bookmarkStart w:id="134"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13: HALAH patient subsystem – Create Smart Consent Contract" title="" id="132" name="Picture"/>
            <a:graphic>
              <a:graphicData uri="http://schemas.openxmlformats.org/drawingml/2006/picture">
                <pic:pic>
                  <pic:nvPicPr>
                    <pic:cNvPr descr="halah_media/media/image1.png" id="133" name="Picture"/>
                    <pic:cNvPicPr>
                      <a:picLocks noChangeArrowheads="1" noChangeAspect="1"/>
                    </pic:cNvPicPr>
                  </pic:nvPicPr>
                  <pic:blipFill>
                    <a:blip r:embed="rId131"/>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13: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34"/>
    <w:bookmarkStart w:id="138"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operationalises the multi-party authorisation component of the proposed framework.</w:t>
      </w:r>
    </w:p>
    <w:p>
      <w:pPr>
        <w:pStyle w:val="CaptionedFigure"/>
      </w:pPr>
      <w:r>
        <w:drawing>
          <wp:inline>
            <wp:extent cx="5465445" cy="2225799"/>
            <wp:effectExtent b="0" l="0" r="0" t="0"/>
            <wp:docPr descr="Figure 14: HALAH guardian subsystem – Guardian Cryptographic Approval" title="" id="136" name="Picture"/>
            <a:graphic>
              <a:graphicData uri="http://schemas.openxmlformats.org/drawingml/2006/picture">
                <pic:pic>
                  <pic:nvPicPr>
                    <pic:cNvPr descr="halah_media/media/image2.png" id="137" name="Picture"/>
                    <pic:cNvPicPr>
                      <a:picLocks noChangeArrowheads="1" noChangeAspect="1"/>
                    </pic:cNvPicPr>
                  </pic:nvPicPr>
                  <pic:blipFill>
                    <a:blip r:embed="rId135"/>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14: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38"/>
    <w:bookmarkStart w:id="145"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15: HALAH doctor subsystem – consent information, state and authorised data scope" title="" id="140" name="Picture"/>
            <a:graphic>
              <a:graphicData uri="http://schemas.openxmlformats.org/drawingml/2006/picture">
                <pic:pic>
                  <pic:nvPicPr>
                    <pic:cNvPr descr="halah_media/media/image3.png" id="141" name="Picture"/>
                    <pic:cNvPicPr>
                      <a:picLocks noChangeArrowheads="1" noChangeAspect="1"/>
                    </pic:cNvPicPr>
                  </pic:nvPicPr>
                  <pic:blipFill>
                    <a:blip r:embed="rId139"/>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15: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16: HALAH doctor subsystem – requested modules, access decision and authorised medical records" title="" id="143" name="Picture"/>
            <a:graphic>
              <a:graphicData uri="http://schemas.openxmlformats.org/drawingml/2006/picture">
                <pic:pic>
                  <pic:nvPicPr>
                    <pic:cNvPr descr="halah_media/media/image4.png" id="144" name="Picture"/>
                    <pic:cNvPicPr>
                      <a:picLocks noChangeArrowheads="1" noChangeAspect="1"/>
                    </pic:cNvPicPr>
                  </pic:nvPicPr>
                  <pic:blipFill>
                    <a:blip r:embed="rId142"/>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16: HALAH doctor subsystem – requested modules, access decision and authorised medical records</w:t>
      </w:r>
    </w:p>
    <w:p>
      <w:pPr>
        <w:pStyle w:val="BodyText"/>
      </w:pPr>
      <w:r>
        <w:t xml:space="preserve">This distinction is central to the HALAH design. Consent and data access are not treated as identical events. Instead, it goes the flow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45"/>
    <w:bookmarkStart w:id="149"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17: HALAH auditor subsystem – Blockchain Audit &amp; Consent Lifecycle" title="" id="147" name="Picture"/>
            <a:graphic>
              <a:graphicData uri="http://schemas.openxmlformats.org/drawingml/2006/picture">
                <pic:pic>
                  <pic:nvPicPr>
                    <pic:cNvPr descr="halah_media/media/image5.png" id="148" name="Picture"/>
                    <pic:cNvPicPr>
                      <a:picLocks noChangeArrowheads="1" noChangeAspect="1"/>
                    </pic:cNvPicPr>
                  </pic:nvPicPr>
                  <pic:blipFill>
                    <a:blip r:embed="rId146"/>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17: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49"/>
    <w:bookmarkStart w:id="150"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p>
      <w:pPr>
        <w:pStyle w:val="BodyText"/>
      </w:pPr>
      <w:r>
        <w:rPr>
          <w:b/>
          <w:bCs/>
        </w:rPr>
        <w:t xml:space="preserve">CA 3 Discussion</w:t>
      </w:r>
    </w:p>
    <w:bookmarkEnd w:id="150"/>
    <w:bookmarkStart w:id="151"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1"/>
    <w:bookmarkStart w:id="152"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 Correspondence Between Subsystems and the HALAH Framework</w:t>
      </w:r>
    </w:p>
    <w:tbl>
      <w:tblPr>
        <w:tblStyle w:val="Table"/>
        <w:tblW w:type="pct" w:w="4937"/>
        <w:tblLayout w:type="fixed"/>
        <w:tblLook w:firstRow="1" w:lastRow="0" w:firstColumn="0" w:lastColumn="0" w:noHBand="0" w:noVBand="0" w:val="0020"/>
        <w:tblCaption w:val="Table 7: Correspondence Between Subsystems and the HALAH Framework"/>
      </w:tblPr>
      <w:tblGrid>
        <w:gridCol w:w="1593"/>
        <w:gridCol w:w="2141"/>
        <w:gridCol w:w="40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2"/>
    <w:bookmarkStart w:id="153"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3"/>
    <w:bookmarkStart w:id="157" w:name="X88b3d53607b792a9f4430f1be3c348b9a46cb27"/>
    <w:p>
      <w:pPr>
        <w:pStyle w:val="Heading2"/>
      </w:pPr>
      <w:r>
        <w:t xml:space="preserve">7.10 Implementation Mapping to the Source Code</w:t>
      </w:r>
    </w:p>
    <w:p>
      <w:pPr>
        <w:pStyle w:val="FirstParagraph"/>
      </w:pPr>
      <w:r>
        <w:t xml:space="preserve">Table 8 shows how the MVC layers of Chapter 5 are realised in the HALAH prototype (repository commit 0a960ca, 22 September 2026), so that the architectural claims can be checked directly against the source code.</w:t>
      </w:r>
    </w:p>
    <w:p>
      <w:pPr>
        <w:pStyle w:val="TableCaption"/>
      </w:pPr>
      <w:r>
        <w:t xml:space="preserve">Table 8: MVC layers and their HALAH implementation</w:t>
      </w:r>
    </w:p>
    <w:tbl>
      <w:tblPr>
        <w:tblStyle w:val="Table"/>
        <w:tblW w:type="pct" w:w="5000"/>
        <w:tblLayout w:type="fixed"/>
        <w:tblLook w:firstRow="1" w:lastRow="0" w:firstColumn="0" w:lastColumn="0" w:noHBand="0" w:noVBand="0" w:val="0020"/>
        <w:tblCaption w:val="Table 8: MVC layers and their HALAH implementation"/>
      </w:tblPr>
      <w:tblGrid>
        <w:gridCol w:w="1096"/>
        <w:gridCol w:w="3168"/>
        <w:gridCol w:w="36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[38],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[40]</w:t>
            </w:r>
          </w:p>
        </w:tc>
      </w:tr>
    </w:tbl>
    <w:p>
      <w:pPr>
        <w:pStyle w:val="BodyText"/>
      </w:pPr>
      <w:r>
        <w:t xml:space="preserve">Figure 18 traces one consent through the four subsystems of the prototype and shows where each check is enforced and which events are written to the audit log.</w:t>
      </w:r>
    </w:p>
    <w:p>
      <w:pPr>
        <w:pStyle w:val="CaptionedFigure"/>
      </w:pPr>
      <w:r>
        <w:drawing>
          <wp:inline>
            <wp:extent cx="3886200" cy="7632356"/>
            <wp:effectExtent b="0" l="0" r="0" t="0"/>
            <wp:docPr descr="Figure 18: HALAH prototype workflow from consent creation to audited access decision" title="" id="155" name="Picture"/>
            <a:graphic>
              <a:graphicData uri="http://schemas.openxmlformats.org/drawingml/2006/picture">
                <pic:pic>
                  <pic:nvPicPr>
                    <pic:cNvPr descr="media_bw/fig_halah.png" id="156" name="Picture"/>
                    <pic:cNvPicPr>
                      <a:picLocks noChangeArrowheads="1" noChangeAspect="1"/>
                    </pic:cNvPicPr>
                  </pic:nvPicPr>
                  <pic:blipFill>
                    <a:blip r:embed="rId154"/>
                    <a:stretch>
                      <a:fillRect/>
                    </a:stretch>
                  </pic:blipFill>
                  <pic:spPr bwMode="auto">
                    <a:xfrm>
                      <a:off x="0" y="0"/>
                      <a:ext cx="3886200" cy="7632356"/>
                    </a:xfrm>
                    <a:prstGeom prst="rect">
                      <a:avLst/>
                    </a:prstGeom>
                    <a:noFill/>
                    <a:ln w="9525">
                      <a:noFill/>
                      <a:headEnd/>
                      <a:tailEnd/>
                    </a:ln>
                  </pic:spPr>
                </pic:pic>
              </a:graphicData>
            </a:graphic>
          </wp:inline>
        </w:drawing>
      </w:r>
    </w:p>
    <w:p>
      <w:pPr>
        <w:pStyle w:val="ImageCaption"/>
      </w:pPr>
      <w:r>
        <w:t xml:space="preserve">Figure 18: HALAH prototype workflow from consent creation to audited access decision</w:t>
      </w:r>
    </w:p>
    <w:bookmarkEnd w:id="157"/>
    <w:bookmarkStart w:id="158" w:name="automated-test-evidence"/>
    <w:p>
      <w:pPr>
        <w:pStyle w:val="Heading2"/>
      </w:pPr>
      <w:r>
        <w:t xml:space="preserve">7.11 Automated Test Evidence</w:t>
      </w:r>
    </w:p>
    <w:p>
      <w:pPr>
        <w:pStyle w:val="FirstParagraph"/>
      </w:pPr>
      <w:r>
        <w:t xml:space="preserve">Table 9 summarises the automated tests of the prototype (pytest 9.1.1, Python 3.11, run on 28 September 2026): 16 tests passed, 2 were skipped and none failed.</w:t>
      </w:r>
    </w:p>
    <w:p>
      <w:pPr>
        <w:pStyle w:val="TableCaption"/>
      </w:pPr>
      <w:r>
        <w:t xml:space="preserve">Table 9: Automated test results of the HALAH prototype</w:t>
      </w:r>
    </w:p>
    <w:tbl>
      <w:tblPr>
        <w:tblStyle w:val="Table"/>
        <w:tblW w:type="pct" w:w="5000"/>
        <w:tblLayout w:type="fixed"/>
        <w:tblLook w:firstRow="1" w:lastRow="0" w:firstColumn="0" w:lastColumn="0" w:noHBand="0" w:noVBand="0" w:val="0020"/>
        <w:tblCaption w:val="Table 9: Automated test results of the HALAH prototype"/>
      </w:tblPr>
      <w:tblGrid>
        <w:gridCol w:w="446"/>
        <w:gridCol w:w="1338"/>
        <w:gridCol w:w="4127"/>
        <w:gridCol w:w="892"/>
        <w:gridCol w:w="111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58"/>
    <w:bookmarkStart w:id="159" w:name="on-chain-evidence"/>
    <w:p>
      <w:pPr>
        <w:pStyle w:val="Heading2"/>
      </w:pPr>
      <w:r>
        <w:t xml:space="preserve">7.12 On-Chain Evidence</w:t>
      </w:r>
    </w:p>
    <w:p>
      <w:pPr>
        <w:pStyle w:val="FirstParagraph"/>
      </w:pPr>
      <w:r>
        <w:t xml:space="preserve">Table 10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10: Consent SBTs anchored on Ethereum Sepolia</w:t>
      </w:r>
    </w:p>
    <w:tbl>
      <w:tblPr>
        <w:tblStyle w:val="Table"/>
        <w:tblW w:type="pct" w:w="5000"/>
        <w:tblLayout w:type="fixed"/>
        <w:tblLook w:firstRow="1" w:lastRow="0" w:firstColumn="0" w:lastColumn="0" w:noHBand="0" w:noVBand="0" w:val="0020"/>
        <w:tblCaption w:val="Table 10: Consent SBTs anchored on Ethereum Sepolia"/>
      </w:tblPr>
      <w:tblGrid>
        <w:gridCol w:w="1111"/>
        <w:gridCol w:w="1389"/>
        <w:gridCol w:w="541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59"/>
    <w:bookmarkStart w:id="160" w:name="implementation-status-and-limitations"/>
    <w:p>
      <w:pPr>
        <w:pStyle w:val="Heading2"/>
      </w:pPr>
      <w:r>
        <w:t xml:space="preserve">7.13 Implementation Status and Limitations</w:t>
      </w:r>
    </w:p>
    <w:p>
      <w:pPr>
        <w:pStyle w:val="FirstParagraph"/>
      </w:pPr>
      <w:r>
        <w:t xml:space="preserve">The screenshots in Figures 13–17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5"/>
        </w:numPr>
      </w:pPr>
      <w:r>
        <w:t xml:space="preserve">Guardian signing keys are derived from the DID for demonstration; a deployment would use each guardian’s own wallet.</w:t>
      </w:r>
    </w:p>
    <w:p>
      <w:pPr>
        <w:pStyle w:val="Compact"/>
        <w:numPr>
          <w:ilvl w:val="0"/>
          <w:numId w:val="1075"/>
        </w:numPr>
      </w:pPr>
      <w:r>
        <w:t xml:space="preserve">DID verification is syntactic, and no W3C Verifiable Credential is yet issued or verified (Stage 2).</w:t>
      </w:r>
    </w:p>
    <w:p>
      <w:pPr>
        <w:pStyle w:val="Compact"/>
        <w:numPr>
          <w:ilvl w:val="0"/>
          <w:numId w:val="1075"/>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5"/>
        </w:numPr>
      </w:pPr>
      <w:r>
        <w:t xml:space="preserve">Purpose is checked against a fixed list; per-request purpose binding is Stage 2 work.</w:t>
      </w:r>
    </w:p>
    <w:p>
      <w:pPr>
        <w:pStyle w:val="Compact"/>
        <w:numPr>
          <w:ilvl w:val="0"/>
          <w:numId w:val="1075"/>
        </w:numPr>
      </w:pPr>
      <w:r>
        <w:t xml:space="preserve">Data release is gated by consent state, proof and scope rather than by the full decision matrix.</w:t>
      </w:r>
    </w:p>
    <w:p>
      <w:pPr>
        <w:pStyle w:val="Compact"/>
        <w:numPr>
          <w:ilvl w:val="0"/>
          <w:numId w:val="1075"/>
        </w:numPr>
      </w:pPr>
      <w:r>
        <w:t xml:space="preserve">Healthcare data are synthetic (Synthea [38]), and the blockchain is a public testnet rather than a production network.</w:t>
      </w:r>
    </w:p>
    <w:p>
      <w:pPr>
        <w:pStyle w:val="Compact"/>
        <w:numPr>
          <w:ilvl w:val="0"/>
          <w:numId w:val="1075"/>
        </w:numPr>
      </w:pPr>
      <w:r>
        <w:t xml:space="preserve">The Groth16 circuit proves consent validity only and uses a development-only trusted setup.</w:t>
      </w:r>
    </w:p>
    <w:p>
      <w:pPr>
        <w:pStyle w:val="Compact"/>
        <w:numPr>
          <w:ilvl w:val="0"/>
          <w:numId w:val="1075"/>
        </w:numPr>
      </w:pPr>
      <w:r>
        <w:t xml:space="preserve">Evaluation to date is functional (18 automated tests); performance and adversarial measurements are Stage 2 work.</w:t>
      </w:r>
    </w:p>
    <w:bookmarkEnd w:id="160"/>
    <w:bookmarkEnd w:id="161"/>
    <w:bookmarkStart w:id="168" w:name="current-progress-status"/>
    <w:p>
      <w:pPr>
        <w:pStyle w:val="Heading1"/>
      </w:pPr>
      <w:r>
        <w:t xml:space="preserve">8 Current Progress Status</w:t>
      </w:r>
    </w:p>
    <w:bookmarkStart w:id="162"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 </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2"/>
    <w:bookmarkStart w:id="163"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 </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 </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9, T1).</w:t>
      </w:r>
    </w:p>
    <w:bookmarkEnd w:id="163"/>
    <w:bookmarkStart w:id="164"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 </w:t>
      </w:r>
    </w:p>
    <w:p>
      <w:pPr>
        <w:pStyle w:val="BodyText"/>
      </w:pPr>
      <w:r>
        <w:t xml:space="preserve">If the threshold is not satisfied, the decision is DENY (Eq. (10)).</w:t>
      </w:r>
    </w:p>
    <w:p>
      <w:pPr>
        <w:pStyle w:val="BodyText"/>
      </w:pPr>
      <w:r>
        <w:t xml:space="preserve"> </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14; Table 9, T3).</w:t>
      </w:r>
    </w:p>
    <w:p>
      <w:pPr>
        <w:pStyle w:val="BodyText"/>
      </w:pPr>
      <w:r>
        <w:t xml:space="preserve"> </w:t>
      </w:r>
    </w:p>
    <w:p>
      <w:pPr>
        <w:pStyle w:val="BodyText"/>
      </w:pPr>
      <w:r>
        <w:t xml:space="preserve">This provides preliminary evidence that the proposed framework can enforce collective rather than unilateral authorisation.</w:t>
      </w:r>
    </w:p>
    <w:bookmarkEnd w:id="164"/>
    <w:bookmarkStart w:id="165"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15–16,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65"/>
    <w:bookmarkStart w:id="166"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 </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next stage.</w:t>
      </w:r>
    </w:p>
    <w:bookmarkEnd w:id="166"/>
    <w:bookmarkStart w:id="167"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9)</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 </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bookmarkEnd w:id="167"/>
    <w:bookmarkEnd w:id="168"/>
    <w:bookmarkStart w:id="169"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BodyText"/>
      </w:pPr>
      <w:r>
        <w:t xml:space="preserve">Table: Table 11: Summary of Research Outputs and Publication Plan</w:t>
      </w:r>
    </w:p>
    <w:tbl>
      <w:tblPr>
        <w:tblStyle w:val="Table"/>
        <w:tblW w:type="pct" w:w="5000"/>
        <w:tblLayout w:type="fixed"/>
        <w:tblLook w:firstRow="1" w:lastRow="0" w:firstColumn="0" w:lastColumn="0" w:noHBand="0" w:noVBand="0" w:val="0020"/>
      </w:tblPr>
      <w:tblGrid>
        <w:gridCol w:w="2554"/>
        <w:gridCol w:w="1532"/>
        <w:gridCol w:w="1277"/>
        <w:gridCol w:w="25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[name the target journal]</w:t>
            </w:r>
          </w:p>
        </w:tc>
        <w:tc>
          <w:tcPr/>
          <w:p>
            <w:pPr>
              <w:pStyle w:val="Compact"/>
              <w:jc w:val="left"/>
            </w:pPr>
            <w:r>
              <w:t xml:space="preserve">Draft complete; submission planned [month] 2026</w:t>
            </w:r>
          </w:p>
        </w:tc>
        <w:tc>
          <w:tcPr/>
          <w:p>
            <w:pPr>
              <w:pStyle w:val="Compact"/>
              <w:jc w:val="left"/>
            </w:pPr>
            <w:r>
              <w:t xml:space="preserve">Core architectural contribution; addresses SRQ1-RQ4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69"/>
    <w:bookmarkStart w:id="172" w:name="research-plan"/>
    <w:p>
      <w:pPr>
        <w:pStyle w:val="Heading1"/>
      </w:pPr>
      <w:r>
        <w:t xml:space="preserve">10 Research Plan</w:t>
      </w:r>
    </w:p>
    <w:p>
      <w:pPr>
        <w:pStyle w:val="FirstParagraph"/>
      </w:pPr>
      <w:r>
        <w:t xml:space="preserve">The research plan is divided into two major stages corresponding to current and next stage.</w:t>
      </w:r>
    </w:p>
    <w:bookmarkStart w:id="170"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0"/>
    <w:bookmarkStart w:id="171"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BodyText"/>
      </w:pPr>
      <w:r>
        <w:t xml:space="preserve">The first major focus of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12.</w:t>
      </w:r>
    </w:p>
    <w:p>
      <w:pPr>
        <w:pStyle w:val="BodyText"/>
      </w:pPr>
      <w: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12: Next Stage Research Activities, Methodological Focus, and Expected Outcomes</w:t>
      </w:r>
    </w:p>
    <w:tbl>
      <w:tblPr>
        <w:tblStyle w:val="Table"/>
        <w:tblW w:type="pct" w:w="5000"/>
        <w:tblLayout w:type="fixed"/>
        <w:tblLook w:firstRow="1" w:lastRow="0" w:firstColumn="0" w:lastColumn="0" w:noHBand="0" w:noVBand="0" w:val="0020"/>
        <w:tblCaption w:val="Table 12: Next Stage Research Activities, Methodological Focus, and Expected Outcomes"/>
      </w:tblPr>
      <w:tblGrid>
        <w:gridCol w:w="1760"/>
        <w:gridCol w:w="352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current stage and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next stage 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1"/>
    <w:bookmarkEnd w:id="172"/>
    <w:bookmarkStart w:id="173"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2022.</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p>
    <w:p>
      <w:pPr>
        <w:pStyle w:val="BodyText"/>
      </w:pPr>
      <w:r>
        <w:t xml:space="preserve">[6] Abdul Ghafoor,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[8] Remy Hellstern, Daniel C Park, Victoria Lemieux, and Guldana Salimjan. Leveraging blockchain-based archival solutions for sensitive documentation: A Xinjiang case study.</w:t>
      </w:r>
      <w:r>
        <w:t xml:space="preserve"> </w:t>
      </w:r>
      <w:r>
        <w:rPr>
          <w:i/>
          <w:iCs/>
        </w:rPr>
        <w:t xml:space="preserve">Digital Society</w:t>
      </w:r>
      <w:r>
        <w:t xml:space="preserve">, 1(1):4, 2022.</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t xml:space="preserve"> </w:t>
      </w:r>
      <w:r>
        <w:rPr>
          <w:i/>
          <w:iCs/>
        </w:rPr>
        <w:t xml:space="preserve">Sensors</w:t>
      </w:r>
      <w:r>
        <w:t xml:space="preserve">, 26(14):4577, 2026.</w:t>
      </w:r>
    </w:p>
    <w:p>
      <w:pPr>
        <w:pStyle w:val="BodyText"/>
      </w:pPr>
      <w:r>
        <w:t xml:space="preserve">[18] Lanlan Li, Charles Z Liu, and Sanjeeb Shrestha. Analytical entropy approach for mea-suring blockchain immutability and tamper-resilient trust.</w:t>
      </w:r>
      <w:r>
        <w:t xml:space="preserve"> </w:t>
      </w:r>
      <w:r>
        <w:rPr>
          <w:i/>
          <w:iCs/>
        </w:rPr>
        <w:t xml:space="preserve">Entropy</w:t>
      </w:r>
      <w:r>
        <w:t xml:space="preserve">, 28(6):690, 2026.</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2025.</w:t>
      </w:r>
    </w:p>
    <w:p>
      <w:pPr>
        <w:pStyle w:val="BodyText"/>
      </w:pPr>
      <w:r>
        <w:t xml:space="preserve">[21] Andrei McCall. Privacy-preserving interoperability in healthcare data ecosystems: balancing data sharing with individual autonomy.</w:t>
      </w:r>
      <w:r>
        <w:t xml:space="preserve"> </w:t>
      </w:r>
      <w:r>
        <w:rPr>
          <w:i/>
          <w:iCs/>
        </w:rPr>
        <w:t xml:space="preserve">IEEE J. Biomed. Health Inform</w:t>
      </w:r>
      <w:r>
        <w:t xml:space="preserve">, 28(3):1234–1245, 2024.</w:t>
      </w:r>
      <w:r>
        <w:t xml:space="preserve"> </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[30] Mohammad Nawab Turan, Irshad Ahmed Hashimzai, and Mohammad Qaseem Qiam. A blockchain-based framework for secure and transparent environmental data sharing in smart cities: Enhancing trust, integrity, and interoperability in urban sustainability systems.</w:t>
      </w:r>
      <w:r>
        <w:t xml:space="preserve"> </w:t>
      </w:r>
      <w:r>
        <w:rPr>
          <w:i/>
          <w:iCs/>
        </w:rPr>
        <w:t xml:space="preserve">Nata Palemahan: Journal of Environmental Engineering Innovations</w:t>
      </w:r>
      <w:r>
        <w:t xml:space="preserve">, 2(2):70–79,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173"/>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6" Target="media/rId16.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22" Target="media/rId22.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2026-09-28T11:14:18Z</dcterms:created>
  <dcterms:modified xsi:type="dcterms:W3CDTF">2026-09-28T11:14:18Z</dcterms:modified>
</cp:coreProperties>
</file>

<file path=docProps/custom.xml><?xml version="1.0" encoding="utf-8"?>
<Properties xmlns="http://schemas.openxmlformats.org/officeDocument/2006/custom-properties" xmlns:vt="http://schemas.openxmlformats.org/officeDocument/2006/docPropsVTypes"/>
</file>