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3074679"/>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3074679"/>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Figure re-drawn in the same design and colours; boxes and counts unchanged. Fixes: the title/abstract exclusion reason now uses the wording of exclusion criterion 1 in Section 2.2.5, and</w:t>
      </w:r>
      <w:r>
        <w:rPr>
          <w:rStyle w:val="ReviewerNote"/>
        </w:rPr>
        <w:t xml:space="preserve"> </w:t>
      </w:r>
      <w:r>
        <w:rPr>
          <w:rStyle w:val="ReviewerNote"/>
        </w:rPr>
        <w:t xml:space="preserve">‘decentralized’</w:t>
      </w:r>
      <w:r>
        <w:rPr>
          <w:rStyle w:val="ReviewerNote"/>
        </w:rPr>
        <w:t xml:space="preserve"> </w:t>
      </w:r>
      <w:r>
        <w:rPr>
          <w:rStyle w:val="ReviewerNote"/>
        </w:rPr>
        <w:t xml:space="preserve">→</w:t>
      </w:r>
      <w:r>
        <w:rPr>
          <w:rStyle w:val="ReviewerNote"/>
        </w:rPr>
        <w:t xml:space="preserve"> </w:t>
      </w:r>
      <w:r>
        <w:rPr>
          <w:rStyle w:val="ReviewerNote"/>
        </w:rPr>
        <w:t xml:space="preserve">‘decentralised’</w:t>
      </w:r>
      <w:r>
        <w:rPr>
          <w:rStyle w:val="ReviewerNote"/>
        </w:rPr>
        <w:t xml:space="preserve">. Author action: the box</w:t>
      </w:r>
      <w:r>
        <w:rPr>
          <w:rStyle w:val="ReviewerNote"/>
        </w:rPr>
        <w:t xml:space="preserve"> </w:t>
      </w:r>
      <w:r>
        <w:rPr>
          <w:rStyle w:val="ReviewerNote"/>
        </w:rPr>
        <w:t xml:space="preserve">‘Records marked as ineligible by automation tools (n = 7)’</w:t>
      </w:r>
      <w:r>
        <w:rPr>
          <w:rStyle w:val="ReviewerNote"/>
        </w:rPr>
        <w:t xml:space="preserve"> </w:t>
      </w:r>
      <w:r>
        <w:rPr>
          <w:rStyle w:val="ReviewerNote"/>
        </w:rPr>
        <w:t xml:space="preserve">is not described in the text; name the tool or filter used in Section 2.2.4, or merge these 7 records into another category.</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DeletedText"/>
              </w:rPr>
              <w:t xml:space="preserve">[31, 22, 14, 24, 12, 13, 10]</w:t>
            </w:r>
            <w:r>
              <w:rPr>
                <w:rStyle w:val="InsertedText"/>
              </w:rP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DeletedText"/>
              </w:rPr>
              <w:t xml:space="preserve">[1, 2, 7, 3, 30, 26, 8, 29]</w:t>
            </w:r>
            <w:r>
              <w:rPr>
                <w:rStyle w:val="InsertedText"/>
              </w:rP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rPr>
                <w:rStyle w:val="DeletedText"/>
              </w:rPr>
              <w:t xml:space="preserve">[20, 33, 4, 16, 27, 5]</w:t>
            </w:r>
            <w:r>
              <w:rPr>
                <w:rStyle w:val="InsertedText"/>
              </w:rP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DeletedText"/>
              </w:rPr>
              <w:t xml:space="preserve">[19, 4, 21, 9]</w:t>
            </w:r>
            <w:r>
              <w:rPr>
                <w:rStyle w:val="InsertedText"/>
              </w:rP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DeletedText"/>
              </w:rPr>
              <w:t xml:space="preserve">[32, 11, 28, 25]</w:t>
            </w:r>
            <w:r>
              <w:rPr>
                <w:rStyle w:val="InsertedText"/>
              </w:rP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DeletedText"/>
              </w:rPr>
              <w:t xml:space="preserve">[23, 17, 18]</w:t>
            </w:r>
            <w:r>
              <w:rPr>
                <w:rStyle w:val="InsertedText"/>
              </w:rP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76720"/>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76720"/>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p>
      <w:pPr>
        <w:pStyle w:val="ReviewerNotePara"/>
      </w:pPr>
      <w:r>
        <w:rPr>
          <w:rStyle w:val="ReviewerNote"/>
        </w:rPr>
        <w:t xml:space="preserve">Figure re-drawn in the same design and colours (actors on top, then the View, Controller and Model layers, as in the original order). Fixes: every label is now readable at print size, connectors no longer run through the boxes, and the</w:t>
      </w:r>
      <w:r>
        <w:rPr>
          <w:rStyle w:val="ReviewerNote"/>
        </w:rPr>
        <w:t xml:space="preserve"> </w:t>
      </w:r>
      <w:r>
        <w:rPr>
          <w:rStyle w:val="ReviewerNote"/>
        </w:rPr>
        <w:t xml:space="preserve">‘MODEL LAYER’</w:t>
      </w:r>
      <w:r>
        <w:rPr>
          <w:rStyle w:val="ReviewerNote"/>
        </w:rPr>
        <w:t xml:space="preserve"> </w:t>
      </w:r>
      <w:r>
        <w:rPr>
          <w:rStyle w:val="ReviewerNote"/>
        </w:rPr>
        <w:t xml:space="preserve">title is no longer covered; components and connections unchanged and matching Section 5.1.</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ReviewerNotePara"/>
      </w:pPr>
      <w:r>
        <w:rPr>
          <w:rStyle w:val="ReviewerNote"/>
        </w:rPr>
        <w:t xml:space="preserve">Figure re-drawn in the same design and colours (View, Controller, Model, Protected Resource), stacked so every label is readable. Fixes to match Section 5.1.1:</w:t>
      </w:r>
      <w:r>
        <w:rPr>
          <w:rStyle w:val="ReviewerNote"/>
        </w:rPr>
        <w:t xml:space="preserve"> </w:t>
      </w:r>
      <w:r>
        <w:rPr>
          <w:rStyle w:val="ReviewerNote"/>
        </w:rPr>
        <w:t xml:space="preserve">‘Doctor’</w:t>
      </w:r>
      <w:r>
        <w:rPr>
          <w:rStyle w:val="ReviewerNote"/>
        </w:rPr>
        <w:t xml:space="preserve"> </w:t>
      </w:r>
      <w:r>
        <w:rPr>
          <w:rStyle w:val="ReviewerNote"/>
        </w:rPr>
        <w:t xml:space="preserve">→</w:t>
      </w:r>
      <w:r>
        <w:rPr>
          <w:rStyle w:val="ReviewerNote"/>
        </w:rPr>
        <w:t xml:space="preserve"> </w:t>
      </w:r>
      <w:r>
        <w:rPr>
          <w:rStyle w:val="ReviewerNote"/>
        </w:rPr>
        <w:t xml:space="preserve">‘Healthcare Professional’</w:t>
      </w:r>
      <w:r>
        <w:rPr>
          <w:rStyle w:val="ReviewerNote"/>
        </w:rPr>
        <w:t xml:space="preserve"> </w:t>
      </w:r>
      <w:r>
        <w:rPr>
          <w:rStyle w:val="ReviewerNote"/>
        </w:rPr>
        <w:t xml:space="preserve">(the text and Figure 3 use</w:t>
      </w:r>
      <w:r>
        <w:rPr>
          <w:rStyle w:val="ReviewerNote"/>
        </w:rPr>
        <w:t xml:space="preserve"> </w:t>
      </w:r>
      <w:r>
        <w:rPr>
          <w:rStyle w:val="ReviewerNote"/>
        </w:rPr>
        <w:t xml:space="preserve">‘healthcare professional’</w:t>
      </w:r>
      <w:r>
        <w:rPr>
          <w:rStyle w:val="ReviewerNote"/>
        </w:rPr>
        <w:t xml:space="preserve">) and</w:t>
      </w:r>
      <w:r>
        <w:rPr>
          <w:rStyle w:val="ReviewerNote"/>
        </w:rPr>
        <w:t xml:space="preserve"> </w:t>
      </w:r>
      <w:r>
        <w:rPr>
          <w:rStyle w:val="ReviewerNote"/>
        </w:rPr>
        <w:t xml:space="preserve">‘Audit Coordinator’</w:t>
      </w:r>
      <w:r>
        <w:rPr>
          <w:rStyle w:val="ReviewerNote"/>
        </w:rPr>
        <w:t xml:space="preserve"> </w:t>
      </w:r>
      <w:r>
        <w:rPr>
          <w:rStyle w:val="ReviewerNote"/>
        </w:rPr>
        <w:t xml:space="preserve">→</w:t>
      </w:r>
      <w:r>
        <w:rPr>
          <w:rStyle w:val="ReviewerNote"/>
        </w:rPr>
        <w:t xml:space="preserve"> </w:t>
      </w:r>
      <w:r>
        <w:rPr>
          <w:rStyle w:val="ReviewerNote"/>
        </w:rPr>
        <w:t xml:space="preserve">‘Audit Coordination’</w:t>
      </w:r>
      <w:r>
        <w:rPr>
          <w:rStyle w:val="ReviewerNote"/>
        </w:rPr>
        <w:t xml:space="preserve"> </w:t>
      </w:r>
      <w:r>
        <w:rPr>
          <w:rStyle w:val="ReviewerNote"/>
        </w:rPr>
        <w:t xml:space="preserve">(the text’s term).</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3419856" cy="7671897"/>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ReviewerNotePara"/>
      </w:pPr>
      <w:r>
        <w:rPr>
          <w:rStyle w:val="ReviewerNote"/>
        </w:rPr>
        <w:t xml:space="preserve">Figure re-drawn in the same design and colours. Fixes: the text states that Figure 5 shows the relationship between the MVC components and the trust predicates, so the predicate chain is now framed as the CONTROLLER evaluating evidence supplied by the MODEL;</w:t>
      </w:r>
      <w:r>
        <w:rPr>
          <w:rStyle w:val="ReviewerNote"/>
        </w:rPr>
        <w:t xml:space="preserve"> </w:t>
      </w:r>
      <w:r>
        <w:rPr>
          <w:rStyle w:val="ReviewerNote"/>
        </w:rPr>
        <w:t xml:space="preserve">‘V_I(u)’</w:t>
      </w:r>
      <w:r>
        <w:rPr>
          <w:rStyle w:val="ReviewerNote"/>
        </w:rPr>
        <w:t xml:space="preserve"> </w:t>
      </w:r>
      <w:r>
        <w:rPr>
          <w:rStyle w:val="ReviewerNote"/>
        </w:rPr>
        <w:t xml:space="preserve">etc. written as subscripts, matching Eq. (27).</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194560" cy="7674568"/>
            <wp:effectExtent b="0" l="0" r="0" t="0"/>
            <wp:docPr descr="Figure 6: End-to-End Workflow of Trust-Oriented Consent Authorization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Figure re-drawn in the same design and colours. Fixes to match Section 5.2: a failed threshold or policy check now ends in DENY (</w:t>
      </w:r>
      <w:r>
        <w:rPr>
          <w:rStyle w:val="ReviewerNote"/>
        </w:rPr>
        <w:t xml:space="preserve">‘the authorisation process terminates with a denial decision’</w:t>
      </w:r>
      <w:r>
        <w:rPr>
          <w:rStyle w:val="ReviewerNote"/>
        </w:rPr>
        <w:t xml:space="preserve">); the Authorisation Decision node shows the conjunction of Eq. (6);</w:t>
      </w:r>
      <w:r>
        <w:rPr>
          <w:rStyle w:val="ReviewerNote"/>
        </w:rPr>
        <w:t xml:space="preserve"> </w:t>
      </w:r>
      <w:r>
        <w:rPr>
          <w:rStyle w:val="ReviewerNote"/>
        </w:rPr>
        <w:t xml:space="preserve">‘Authorization’</w:t>
      </w:r>
      <w:r>
        <w:rPr>
          <w:rStyle w:val="ReviewerNote"/>
        </w:rPr>
        <w:t xml:space="preserve"> </w:t>
      </w:r>
      <w:r>
        <w:rPr>
          <w:rStyle w:val="ReviewerNote"/>
        </w:rPr>
        <w:t xml:space="preserve">→</w:t>
      </w:r>
      <w:r>
        <w:rPr>
          <w:rStyle w:val="ReviewerNote"/>
        </w:rPr>
        <w:t xml:space="preserve"> </w:t>
      </w:r>
      <w:r>
        <w:rPr>
          <w:rStyle w:val="ReviewerNote"/>
        </w:rPr>
        <w:t xml:space="preserve">‘Authorisation’</w:t>
      </w:r>
      <w:r>
        <w:rPr>
          <w:rStyle w:val="ReviewerNote"/>
        </w:rPr>
        <w:t xml:space="preserve">.</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3913632" cy="7680896"/>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3913632" cy="7680896"/>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ReviewerNotePara"/>
      </w:pPr>
      <w:r>
        <w:rPr>
          <w:rStyle w:val="ReviewerNote"/>
        </w:rPr>
        <w:t xml:space="preserve">Figure redrawn in black and white and aligned with Algorithm 1: the step</w:t>
      </w:r>
      <w:r>
        <w:rPr>
          <w:rStyle w:val="ReviewerNote"/>
        </w:rPr>
        <w:t xml:space="preserve"> </w:t>
      </w:r>
      <w:r>
        <w:rPr>
          <w:rStyle w:val="ReviewerNote"/>
        </w:rPr>
        <w:t xml:space="preserve">‘Define Authorisation Requirement’</w:t>
      </w:r>
      <w:r>
        <w:rPr>
          <w:rStyle w:val="ReviewerNote"/>
        </w:rPr>
        <w:t xml:space="preserve"> </w:t>
      </w:r>
      <w:r>
        <w:rPr>
          <w:rStyle w:val="ReviewerNote"/>
        </w:rPr>
        <w:t xml:space="preserve">(line 13) is added, and the order now follows lines 13–18 (define A → generate identifier → construct C = (I, A, P, E) → persist → record evidence).</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133087" cy="7678519"/>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133087" cy="7678519"/>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ReviewerNotePara"/>
      </w:pPr>
      <w:r>
        <w:rPr>
          <w:rStyle w:val="ReviewerNote"/>
        </w:rPr>
        <w:t xml:space="preserve">Figure redrawn in black and white and aligned with Algorithm 2: the step</w:t>
      </w:r>
      <w:r>
        <w:rPr>
          <w:rStyle w:val="ReviewerNote"/>
        </w:rPr>
        <w:t xml:space="preserve"> </w:t>
      </w:r>
      <w:r>
        <w:rPr>
          <w:rStyle w:val="ReviewerNote"/>
        </w:rPr>
        <w:t xml:space="preserve">‘Record Verification Evidence’</w:t>
      </w:r>
      <w:r>
        <w:rPr>
          <w:rStyle w:val="ReviewerNote"/>
        </w:rPr>
        <w:t xml:space="preserve"> </w:t>
      </w:r>
      <w:r>
        <w:rPr>
          <w:rStyle w:val="ReviewerNote"/>
        </w:rPr>
        <w:t xml:space="preserve">(line 21) is added before the verified result is returned.</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5753100" cy="7461079"/>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5753100" cy="7461079"/>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ReviewerNotePara"/>
      </w:pPr>
      <w:r>
        <w:rPr>
          <w:rStyle w:val="ReviewerNote"/>
        </w:rPr>
        <w:t xml:space="preserve">Figure redrawn in black and white and aligned with Algorithm 3: the membership check (participant in G, lines 7–9) and the duplicate-approval check (lines 11–13) are added, as the text stresses that invalid, unauthorised and duplicate approvals are rejected; the threshold test is shown as |A_v| ≥ N (Eq. (9)).</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3072384" cy="7684849"/>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3072384" cy="7684849"/>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ReviewerNotePara"/>
      </w:pPr>
      <w:r>
        <w:rPr>
          <w:rStyle w:val="ReviewerNote"/>
        </w:rPr>
        <w:t xml:space="preserve">Figure redrawn in black and white and aligned with Algorithm 4: the consent-state check (</w:t>
      </w:r>
      <w:r>
        <w:rPr>
          <w:rStyle w:val="ReviewerNote"/>
        </w:rPr>
        <w:t xml:space="preserve">‘Consent Active?’</w:t>
      </w:r>
      <w:r>
        <w:rPr>
          <w:rStyle w:val="ReviewerNote"/>
        </w:rPr>
        <w:t xml:space="preserve">, lines 6–10) is added after identity verification; the scope test is shown as S_R ⊆ S_C.</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4"/>
    <w:bookmarkStart w:id="115"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593592" cy="7679000"/>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3593592" cy="7679000"/>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ReviewerNotePara"/>
      </w:pPr>
      <w:r>
        <w:rPr>
          <w:rStyle w:val="ReviewerNote"/>
        </w:rPr>
        <w:t xml:space="preserve">Figure redrawn in black and white and aligned with Algorithm 5: the requested-transition check (lines 16–19) is added after the revocation check.</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7402813"/>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7402813"/>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ReviewerNotePara"/>
      </w:pPr>
      <w:r>
        <w:rPr>
          <w:rStyle w:val="ReviewerNote"/>
        </w:rPr>
        <w:t xml:space="preserve">Figure redrawn in black and white and aligned with Algorithm 6: the step</w:t>
      </w:r>
      <w:r>
        <w:rPr>
          <w:rStyle w:val="ReviewerNote"/>
        </w:rPr>
        <w:t xml:space="preserve"> </w:t>
      </w:r>
      <w:r>
        <w:rPr>
          <w:rStyle w:val="ReviewerNote"/>
        </w:rPr>
        <w:t xml:space="preserve">‘Compare Observed and Expected Decisions’</w:t>
      </w:r>
      <w:r>
        <w:rPr>
          <w:rStyle w:val="ReviewerNote"/>
        </w:rPr>
        <w:t xml:space="preserve"> </w:t>
      </w:r>
      <w:r>
        <w:rPr>
          <w:rStyle w:val="ReviewerNote"/>
        </w:rPr>
        <w:t xml:space="preserve">(line 9) is added and the five evaluated properties (lines 12–16) are named.</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61"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HALAH Framework Component</w:t>
            </w:r>
          </w:p>
        </w:tc>
        <w:tc>
          <w:tcPr>
            <w:tcBorders>
              <w:bottom w:val="single" w:sz="8" w:space="0" w:color="000000"/>
            </w:tcBorders>
            <w:shd w:val="clear" w:color="auto" w:fill="E7E6E6"/>
            <w:vAlign w:val="center"/>
          </w:tcPr>
          <w:p>
            <w:pPr>
              <w:pStyle w:val="Compact"/>
              <w:jc w:val="left"/>
            </w:pPr>
            <w:r>
              <w:rPr>
                <w:rStyle w:val="InsertedText"/>
                <w:b/>
                <w:bCs/>
              </w:rPr>
              <w:t xml:space="preserve">Implementation Subsystem</w:t>
            </w:r>
          </w:p>
        </w:tc>
        <w:tc>
          <w:tcPr>
            <w:tcBorders>
              <w:bottom w:val="single" w:sz="8" w:space="0" w:color="000000"/>
            </w:tcBorders>
            <w:shd w:val="clear" w:color="auto" w:fill="E7E6E6"/>
            <w:vAlign w:val="center"/>
          </w:tcPr>
          <w:p>
            <w:pPr>
              <w:pStyle w:val="Compact"/>
              <w:jc w:val="left"/>
            </w:pPr>
            <w:r>
              <w:rPr>
                <w:rStyle w:val="InsertedText"/>
                <w:b/>
                <w:bCs/>
              </w:rPr>
              <w:t xml:space="preserve">Main Function</w:t>
            </w:r>
          </w:p>
        </w:tc>
      </w:tr>
      <w:tr>
        <w:trPr>
          <w:cantSplit/>
        </w:trP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rPr>
          <w:cantSplit/>
        </w:trP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rPr>
          <w:cantSplit/>
        </w:trP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rPr>
          <w:cantSplit/>
        </w:trP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rPr>
          <w:cantSplit/>
        </w:trP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rPr>
          <w:cantSplit/>
        </w:trP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rPr>
          <w:cantSplit/>
        </w:trP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rPr>
          <w:cantSplit/>
        </w:trP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rPr>
          <w:cantSplit/>
        </w:trP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rPr>
          <w:cantSplit/>
        </w:trP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rPr>
          <w:cantSplit/>
        </w:trP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Layer</w:t>
            </w:r>
          </w:p>
        </w:tc>
        <w:tc>
          <w:tcPr>
            <w:tcBorders>
              <w:bottom w:val="single" w:sz="8" w:space="0" w:color="000000"/>
            </w:tcBorders>
            <w:shd w:val="clear" w:color="auto" w:fill="E7E6E6"/>
            <w:vAlign w:val="center"/>
          </w:tcPr>
          <w:p>
            <w:pPr>
              <w:pStyle w:val="Compact"/>
              <w:jc w:val="left"/>
            </w:pPr>
            <w:r>
              <w:rPr>
                <w:rStyle w:val="InsertedText"/>
                <w:b/>
                <w:bCs/>
              </w:rPr>
              <w:t xml:space="preserve">HALAH module(s)</w:t>
            </w:r>
          </w:p>
        </w:tc>
        <w:tc>
          <w:tcPr>
            <w:tcBorders>
              <w:bottom w:val="single" w:sz="8" w:space="0" w:color="000000"/>
            </w:tcBorders>
            <w:shd w:val="clear" w:color="auto" w:fill="E7E6E6"/>
            <w:vAlign w:val="center"/>
          </w:tcPr>
          <w:p>
            <w:pPr>
              <w:pStyle w:val="Compact"/>
              <w:jc w:val="left"/>
            </w:pPr>
            <w:r>
              <w:rPr>
                <w:rStyle w:val="InsertedText"/>
                <w:b/>
                <w:bCs/>
              </w:rPr>
              <w:t xml:space="preserve">Responsibility</w:t>
            </w:r>
          </w:p>
        </w:tc>
      </w:tr>
      <w:tr>
        <w:trPr>
          <w:cantSplit/>
        </w:trP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rPr>
          <w:cantSplit/>
        </w:trP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rPr>
          <w:cantSplit/>
        </w:trP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p>
      <w:pPr>
        <w:pStyle w:val="InsertedPara"/>
      </w:pPr>
      <w:r>
        <w:rPr>
          <w:rStyle w:val="InsertedText"/>
        </w:rPr>
        <w:t xml:space="preserve">Figure 18 traces one consent through the four subsystems of the prototype and shows where each check is enforced and which events are written to the audit log.</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tc>
      </w:tr>
    </w:tbl>
    <w:p>
      <w:pPr>
        <w:pStyle w:val="ImageCaption"/>
      </w:pPr>
      <w:r>
        <w:rPr>
          <w:rStyle w:val="InsertedText"/>
        </w:rPr>
        <w:t xml:space="preserve">Figure 18: HALAH prototype workflow from consent creation to audited access decision</w:t>
      </w:r>
    </w:p>
    <w:bookmarkEnd w:id="157"/>
    <w:bookmarkStart w:id="158"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ID</w:t>
            </w:r>
          </w:p>
        </w:tc>
        <w:tc>
          <w:tcPr>
            <w:tcBorders>
              <w:bottom w:val="single" w:sz="8" w:space="0" w:color="000000"/>
            </w:tcBorders>
            <w:shd w:val="clear" w:color="auto" w:fill="E7E6E6"/>
            <w:vAlign w:val="center"/>
          </w:tcPr>
          <w:p>
            <w:pPr>
              <w:pStyle w:val="Compact"/>
              <w:jc w:val="left"/>
            </w:pPr>
            <w:r>
              <w:rPr>
                <w:rStyle w:val="InsertedText"/>
                <w:b/>
                <w:bCs/>
              </w:rPr>
              <w:t xml:space="preserve">Scenario</w:t>
            </w:r>
          </w:p>
        </w:tc>
        <w:tc>
          <w:tcPr>
            <w:tcBorders>
              <w:bottom w:val="single" w:sz="8" w:space="0" w:color="000000"/>
            </w:tcBorders>
            <w:shd w:val="clear" w:color="auto" w:fill="E7E6E6"/>
            <w:vAlign w:val="center"/>
          </w:tcPr>
          <w:p>
            <w:pPr>
              <w:pStyle w:val="Compact"/>
              <w:jc w:val="left"/>
            </w:pPr>
            <w:r>
              <w:rPr>
                <w:rStyle w:val="InsertedText"/>
                <w:b/>
                <w:bCs/>
              </w:rPr>
              <w:t xml:space="preserve">Condition tested → expected outcome</w:t>
            </w:r>
          </w:p>
        </w:tc>
        <w:tc>
          <w:tcPr>
            <w:tcBorders>
              <w:bottom w:val="single" w:sz="8" w:space="0" w:color="000000"/>
            </w:tcBorders>
            <w:shd w:val="clear" w:color="auto" w:fill="E7E6E6"/>
            <w:vAlign w:val="center"/>
          </w:tcPr>
          <w:p>
            <w:pPr>
              <w:pStyle w:val="Compact"/>
              <w:jc w:val="left"/>
            </w:pPr>
            <w:r>
              <w:rPr>
                <w:rStyle w:val="InsertedText"/>
                <w:b/>
                <w:bCs/>
              </w:rPr>
              <w:t xml:space="preserve">Predicate</w:t>
            </w:r>
          </w:p>
        </w:tc>
        <w:tc>
          <w:tcPr>
            <w:tcBorders>
              <w:bottom w:val="single" w:sz="8" w:space="0" w:color="000000"/>
            </w:tcBorders>
            <w:shd w:val="clear" w:color="auto" w:fill="E7E6E6"/>
            <w:vAlign w:val="center"/>
          </w:tcPr>
          <w:p>
            <w:pPr>
              <w:pStyle w:val="Compact"/>
              <w:jc w:val="left"/>
            </w:pPr>
            <w:r>
              <w:rPr>
                <w:rStyle w:val="InsertedText"/>
                <w:b/>
                <w:bCs/>
              </w:rPr>
              <w:t xml:space="preserve">Observed</w:t>
            </w:r>
          </w:p>
        </w:tc>
      </w:tr>
      <w:tr>
        <w:trPr>
          <w:cantSplit/>
        </w:trP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Token</w:t>
            </w:r>
          </w:p>
        </w:tc>
        <w:tc>
          <w:tcPr>
            <w:tcBorders>
              <w:bottom w:val="single" w:sz="8" w:space="0" w:color="000000"/>
            </w:tcBorders>
            <w:shd w:val="clear" w:color="auto" w:fill="E7E6E6"/>
            <w:vAlign w:val="center"/>
          </w:tcPr>
          <w:p>
            <w:pPr>
              <w:pStyle w:val="Compact"/>
              <w:jc w:val="left"/>
            </w:pPr>
            <w:r>
              <w:rPr>
                <w:rStyle w:val="InsertedText"/>
                <w:b/>
                <w:bCs/>
              </w:rPr>
              <w:t xml:space="preserve">Block</w:t>
            </w:r>
          </w:p>
        </w:tc>
        <w:tc>
          <w:tcPr>
            <w:tcBorders>
              <w:bottom w:val="single" w:sz="8" w:space="0" w:color="000000"/>
            </w:tcBorders>
            <w:shd w:val="clear" w:color="auto" w:fill="E7E6E6"/>
            <w:vAlign w:val="center"/>
          </w:tcPr>
          <w:p>
            <w:pPr>
              <w:pStyle w:val="Compact"/>
              <w:jc w:val="left"/>
            </w:pPr>
            <w:r>
              <w:rPr>
                <w:rStyle w:val="InsertedText"/>
                <w:b/>
                <w:bCs/>
              </w:rPr>
              <w:t xml:space="preserve">Transaction hash</w:t>
            </w:r>
          </w:p>
        </w:tc>
      </w:tr>
      <w:tr>
        <w:trPr>
          <w:cantSplit/>
        </w:trP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rPr>
          <w:cantSplit/>
        </w:trP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rPr>
          <w:cantSplit/>
        </w:trP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rPr>
          <w:cantSplit/>
        </w:trP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9"/>
    <w:bookmarkStart w:id="160"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60"/>
    <w:bookmarkEnd w:id="161"/>
    <w:bookmarkStart w:id="168"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62"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62"/>
    <w:bookmarkStart w:id="163"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5"/>
    <w:bookmarkStart w:id="166"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rPr>
          <w:cantSplit/>
        </w:trP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2026-09-28T11:14:14Z</dcterms:created>
  <dcterms:modified xsi:type="dcterms:W3CDTF">2026-09-28T11:14:14Z</dcterms:modified>
</cp:coreProperties>
</file>

<file path=docProps/custom.xml><?xml version="1.0" encoding="utf-8"?>
<Properties xmlns="http://schemas.openxmlformats.org/officeDocument/2006/custom-properties" xmlns:vt="http://schemas.openxmlformats.org/officeDocument/2006/docPropsVTypes"/>
</file>