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2.png" ContentType="image/png"/>
  <Override PartName="/word/media/rId57.png" ContentType="image/png"/>
  <Override PartName="/word/media/rId60.png" ContentType="image/png"/>
  <Override PartName="/word/media/rId64.png" ContentType="image/png"/>
  <Override PartName="/word/media/rId71.png" ContentType="image/png"/>
  <Override PartName="/word/media/rId85.png" ContentType="image/png"/>
  <Override PartName="/word/media/rId93.png" ContentType="image/png"/>
  <Override PartName="/word/media/rId100.png" ContentType="image/png"/>
  <Override PartName="/word/media/rId106.png" ContentType="image/png"/>
  <Override PartName="/word/media/rId115.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Authorization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August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2"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BodyText"/>
      </w:pPr>
      <w: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subsequent next stage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pStyle w:val="BodyText"/>
      </w:pPr>
      <w: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 Research Scope and Progression</w:t>
      </w:r>
    </w:p>
    <w:tbl>
      <w:tblPr>
        <w:tblStyle w:val="Table"/>
        <w:tblW w:type="pct" w:w="5000"/>
        <w:tblLayout w:type="fixed"/>
        <w:tblLook w:firstRow="1" w:lastRow="0" w:firstColumn="0" w:lastColumn="0" w:noHBand="0" w:noVBand="0" w:val="0020"/>
        <w:tblCaption w:val="Table 1: Research Scope and Progression"/>
      </w:tblPr>
      <w:tblGrid>
        <w:gridCol w:w="1092"/>
        <w:gridCol w:w="2093"/>
        <w:gridCol w:w="473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End w:id="12"/>
    <w:bookmarkStart w:id="37" w:name="systematic-literature-review"/>
    <w:p>
      <w:pPr>
        <w:pStyle w:val="Heading1"/>
      </w:pPr>
      <w:r>
        <w:t xml:space="preserve">2 Systematic Literature Review</w:t>
      </w:r>
    </w:p>
    <w:bookmarkStart w:id="13" w:name="overview"/>
    <w:p>
      <w:pPr>
        <w:pStyle w:val="Heading2"/>
      </w:pPr>
      <w:r>
        <w:t xml:space="preserve">2.1 Overview</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bookmarkEnd w:id="13"/>
    <w:bookmarkStart w:id="27" w:name="systematic-literature-review-methodology"/>
    <w:p>
      <w:pPr>
        <w:pStyle w:val="Heading2"/>
      </w:pPr>
      <w:r>
        <w:t xml:space="preserve">2.2 Systematic Literature Review Methodology</w:t>
      </w:r>
    </w:p>
    <w:p>
      <w:pPr>
        <w:pStyle w:val="FirstParagraph"/>
      </w:pPr>
      <w:r>
        <w:t xml:space="preserve">Based on the provided list of 33 references (spanning years 2022 to 2026, with a focus on blockchain, decentralized identity, verifiable credentials, healthcare access control, and consent management), the text has been adjusted to accurately reflect this contemporary literature corpus.</w:t>
      </w:r>
    </w:p>
    <w:p>
      <w:pPr>
        <w:pStyle w:val="BodyText"/>
      </w:pPr>
      <w:r>
        <w:t xml:space="preserve">Specifically, references [1, 2, 3, 7, 9, 11, 12, 13, 14, 21, 22, 24, 28, 31, 32] anchor the healthcare data sharing, consent, and access control aspects, while [4, 5, 10, 15, 16, 20, 23, 25, 27, 33] support the decentralized identifiers (DIDs), verifiable credentials (VCs), and trust architecture dimensions. Furthermore, the final inclusion count in the screening section has been aligned with the scope of the provided bibliography.</w:t>
      </w:r>
    </w:p>
    <w:bookmarkStart w:id="14" w:name="review-design-and-reporting-framework"/>
    <w:p>
      <w:pPr>
        <w:pStyle w:val="Heading3"/>
      </w:pPr>
      <w:r>
        <w:t xml:space="preserve">2.2.1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decentralized identity, privacy-preserving access control, and auditability. The review was designed to establish the conceptual and technical foundations of the research and thus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authorization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bookmarkEnd w:id="14"/>
    <w:bookmarkStart w:id="15" w:name="questions-for-review"/>
    <w:p>
      <w:pPr>
        <w:pStyle w:val="Heading3"/>
      </w:pPr>
      <w:r>
        <w:t xml:space="preserve">2.2.2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decentralized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15"/>
    <w:bookmarkStart w:id="19" w:name="search-databases-and-search-strategy"/>
    <w:p>
      <w:pPr>
        <w:pStyle w:val="Heading3"/>
      </w:pPr>
      <w:r>
        <w:t xml:space="preserve">2.2.3 Search Databases and Search Strategy</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decentralized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decentralized identity, access control, privacy, and auditability. The general search string was defined as shown in Figure 1.</w:t>
      </w:r>
    </w:p>
    <w:p>
      <w:pPr>
        <w:pStyle w:val="CaptionedFigure"/>
      </w:pPr>
      <w:r>
        <w:drawing>
          <wp:inline>
            <wp:extent cx="5465445" cy="3370858"/>
            <wp:effectExtent b="0" l="0" r="0" t="0"/>
            <wp:docPr descr="Figure 1: SLR Search String Definition" title="" id="17" name="Picture"/>
            <a:graphic>
              <a:graphicData uri="http://schemas.openxmlformats.org/drawingml/2006/picture">
                <pic:pic>
                  <pic:nvPicPr>
                    <pic:cNvPr descr="media/fig01.png" id="18" name="Picture"/>
                    <pic:cNvPicPr>
                      <a:picLocks noChangeArrowheads="1" noChangeAspect="1"/>
                    </pic:cNvPicPr>
                  </pic:nvPicPr>
                  <pic:blipFill>
                    <a:blip r:embed="rId16"/>
                    <a:stretch>
                      <a:fillRect/>
                    </a:stretch>
                  </pic:blipFill>
                  <pic:spPr bwMode="auto">
                    <a:xfrm>
                      <a:off x="0" y="0"/>
                      <a:ext cx="5465445" cy="3370858"/>
                    </a:xfrm>
                    <a:prstGeom prst="rect">
                      <a:avLst/>
                    </a:prstGeom>
                    <a:noFill/>
                    <a:ln w="9525">
                      <a:noFill/>
                      <a:headEnd/>
                      <a:tailEnd/>
                    </a:ln>
                  </pic:spPr>
                </pic:pic>
              </a:graphicData>
            </a:graphic>
          </wp:inline>
        </w:drawing>
      </w:r>
    </w:p>
    <w:p>
      <w:pPr>
        <w:pStyle w:val="ImageCaption"/>
      </w:pPr>
      <w:r>
        <w:t xml:space="preserve">Figure 1: SLR Search String Definition</w:t>
      </w:r>
    </w:p>
    <w:bookmarkEnd w:id="19"/>
    <w:bookmarkStart w:id="20" w:name="search-period-and-search-execution"/>
    <w:p>
      <w:pPr>
        <w:pStyle w:val="Heading3"/>
      </w:pPr>
      <w:r>
        <w:t xml:space="preserve">2.2.4 Search Period and Search Execution</w:t>
      </w:r>
    </w:p>
    <w:p>
      <w:pPr>
        <w:pStyle w:val="FirstParagraph"/>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on</w:t>
      </w:r>
      <w:r>
        <w:t xml:space="preserve"> </w:t>
      </w:r>
      <w:r>
        <w:rPr>
          <w:b/>
          <w:bCs/>
        </w:rPr>
        <w:t xml:space="preserve">August 2026</w:t>
      </w:r>
      <w:r>
        <w:t xml:space="preserve">. The search period was selected to capture the rapid development of multi-party trust healthcare data management, decentralized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bookmarkEnd w:id="20"/>
    <w:bookmarkStart w:id="21" w:name="eligibility-criteria"/>
    <w:p>
      <w:pPr>
        <w:pStyle w:val="Heading3"/>
      </w:pPr>
      <w:r>
        <w:t xml:space="preserve">2.2.5 Eligibility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decentralized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bookmarkEnd w:id="21"/>
    <w:bookmarkStart w:id="25" w:name="screening-and-study-selection"/>
    <w:p>
      <w:pPr>
        <w:pStyle w:val="Heading3"/>
      </w:pPr>
      <w:r>
        <w:t xml:space="preserve">2.2.6 Screening and Study Selection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authorization,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65445" cy="2819058"/>
            <wp:effectExtent b="0" l="0" r="0" t="0"/>
            <wp:docPr descr="Figure 2: PRISMA Study Selection Summary" title="" id="23" name="Picture"/>
            <a:graphic>
              <a:graphicData uri="http://schemas.openxmlformats.org/drawingml/2006/picture">
                <pic:pic>
                  <pic:nvPicPr>
                    <pic:cNvPr descr="media/fig02.png" id="24" name="Picture"/>
                    <pic:cNvPicPr>
                      <a:picLocks noChangeArrowheads="1" noChangeAspect="1"/>
                    </pic:cNvPicPr>
                  </pic:nvPicPr>
                  <pic:blipFill>
                    <a:blip r:embed="rId22"/>
                    <a:stretch>
                      <a:fillRect/>
                    </a:stretch>
                  </pic:blipFill>
                  <pic:spPr bwMode="auto">
                    <a:xfrm>
                      <a:off x="0" y="0"/>
                      <a:ext cx="5465445" cy="2819058"/>
                    </a:xfrm>
                    <a:prstGeom prst="rect">
                      <a:avLst/>
                    </a:prstGeom>
                    <a:noFill/>
                    <a:ln w="9525">
                      <a:noFill/>
                      <a:headEnd/>
                      <a:tailEnd/>
                    </a:ln>
                  </pic:spPr>
                </pic:pic>
              </a:graphicData>
            </a:graphic>
          </wp:inline>
        </w:drawing>
      </w:r>
    </w:p>
    <w:p>
      <w:pPr>
        <w:pStyle w:val="ImageCaption"/>
      </w:pPr>
      <w:r>
        <w:t xml:space="preserve">Figure 2: PRISMA Study Selection Summary</w:t>
      </w:r>
    </w:p>
    <w:p>
      <w:pPr>
        <w:pStyle w:val="BodyText"/>
      </w:pPr>
      <w:r>
        <w:t xml:space="preserve">Figure 2 presents the PRISMA flow diagram for this review which summarizes the identification, screening, eligibility, and inclusion stages of the SLR. The final number of included studies was derived after completing the screening and eligibility assessment across the identified literature base.</w:t>
      </w:r>
    </w:p>
    <w:bookmarkEnd w:id="25"/>
    <w:bookmarkStart w:id="26" w:name="data-extraction-and-synthesis"/>
    <w:p>
      <w:pPr>
        <w:pStyle w:val="Heading3"/>
      </w:pPr>
      <w:r>
        <w:t xml:space="preserve">2.2.7 Data Extraction and Synthesis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organized into thematic categories corresponding to the research questions. These categories included consent specification and management, decentralized identity and credential verification, authorization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authorization,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bookmarkEnd w:id="26"/>
    <w:bookmarkEnd w:id="27"/>
    <w:bookmarkStart w:id="35" w:name="review"/>
    <w:p>
      <w:pPr>
        <w:pStyle w:val="Heading2"/>
      </w:pPr>
      <w:r>
        <w:t xml:space="preserve">2.3 Review</w:t>
      </w:r>
    </w:p>
    <w:p>
      <w:pPr>
        <w:pStyle w:val="FirstParagraph"/>
      </w:pPr>
      <w: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bookmarkStart w:id="28" w:name="Xf0d39a1e46bef7b65f013535e5ed0149354ae05"/>
    <w:p>
      <w:pPr>
        <w:pStyle w:val="Heading3"/>
      </w:pPr>
      <w:r>
        <w:t xml:space="preserve">2.3.1 Healthcare Consent and Decentralised Data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bookmarkEnd w:id="28"/>
    <w:bookmarkStart w:id="29" w:name="X2a81d1017ab362264ba053931c582f4a6c34161"/>
    <w:p>
      <w:pPr>
        <w:pStyle w:val="Heading3"/>
      </w:pPr>
      <w:r>
        <w:t xml:space="preserve">2.3.2 Blockchain-Based Consent and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pStyle w:val="BodyText"/>
      </w:pPr>
      <w: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bookmarkEnd w:id="29"/>
    <w:bookmarkStart w:id="30" w:name="Xce8374abd25737680a0ea224e7b0673254898a7"/>
    <w:p>
      <w:pPr>
        <w:pStyle w:val="Heading3"/>
      </w:pPr>
      <w:r>
        <w:t xml:space="preserve">2.3.3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bookmarkEnd w:id="30"/>
    <w:bookmarkStart w:id="31" w:name="X3a5b3d1d0a9f1be36ba29fe34578e9369c010e5"/>
    <w:p>
      <w:pPr>
        <w:pStyle w:val="Heading3"/>
      </w:pPr>
      <w:r>
        <w:t xml:space="preserve">2.3.4 Multi-Party Authorisation and Collaborative Consent</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bookmarkEnd w:id="31"/>
    <w:bookmarkStart w:id="32" w:name="Xbcf1c150ceed73ca1d49c8591d5085e7f71fea1"/>
    <w:p>
      <w:pPr>
        <w:pStyle w:val="Heading3"/>
      </w:pPr>
      <w:r>
        <w:t xml:space="preserve">2.3.5 Policy-Based and Context-Aware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observations and medications,</w:t>
      </w:r>
    </w:p>
    <w:p>
      <w:pPr>
        <w:pStyle w:val="BodyText"/>
      </w:pPr>
      <m:oMathPara>
        <m:oMathParaPr>
          <m:jc m:val="center"/>
        </m:oMathParaPr>
        <m:oMath>
          <m:sSub>
            <m:e>
              <m:r>
                <m:t>S</m:t>
              </m:r>
            </m:e>
            <m:sub>
              <m:r>
                <m:t>C</m:t>
              </m:r>
            </m:sub>
          </m:sSub>
          <m:r>
            <m:rPr>
              <m:sty m:val="p"/>
            </m:rPr>
            <m:t>=</m:t>
          </m:r>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rPr>
              <m:sty m:val="p"/>
            </m:rPr>
            <m:t>,</m:t>
          </m:r>
          <m:r>
            <m:t>  </m:t>
          </m:r>
          <m:r>
            <m:t>  </m:t>
          </m:r>
          <m:r>
            <m:rPr>
              <m:sty m:val="p"/>
            </m:rPr>
            <m:t>(</m:t>
          </m:r>
          <m:r>
            <m:t>3</m:t>
          </m:r>
          <m:r>
            <m:rPr>
              <m:sty m:val="p"/>
            </m:rPr>
            <m:t>)</m:t>
          </m:r>
        </m:oMath>
      </m:oMathPara>
    </w:p>
    <w:p>
      <w:pPr>
        <w:pStyle w:val="FirstParagraph"/>
      </w:pPr>
      <w:r>
        <w:t xml:space="preserve">then a request for observations, medications, and procedures,</w:t>
      </w:r>
    </w:p>
    <w:p>
      <w:pPr>
        <w:pStyle w:val="BodyText"/>
      </w:pPr>
      <m:oMathPara>
        <m:oMathParaPr>
          <m:jc m:val="center"/>
        </m:oMathParaPr>
        <m:oMath>
          <m:sSub>
            <m:e>
              <m:r>
                <m:t>S</m:t>
              </m:r>
            </m:e>
            <m:sub>
              <m:r>
                <m:t>R</m:t>
              </m:r>
            </m:sub>
          </m:sSub>
          <m:r>
            <m:rPr>
              <m:sty m:val="p"/>
            </m:rPr>
            <m:t>=</m:t>
          </m:r>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bookmarkEnd w:id="32"/>
    <w:bookmarkStart w:id="33" w:name="X70697d1bf80033494359f9b6207e02cd31d6057"/>
    <w:p>
      <w:pPr>
        <w:pStyle w:val="Heading3"/>
      </w:pPr>
      <w:r>
        <w:t xml:space="preserve">2.3.6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 This research establishes the conceptual foundation for such integration. Future work can therefore investigate how trusted execution and remote attestation can strengthen the enforcement and verification of decentralised consent decisions.</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bookmarkEnd w:id="33"/>
    <w:bookmarkStart w:id="34" w:name="X825064b2f9c6a59f6907e485e5a8e31c4a70bee"/>
    <w:p>
      <w:pPr>
        <w:pStyle w:val="Heading3"/>
      </w:pPr>
      <w:r>
        <w:t xml:space="preserve">2.3.7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 summarises the principal focus and limitations of the major research streams and positions the proposed framework relative to the existing literature.</w:t>
      </w:r>
    </w:p>
    <w:p>
      <w:pPr>
        <w:pStyle w:val="TableCaption"/>
      </w:pPr>
      <w:r>
        <w:t xml:space="preserve">Table 2: Comparison of Existing Research Approaches and the Proposed Framework</w:t>
      </w:r>
    </w:p>
    <w:tbl>
      <w:tblPr>
        <w:tblStyle w:val="Table"/>
        <w:tblW w:type="pct" w:w="5000"/>
        <w:tblLayout w:type="fixed"/>
        <w:tblLook w:firstRow="1" w:lastRow="0" w:firstColumn="0" w:lastColumn="0" w:noHBand="0" w:noVBand="0" w:val="0020"/>
        <w:tblCaption w:val="Table 2: Comparison of Existing Research Approaches and the Proposed Framework"/>
      </w:tblPr>
      <w:tblGrid>
        <w:gridCol w:w="1584"/>
        <w:gridCol w:w="2006"/>
        <w:gridCol w:w="2534"/>
        <w:gridCol w:w="179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[31, 22, 14, 24, 12, 13, 10]</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[1, 2, 7, 3, 30, 26, 8,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[20, 33, 4, 16, 27, 5]</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[19, 4, 21, 9]</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[32, 11, 28, 25]</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[23, 17, 18]</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34"/>
    <w:bookmarkEnd w:id="35"/>
    <w:bookmarkStart w:id="36" w:name="synthesis-and-research-gap"/>
    <w:p>
      <w:pPr>
        <w:pStyle w:val="Heading2"/>
      </w:pPr>
      <w:r>
        <w:t xml:space="preserve">2.4 Synthesis and Research Gap</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36"/>
    <w:bookmarkEnd w:id="37"/>
    <w:bookmarkStart w:id="48" w:name="research-gaps-and-questions"/>
    <w:p>
      <w:pPr>
        <w:pStyle w:val="Heading1"/>
      </w:pPr>
      <w:r>
        <w:t xml:space="preserve">3 Research Gaps and Questions</w:t>
      </w:r>
    </w:p>
    <w:bookmarkStart w:id="38"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38"/>
    <w:bookmarkStart w:id="39"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39"/>
    <w:bookmarkStart w:id="46"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0"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0"/>
    <w:bookmarkStart w:id="41"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w:t>
      </w:r>
      <w:r>
        <w:rPr>
          <w:i/>
          <w:iCs/>
        </w:rPr>
        <w:t xml:space="preserve">Identity</w:t>
      </w:r>
      <w:r>
        <w:t xml:space="preserve"≯ =</w:t>
      </w:r>
      <w:r>
        <w:t xml:space="preserve"> </w:t>
      </w:r>
      <w:r>
        <w:rPr>
          <w:i/>
          <w:iCs/>
        </w:rPr>
        <w:t xml:space="preserve">Authorisation.</w:t>
      </w:r>
      <w:r>
        <w:t xml:space="preserve"> </w:t>
      </w:r>
      <w:r>
        <w:t xml:space="preserve">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1"/>
    <w:bookmarkStart w:id="42"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2"/>
    <w:bookmarkStart w:id="43"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if a consent authorises access to</w:t>
      </w:r>
    </w:p>
    <w:p>
      <w:pPr>
        <w:pStyle w:val="BodyText"/>
      </w:pPr>
      <m:oMathPara>
        <m:oMathParaPr>
          <m:jc m:val="center"/>
        </m:oMathParaPr>
        <m:oMath>
          <m:sSub>
            <m:e>
              <m:r>
                <m:t>S</m:t>
              </m:r>
            </m:e>
            <m:sub>
              <m:r>
                <m:t>C</m:t>
              </m:r>
            </m:sub>
          </m:sSub>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  </m:t>
          </m:r>
          <m:r>
            <m:t>  </m:t>
          </m:r>
          <m:r>
            <m:rPr>
              <m:sty m:val="p"/>
            </m:rPr>
            <m:t>(</m:t>
          </m:r>
          <m:r>
            <m:t>12</m:t>
          </m:r>
          <m:r>
            <m:rPr>
              <m:sty m:val="p"/>
            </m:rPr>
            <m:t>)</m:t>
          </m:r>
        </m:oMath>
      </m:oMathPara>
    </w:p>
    <w:p>
      <w:pPr>
        <w:pStyle w:val="FirstParagraph"/>
      </w:pPr>
      <w:r>
        <w:t xml:space="preserve">while the request contains</w:t>
      </w:r>
    </w:p>
    <w:p>
      <w:pPr>
        <w:pStyle w:val="BodyText"/>
      </w:pPr>
      <m:oMathPara>
        <m:oMathParaPr>
          <m:jc m:val="center"/>
        </m:oMathParaPr>
        <m:oMath>
          <m:sSub>
            <m:e>
              <m:r>
                <m:t>S</m:t>
              </m:r>
            </m:e>
            <m:sub>
              <m:r>
                <m:t>R</m:t>
              </m:r>
            </m:sub>
          </m:sSub>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  </m:t>
          </m:r>
          <m:r>
            <m:t>  </m:t>
          </m:r>
          <m:r>
            <m:rPr>
              <m:sty m:val="p"/>
            </m:rPr>
            <m:t>(</m:t>
          </m:r>
          <m:r>
            <m:t>13</m:t>
          </m:r>
          <m:r>
            <m:rPr>
              <m:sty m:val="p"/>
            </m:rPr>
            <m:t>)</m:t>
          </m:r>
        </m:oMath>
      </m:oMathPara>
    </w:p>
    <w:p>
      <w:pPr>
        <w:pStyle w:val="FirstParagraph"/>
      </w:pPr>
      <w:r>
        <w:t xml:space="preserve">the request must be rejected when</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14</m:t>
          </m:r>
          <m:r>
            <m:rPr>
              <m:sty m:val="p"/>
            </m:rPr>
            <m:t>)</m:t>
          </m:r>
        </m:oMath>
      </m:oMathPara>
    </w:p>
    <w:p>
      <w:pPr>
        <w:pStyle w:val="FirstParagraph"/>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43"/>
    <w:bookmarkStart w:id="44"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15</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16</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17</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18</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44"/>
    <w:bookmarkStart w:id="45"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19</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20</m:t>
          </m:r>
          <m:r>
            <m:rPr>
              <m:sty m:val="p"/>
            </m:rPr>
            <m:t>)</m:t>
          </m:r>
        </m:oMath>
      </m:oMathPara>
    </w:p>
    <w:p>
      <w:pPr>
        <w:pStyle w:val="FirstParagraph"/>
      </w:pPr>
      <w:r>
        <w:t xml:space="preserve">authorisation integrity</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21</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22</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23</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24</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25</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26</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45"/>
    <w:bookmarkEnd w:id="46"/>
    <w:bookmarkStart w:id="47"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27</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that</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D</m:t>
          </m:r>
          <m:r>
            <m:t>E</m:t>
          </m:r>
          <m:r>
            <m:t>N</m:t>
          </m:r>
          <m:r>
            <m:t>Y</m:t>
          </m:r>
          <m:r>
            <m:rPr>
              <m:sty m:val="p"/>
            </m:rPr>
            <m:t>.</m:t>
          </m:r>
          <m:r>
            <m:t>  </m:t>
          </m:r>
          <m:r>
            <m:t>  </m:t>
          </m:r>
          <m:r>
            <m:rPr>
              <m:sty m:val="p"/>
            </m:rPr>
            <m:t>(</m:t>
          </m:r>
          <m:r>
            <m:t>28</m:t>
          </m:r>
          <m:r>
            <m:rPr>
              <m:sty m:val="p"/>
            </m:rPr>
            <m:t>)</m:t>
          </m:r>
        </m:oMath>
      </m:oMathPara>
    </w:p>
    <w:p>
      <w:pPr>
        <w:pStyle w:val="FirstParagraph"/>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seamlessly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47"/>
    <w:bookmarkEnd w:id="48"/>
    <w:bookmarkStart w:id="56"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 while the final two objectives extend and evaluate these mechanisms as part of the next research programme.</w:t>
      </w:r>
    </w:p>
    <w:bookmarkStart w:id="49"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bookmarkEnd w:id="49"/>
    <w:bookmarkStart w:id="50"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0"/>
    <w:bookmarkStart w:id="51"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RQ3 and extends the consent model from an individual permission statement to a collective authorisation decision.</w:t>
      </w:r>
    </w:p>
    <w:bookmarkEnd w:id="51"/>
    <w:bookmarkStart w:id="52"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bookmarkEnd w:id="52"/>
    <w:bookmarkStart w:id="53"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 stageresearch programme. It will investigate how temporal and lifecycle conditions can be incorporated into the authorisation decision without weakening the trust relationships established by the current stage mechanisms.</w:t>
      </w:r>
    </w:p>
    <w:bookmarkEnd w:id="53"/>
    <w:bookmarkStart w:id="54"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next stage works.</w:t>
      </w:r>
    </w:p>
    <w:bookmarkEnd w:id="54"/>
    <w:bookmarkStart w:id="55"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3 and Table 3. The mapping follows the structure of the research programme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 reliable under dynamic lifecycle conditions and whether their security and practical effectiveness can be formally and empirically demonstrated.</w:t>
      </w:r>
    </w:p>
    <w:p>
      <w:pPr>
        <w:pStyle w:val="TableCaption"/>
      </w:pPr>
      <w:r>
        <w:t xml:space="preserve">Table 3: Research Questions, Research Objectives, and Thesis Chapters for Current Stage</w:t>
      </w:r>
    </w:p>
    <w:tbl>
      <w:tblPr>
        <w:tblStyle w:val="Table"/>
        <w:tblW w:type="pct" w:w="5000"/>
        <w:tblLayout w:type="fixed"/>
        <w:tblLook w:firstRow="1" w:lastRow="0" w:firstColumn="0" w:lastColumn="0" w:noHBand="0" w:noVBand="0" w:val="0020"/>
        <w:tblCaption w:val="Table 3: Research Questions, Research Objectives, and Thesis Chapters for Current Stage"/>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 Research Questions, Research Objectives, and Thesis Chapters for CA3</w:t>
      </w:r>
    </w:p>
    <w:tbl>
      <w:tblPr>
        <w:tblStyle w:val="Table"/>
        <w:tblW w:type="pct" w:w="5000"/>
        <w:tblLayout w:type="fixed"/>
        <w:tblLook w:firstRow="1" w:lastRow="0" w:firstColumn="0" w:lastColumn="0" w:noHBand="0" w:noVBand="0" w:val="0020"/>
        <w:tblCaption w:val="Table 4: Research Questions, Research Objectives, and Thesis Chapters for CA3"/>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29</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30</m:t>
          </m:r>
          <m:r>
            <m:rPr>
              <m:sty m:val="p"/>
            </m:rPr>
            <m:t>)</m:t>
          </m:r>
        </m:oMath>
      </m:oMathPara>
    </w:p>
    <w:p>
      <w:pPr>
        <w:pStyle w:val="FirstParagraph"/>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55"/>
    <w:bookmarkEnd w:id="56"/>
    <w:bookmarkStart w:id="84"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70"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65445" cy="3378365"/>
            <wp:effectExtent b="0" l="0" r="0" t="0"/>
            <wp:docPr descr="Figure 3: Layered MVC Architecture and Component Decomposition of the HALAH Framework" title="" id="58" name="Picture"/>
            <a:graphic>
              <a:graphicData uri="http://schemas.openxmlformats.org/drawingml/2006/picture">
                <pic:pic>
                  <pic:nvPicPr>
                    <pic:cNvPr descr="media/fig03.png" id="59" name="Picture"/>
                    <pic:cNvPicPr>
                      <a:picLocks noChangeArrowheads="1" noChangeAspect="1"/>
                    </pic:cNvPicPr>
                  </pic:nvPicPr>
                  <pic:blipFill>
                    <a:blip r:embed="rId57"/>
                    <a:stretch>
                      <a:fillRect/>
                    </a:stretch>
                  </pic:blipFill>
                  <pic:spPr bwMode="auto">
                    <a:xfrm>
                      <a:off x="0" y="0"/>
                      <a:ext cx="5465445" cy="3378365"/>
                    </a:xfrm>
                    <a:prstGeom prst="rect">
                      <a:avLst/>
                    </a:prstGeom>
                    <a:noFill/>
                    <a:ln w="9525">
                      <a:noFill/>
                      <a:headEnd/>
                      <a:tailEnd/>
                    </a:ln>
                  </pic:spPr>
                </pic:pic>
              </a:graphicData>
            </a:graphic>
          </wp:inline>
        </w:drawing>
      </w:r>
    </w:p>
    <w:p>
      <w:pPr>
        <w:pStyle w:val="ImageCaption"/>
      </w:pPr>
      <w:r>
        <w:t xml:space="preserve">Figure 3: Layered MVC Architecture and Component Decomposition of the HALAH Framework</w:t>
      </w:r>
    </w:p>
    <w:bookmarkStart w:id="63"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65445" cy="848345"/>
            <wp:effectExtent b="0" l="0" r="0" t="0"/>
            <wp:docPr descr="Figure 4: Functional Decomposition of the MVC Components" title="" id="61" name="Picture"/>
            <a:graphic>
              <a:graphicData uri="http://schemas.openxmlformats.org/drawingml/2006/picture">
                <pic:pic>
                  <pic:nvPicPr>
                    <pic:cNvPr descr="media/fig04.png" id="62" name="Picture"/>
                    <pic:cNvPicPr>
                      <a:picLocks noChangeArrowheads="1" noChangeAspect="1"/>
                    </pic:cNvPicPr>
                  </pic:nvPicPr>
                  <pic:blipFill>
                    <a:blip r:embed="rId60"/>
                    <a:stretch>
                      <a:fillRect/>
                    </a:stretch>
                  </pic:blipFill>
                  <pic:spPr bwMode="auto">
                    <a:xfrm>
                      <a:off x="0" y="0"/>
                      <a:ext cx="5465445" cy="848345"/>
                    </a:xfrm>
                    <a:prstGeom prst="rect">
                      <a:avLst/>
                    </a:prstGeom>
                    <a:noFill/>
                    <a:ln w="9525">
                      <a:noFill/>
                      <a:headEnd/>
                      <a:tailEnd/>
                    </a:ln>
                  </pic:spPr>
                </pic:pic>
              </a:graphicData>
            </a:graphic>
          </wp:inline>
        </w:drawing>
      </w:r>
    </w:p>
    <w:p>
      <w:pPr>
        <w:pStyle w:val="ImageCaption"/>
      </w:pPr>
      <w:r>
        <w:t xml:space="preserve">Figure 4: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63"/>
    <w:bookmarkStart w:id="67"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w:t>
      </w:r>
    </w:p>
    <w:p>
      <w:pPr>
        <w:pStyle w:val="BodyText"/>
      </w:pPr>
      <w:r>
        <w:t xml:space="preserve">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31</m:t>
          </m:r>
          <m:r>
            <m:rPr>
              <m:sty m:val="p"/>
            </m:rPr>
            <m:t>)</m:t>
          </m:r>
        </m:oMath>
      </m:oMathPara>
    </w:p>
    <w:p>
      <w:pPr>
        <w:pStyle w:val="FirstParagraph"/>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D</m:t>
          </m:r>
          <m:r>
            <m:t>E</m:t>
          </m:r>
          <m:r>
            <m:t>N</m:t>
          </m:r>
          <m:r>
            <m:t>Y</m:t>
          </m:r>
          <m:r>
            <m:rPr>
              <m:sty m:val="p"/>
            </m:rPr>
            <m:t>.</m:t>
          </m:r>
          <m:r>
            <m:t>  </m:t>
          </m:r>
          <m:r>
            <m:t>  </m:t>
          </m:r>
          <m:r>
            <m:rPr>
              <m:sty m:val="p"/>
            </m:rPr>
            <m:t>(</m:t>
          </m:r>
          <m:r>
            <m:t>32</m:t>
          </m:r>
          <m:r>
            <m:rPr>
              <m:sty m:val="p"/>
            </m:rPr>
            <m:t>)</m:t>
          </m:r>
        </m:oMath>
      </m:oMathPara>
    </w:p>
    <w:p>
      <w:pPr>
        <w:pStyle w:val="CaptionedFigure"/>
      </w:pPr>
      <w:r>
        <w:drawing>
          <wp:inline>
            <wp:extent cx="3043824" cy="7519791"/>
            <wp:effectExtent b="0" l="0" r="0" t="0"/>
            <wp:docPr descr="Figure 5: Trust Predicate Evaluation and Authorisation Decision Flow" title="" id="65" name="Picture"/>
            <a:graphic>
              <a:graphicData uri="http://schemas.openxmlformats.org/drawingml/2006/picture">
                <pic:pic>
                  <pic:nvPicPr>
                    <pic:cNvPr descr="media/fig05.png" id="66" name="Picture"/>
                    <pic:cNvPicPr>
                      <a:picLocks noChangeArrowheads="1" noChangeAspect="1"/>
                    </pic:cNvPicPr>
                  </pic:nvPicPr>
                  <pic:blipFill>
                    <a:blip r:embed="rId64"/>
                    <a:stretch>
                      <a:fillRect/>
                    </a:stretch>
                  </pic:blipFill>
                  <pic:spPr bwMode="auto">
                    <a:xfrm>
                      <a:off x="0" y="0"/>
                      <a:ext cx="3043824" cy="7519791"/>
                    </a:xfrm>
                    <a:prstGeom prst="rect">
                      <a:avLst/>
                    </a:prstGeom>
                    <a:noFill/>
                    <a:ln w="9525">
                      <a:noFill/>
                      <a:headEnd/>
                      <a:tailEnd/>
                    </a:ln>
                  </pic:spPr>
                </pic:pic>
              </a:graphicData>
            </a:graphic>
          </wp:inline>
        </w:drawing>
      </w:r>
    </w:p>
    <w:p>
      <w:pPr>
        <w:pStyle w:val="ImageCaption"/>
      </w:pPr>
      <w:r>
        <w:t xml:space="preserve">Figure 5: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67"/>
    <w:bookmarkStart w:id="68"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following</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68"/>
    <w:bookmarkStart w:id="69"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69"/>
    <w:bookmarkEnd w:id="70"/>
    <w:bookmarkStart w:id="74" w:name="Xaaca485badbb4d0f2907cf52a0a8966b9bfd5bf"/>
    <w:p>
      <w:pPr>
        <w:pStyle w:val="Heading2"/>
      </w:pPr>
      <w:r>
        <w:t xml:space="preserve">5.2 Trust-Oriented Consent Authorization Workflow</w:t>
      </w:r>
    </w:p>
    <w:p>
      <w:pPr>
        <w:pStyle w:val="FirstParagraph"/>
      </w:pPr>
      <w: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w:t>
      </w:r>
    </w:p>
    <w:p>
      <w:pPr>
        <w:pStyle w:val="BodyText"/>
      </w:pPr>
      <w:r>
        <w:t xml:space="preserve">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w:t>
      </w:r>
    </w:p>
    <w:p>
      <w:pPr>
        <w:pStyle w:val="BodyText"/>
      </w:pPr>
      <w:r>
        <w:t xml:space="preserve">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authorization threshold. Multi-party authorization is satisfied when</w:t>
      </w:r>
    </w:p>
    <w:p>
      <w:pPr>
        <w:pStyle w:val="CaptionedFigure"/>
      </w:pPr>
      <w:r>
        <w:drawing>
          <wp:inline>
            <wp:extent cx="2434224" cy="7686805"/>
            <wp:effectExtent b="0" l="0" r="0" t="0"/>
            <wp:docPr descr="Figure 6: End-to-End Workflow of Trust-Oriented Consent Authorization Framework" title="" id="72" name="Picture"/>
            <a:graphic>
              <a:graphicData uri="http://schemas.openxmlformats.org/drawingml/2006/picture">
                <pic:pic>
                  <pic:nvPicPr>
                    <pic:cNvPr descr="media/fig06.png" id="73" name="Picture"/>
                    <pic:cNvPicPr>
                      <a:picLocks noChangeArrowheads="1" noChangeAspect="1"/>
                    </pic:cNvPicPr>
                  </pic:nvPicPr>
                  <pic:blipFill>
                    <a:blip r:embed="rId71"/>
                    <a:stretch>
                      <a:fillRect/>
                    </a:stretch>
                  </pic:blipFill>
                  <pic:spPr bwMode="auto">
                    <a:xfrm>
                      <a:off x="0" y="0"/>
                      <a:ext cx="2434224" cy="7686805"/>
                    </a:xfrm>
                    <a:prstGeom prst="rect">
                      <a:avLst/>
                    </a:prstGeom>
                    <a:noFill/>
                    <a:ln w="9525">
                      <a:noFill/>
                      <a:headEnd/>
                      <a:tailEnd/>
                    </a:ln>
                  </pic:spPr>
                </pic:pic>
              </a:graphicData>
            </a:graphic>
          </wp:inline>
        </w:drawing>
      </w:r>
    </w:p>
    <w:p>
      <w:pPr>
        <w:pStyle w:val="ImageCaption"/>
      </w:pPr>
      <w:r>
        <w:t xml:space="preserve">Figure 6: End-to-End Workflow of Trust-Oriented Consent Authorization Framework</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33</m:t>
          </m:r>
          <m:r>
            <m:rPr>
              <m:sty m:val="p"/>
            </m:rPr>
            <m:t>)</m:t>
          </m:r>
        </m:oMath>
      </m:oMathPara>
    </w:p>
    <w:p>
      <w:pPr>
        <w:pStyle w:val="FirstParagraph"/>
      </w:pPr>
      <w:r>
        <w:t xml:space="preserve">If the required threshold is not satisfied, the authorization process terminates with a denial decision. This prevents a single participant from unilaterally establishing authorization when the consent policy requires collective approval.</w:t>
      </w:r>
    </w:p>
    <w:p>
      <w:pPr>
        <w:pStyle w:val="BodyText"/>
      </w:pPr>
      <w:r>
        <w:t xml:space="preserve">When the authorization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w:t>
      </w:r>
      <w:r>
        <w:t xml:space="preserve"> </w:t>
      </w:r>
      <w:r>
        <w:rPr>
          <w:i/>
          <w:iCs/>
        </w:rPr>
        <w:t xml:space="preserve">Observation, Medication</w:t>
      </w:r>
      <w:r>
        <w:t xml:space="preserve">, a request additionally containing</w:t>
      </w:r>
      <w:r>
        <w:t xml:space="preserve"> </w:t>
      </w:r>
      <w:r>
        <w:rPr>
          <w:i/>
          <w:iCs/>
        </w:rPr>
        <w:t xml:space="preserve">Procedure</w:t>
      </w:r>
      <w:r>
        <w:t xml:space="preserve"> </w:t>
      </w:r>
      <w:r>
        <w:t xml:space="preserve">should not be authorized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34</m:t>
          </m:r>
          <m:r>
            <m:rPr>
              <m:sty m:val="p"/>
            </m:rPr>
            <m:t>)</m:t>
          </m:r>
        </m:oMath>
      </m:oMathPara>
    </w:p>
    <w:p>
      <w:pPr>
        <w:pStyle w:val="FirstParagraph"/>
      </w:pPr>
      <w:r>
        <w:t xml:space="preserve">where</w:t>
      </w:r>
      <w:r>
        <w:t xml:space="preserve"> </w:t>
      </w:r>
      <w:r>
        <w:rPr>
          <w:i/>
          <w:iCs/>
        </w:rPr>
        <w:t xml:space="preserve">S</w:t>
      </w:r>
      <w:r>
        <w:rPr>
          <w:vertAlign w:val="subscript"/>
        </w:rPr>
        <w:t xml:space="preserve">R</w:t>
      </w:r>
      <w:r>
        <w:t xml:space="preserve"> </w:t>
      </w:r>
      <w:r>
        <w:t xml:space="preserve">represents the requested data scope and</w:t>
      </w:r>
      <w:r>
        <w:t xml:space="preserve"> </w:t>
      </w:r>
      <w:r>
        <w:rPr>
          <w:i/>
          <w:iCs/>
        </w:rPr>
        <w:t xml:space="preserve">S</w:t>
      </w:r>
      <w:r>
        <w:rPr>
          <w:vertAlign w:val="subscript"/>
        </w:rPr>
        <w:t xml:space="preserve">C</w:t>
      </w:r>
      <w:r>
        <w:t xml:space="preserve"> </w:t>
      </w:r>
      <w:r>
        <w:t xml:space="preserve">represents the consent-authorized scope. 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authorization decision is therefore determined by the conjunction of identity and authority verification, multi-party authorization, and policy compliance. For the current stage scope of the proposed framework, the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35</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authorization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bookmarkEnd w:id="74"/>
    <w:bookmarkStart w:id="75"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current stage scope, the core consent object is represented as</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36</m:t>
          </m:r>
          <m:r>
            <m:rPr>
              <m:sty m:val="p"/>
            </m:rPr>
            <m:t>)</m:t>
          </m:r>
        </m:oMath>
      </m:oMathPara>
    </w:p>
    <w:p>
      <w:pPr>
        <w:pStyle w:val="FirstParagraph"/>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can then be represented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37</m:t>
          </m:r>
          <m:r>
            <m:rPr>
              <m:sty m:val="p"/>
            </m:rPr>
            <m:t>)</m:t>
          </m:r>
        </m:oMath>
      </m:oMathPara>
    </w:p>
    <w:p>
      <w:pPr>
        <w:pStyle w:val="FirstParagraph"/>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38</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current stage implementation, the Model focuses on the foundational dimensions of identity, authority, multi-party approval, policy constraints, and authorisation evidence. The subsequent next research will extend this representation to include temporal validity, expiration, revocation, lifecycle transitions, and formal security properties.</w:t>
      </w:r>
    </w:p>
    <w:bookmarkEnd w:id="75"/>
    <w:bookmarkStart w:id="76"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76"/>
    <w:bookmarkStart w:id="77"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can be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39</m:t>
          </m:r>
          <m:r>
            <m:rPr>
              <m:sty m:val="p"/>
            </m:rPr>
            <m:t>)</m:t>
          </m:r>
        </m:oMath>
      </m:oMathPara>
    </w:p>
    <w:p>
      <w:pPr>
        <w:pStyle w:val="FirstParagraph"/>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40</m:t>
          </m:r>
          <m:r>
            <m:rPr>
              <m:sty m:val="p"/>
            </m:rPr>
            <m:t>)</m:t>
          </m:r>
        </m:oMath>
      </m:oMathPara>
    </w:p>
    <w:p>
      <w:pPr>
        <w:pStyle w:val="FirstParagraph"/>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41</m:t>
          </m:r>
          <m:r>
            <m:rPr>
              <m:sty m:val="p"/>
            </m:rPr>
            <m:t>)</m:t>
          </m:r>
        </m:oMath>
      </m:oMathPara>
    </w:p>
    <w:p>
      <w:pPr>
        <w:pStyle w:val="FirstParagraph"/>
      </w:pPr>
      <w:r>
        <w:t xml:space="preserve">The overall current stage authorisation decision is therefore determined by the conjunction of the foundational trust conditions: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42</m:t>
          </m:r>
          <m:r>
            <m:rPr>
              <m:sty m:val="p"/>
            </m:rPr>
            <m:t>)</m:t>
          </m:r>
        </m:oMath>
      </m:oMathPara>
    </w:p>
    <w:p>
      <w:pPr>
        <w:pStyle w:val="FirstParagraph"/>
      </w:pPr>
      <w:r>
        <w:t xml:space="preserve">Equivalently, the decision can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r>
                      <m:t>u</m:t>
                    </m:r>
                    <m:r>
                      <m:rPr>
                        <m:sty m:val="p"/>
                      </m:rPr>
                      <m:t>)</m:t>
                    </m:r>
                    <m:r>
                      <m:rPr>
                        <m:sty m:val="p"/>
                      </m:rPr>
                      <m:t>=</m:t>
                    </m:r>
                    <m:r>
                      <m:t>1</m:t>
                    </m:r>
                    <m:r>
                      <m:rPr>
                        <m:sty m:val="p"/>
                      </m:rPr>
                      <m:t>∧</m:t>
                    </m:r>
                    <m:sSub>
                      <m:e>
                        <m:r>
                          <m:t>V</m:t>
                        </m:r>
                      </m:e>
                      <m:sub>
                        <m:r>
                          <m:t>A</m:t>
                        </m:r>
                      </m:sub>
                    </m:sSub>
                    <m:r>
                      <m:rPr>
                        <m:sty m:val="p"/>
                      </m:rPr>
                      <m:t>(</m:t>
                    </m:r>
                    <m:r>
                      <m:t>C</m:t>
                    </m:r>
                    <m:r>
                      <m:rPr>
                        <m:sty m:val="p"/>
                      </m:rPr>
                      <m:t>)</m:t>
                    </m:r>
                    <m:r>
                      <m:rPr>
                        <m:sty m:val="p"/>
                      </m:rPr>
                      <m:t>=</m:t>
                    </m:r>
                    <m:r>
                      <m:t>1</m:t>
                    </m:r>
                    <m:r>
                      <m:rPr>
                        <m:sty m:val="p"/>
                      </m:rPr>
                      <m:t>∧</m:t>
                    </m:r>
                    <m:sSub>
                      <m:e>
                        <m:r>
                          <m:t>V</m:t>
                        </m:r>
                      </m:e>
                      <m:sub>
                        <m:r>
                          <m:t>P</m:t>
                        </m:r>
                      </m:sub>
                    </m:sSub>
                    <m:r>
                      <m:rPr>
                        <m:sty m:val="p"/>
                      </m:rPr>
                      <m:t>(</m:t>
                    </m:r>
                    <m:r>
                      <m:t>C</m:t>
                    </m:r>
                    <m:r>
                      <m:rPr>
                        <m:sty m:val="p"/>
                      </m:rPr>
                      <m:t>,</m:t>
                    </m:r>
                    <m:r>
                      <m:t>R</m:t>
                    </m:r>
                    <m:r>
                      <m:rPr>
                        <m:sty m:val="p"/>
                      </m:rPr>
                      <m:t>)</m:t>
                    </m:r>
                    <m:r>
                      <m:rPr>
                        <m:sty m:val="p"/>
                      </m:rPr>
                      <m:t>=</m:t>
                    </m:r>
                    <m:r>
                      <m:t>1</m:t>
                    </m:r>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43</m:t>
          </m:r>
          <m:r>
            <m:rPr>
              <m:sty m:val="p"/>
            </m:rPr>
            <m:t>)</m:t>
          </m:r>
        </m:oMath>
      </m:oMathPara>
    </w:p>
    <w:p>
      <w:pPr>
        <w:pStyle w:val="FirstParagraph"/>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77"/>
    <w:bookmarkStart w:id="78"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44</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45</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78"/>
    <w:bookmarkStart w:id="79"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Suppose that a consent permits access to the following healthcare data categories that</w:t>
      </w:r>
    </w:p>
    <w:p>
      <w:pPr>
        <w:pStyle w:val="BodyText"/>
      </w:pPr>
      <m:oMathPara>
        <m:oMathParaPr>
          <m:jc m:val="center"/>
        </m:oMathParaPr>
        <m:oMath>
          <m:sSub>
            <m:e>
              <m:r>
                <m:t>S</m:t>
              </m:r>
            </m:e>
            <m:sub>
              <m:r>
                <m:t>C</m:t>
              </m:r>
            </m:sub>
          </m:sSub>
          <m:r>
            <m:rPr>
              <m:sty m:val="p"/>
            </m:rPr>
            <m:t>=</m:t>
          </m:r>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rPr>
              <m:sty m:val="p"/>
            </m:rPr>
            <m:t>.</m:t>
          </m:r>
          <m:r>
            <m:t>  </m:t>
          </m:r>
          <m:r>
            <m:t>  </m:t>
          </m:r>
          <m:r>
            <m:rPr>
              <m:sty m:val="p"/>
            </m:rPr>
            <m:t>(</m:t>
          </m:r>
          <m:r>
            <m:t>46</m:t>
          </m:r>
          <m:r>
            <m:rPr>
              <m:sty m:val="p"/>
            </m:rPr>
            <m:t>)</m:t>
          </m:r>
        </m:oMath>
      </m:oMathPara>
    </w:p>
    <w:p>
      <w:pPr>
        <w:pStyle w:val="FirstParagraph"/>
      </w:pPr>
      <w:r>
        <w:t xml:space="preserve">If a healthcare professional subsequently requests</w:t>
      </w:r>
    </w:p>
    <w:p>
      <w:pPr>
        <w:pStyle w:val="BodyText"/>
      </w:pPr>
      <m:oMathPara>
        <m:oMathParaPr>
          <m:jc m:val="center"/>
        </m:oMathParaPr>
        <m:oMath>
          <m:sSub>
            <m:e>
              <m:r>
                <m:t>S</m:t>
              </m:r>
            </m:e>
            <m:sub>
              <m:r>
                <m:t>R</m:t>
              </m:r>
            </m:sub>
          </m:sSub>
          <m:r>
            <m:rPr>
              <m:sty m:val="p"/>
            </m:rPr>
            <m:t>=</m:t>
          </m:r>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47</m:t>
          </m:r>
          <m:r>
            <m:rPr>
              <m:sty m:val="p"/>
            </m:rPr>
            <m:t>)</m:t>
          </m:r>
        </m:oMath>
      </m:oMathPara>
    </w:p>
    <w:p>
      <w:pPr>
        <w:pStyle w:val="FirstParagraph"/>
      </w:pPr>
      <w:r>
        <w:t xml:space="preserve">the request exceeds the authorised data scope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48</m:t>
          </m:r>
          <m:r>
            <m:rPr>
              <m:sty m:val="p"/>
            </m:rPr>
            <m:t>)</m:t>
          </m:r>
        </m:oMath>
      </m:oMathPara>
    </w:p>
    <w:p>
      <w:pPr>
        <w:pStyle w:val="FirstParagraph"/>
      </w:pPr>
      <w:r>
        <w:t xml:space="preserve">The Controller must therefore return</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49</m:t>
          </m:r>
          <m:r>
            <m:rPr>
              <m:sty m:val="p"/>
            </m:rPr>
            <m:t>)</m:t>
          </m:r>
        </m:oMath>
      </m:oMathPara>
    </w:p>
    <w:p>
      <w:pPr>
        <w:pStyle w:val="FirstParagraph"/>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79"/>
    <w:bookmarkStart w:id="80"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50</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0"/>
    <w:bookmarkStart w:id="81"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w:t>
      </w:r>
    </w:p>
    <w:bookmarkEnd w:id="81"/>
    <w:bookmarkStart w:id="82"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2"/>
    <w:bookmarkStart w:id="83"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RQ1–RQ4. The implemented HALAH prototype provides the practical environment in which these mechanisms can be instantiated and evaluated through representative healthcare data-sharing scenarios.</w:t>
      </w:r>
    </w:p>
    <w:p>
      <w:pPr>
        <w:pStyle w:val="TableCaption"/>
      </w:pPr>
      <w:r>
        <w:t xml:space="preserve">Table 5: Security Properties Supported by the Proposed MVC-Based Consent Architecture</w:t>
      </w:r>
    </w:p>
    <w:tbl>
      <w:tblPr>
        <w:tblStyle w:val="Table"/>
        <w:tblW w:type="pct" w:w="5000"/>
        <w:tblLayout w:type="fixed"/>
        <w:tblLook w:firstRow="1" w:lastRow="0" w:firstColumn="0" w:lastColumn="0" w:noHBand="0" w:noVBand="0" w:val="0020"/>
        <w:tblCaption w:val="Table 5: Security Properties Supported by the Proposed MVC-Based Consent Architecture"/>
      </w:tblPr>
      <w:tblGrid>
        <w:gridCol w:w="1680"/>
        <w:gridCol w:w="2880"/>
        <w:gridCol w:w="336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6: Mapping Between Research Objectives and MVC Components</w:t>
      </w:r>
    </w:p>
    <w:tbl>
      <w:tblPr>
        <w:tblStyle w:val="Table"/>
        <w:tblW w:type="pct" w:w="5000"/>
        <w:tblLayout w:type="fixed"/>
        <w:tblLook w:firstRow="1" w:lastRow="0" w:firstColumn="0" w:lastColumn="0" w:noHBand="0" w:noVBand="0" w:val="0020"/>
        <w:tblCaption w:val="Table 6: Mapping Between Research Objectives and MVC Components"/>
      </w:tblPr>
      <w:tblGrid>
        <w:gridCol w:w="1357"/>
        <w:gridCol w:w="1697"/>
        <w:gridCol w:w="1810"/>
        <w:gridCol w:w="30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next stagewill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83"/>
    <w:bookmarkEnd w:id="84"/>
    <w:bookmarkStart w:id="128" w:name="proposed-solution"/>
    <w:p>
      <w:pPr>
        <w:pStyle w:val="Heading1"/>
      </w:pPr>
      <w:r>
        <w:t xml:space="preserve">6 Proposed Solution</w:t>
      </w:r>
    </w:p>
    <w:bookmarkStart w:id="91" w:name="trust-centric-consent-model-for-ro1"/>
    <w:p>
      <w:pPr>
        <w:pStyle w:val="Heading2"/>
      </w:pPr>
      <w:r>
        <w:t xml:space="preserve">6.1 Trust-Centric Consent Model for RO1</w:t>
      </w:r>
    </w:p>
    <w:p>
      <w:pPr>
        <w:pStyle w:val="FirstParagrap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51</m:t>
          </m:r>
          <m:r>
            <m:rPr>
              <m:sty m:val="p"/>
            </m:rPr>
            <m:t>)</m:t>
          </m:r>
        </m:oMath>
      </m:oMathPara>
    </w:p>
    <w:p>
      <w:pPr>
        <w:pStyle w:val="FirstParagraph"/>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88" w:name="ro1-consent-creation-workflow"/>
    <w:p>
      <w:pPr>
        <w:pStyle w:val="Heading3"/>
      </w:pPr>
      <w:r>
        <w:t xml:space="preserve">6.1.1 RO1 Consent Creation Workflow</w:t>
      </w:r>
    </w:p>
    <w:p>
      <w:pPr>
        <w:pStyle w:val="FirstParagraph"/>
      </w:pPr>
      <w:r>
        <w:t xml:space="preserve">The following workflow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pStyle w:val="CaptionedFigure"/>
      </w:pPr>
      <w:r>
        <w:drawing>
          <wp:inline>
            <wp:extent cx="3451860" cy="7452700"/>
            <wp:effectExtent b="0" l="0" r="0" t="0"/>
            <wp:docPr descr="Figure 7: RO1 workflow for trust-centric consent creation" title="" id="86" name="Picture"/>
            <a:graphic>
              <a:graphicData uri="http://schemas.openxmlformats.org/drawingml/2006/picture">
                <pic:pic>
                  <pic:nvPicPr>
                    <pic:cNvPr descr="media/fig07.png" id="87" name="Picture"/>
                    <pic:cNvPicPr>
                      <a:picLocks noChangeArrowheads="1" noChangeAspect="1"/>
                    </pic:cNvPicPr>
                  </pic:nvPicPr>
                  <pic:blipFill>
                    <a:blip r:embed="rId85"/>
                    <a:stretch>
                      <a:fillRect/>
                    </a:stretch>
                  </pic:blipFill>
                  <pic:spPr bwMode="auto">
                    <a:xfrm>
                      <a:off x="0" y="0"/>
                      <a:ext cx="3451860" cy="7452700"/>
                    </a:xfrm>
                    <a:prstGeom prst="rect">
                      <a:avLst/>
                    </a:prstGeom>
                    <a:noFill/>
                    <a:ln w="9525">
                      <a:noFill/>
                      <a:headEnd/>
                      <a:tailEnd/>
                    </a:ln>
                  </pic:spPr>
                </pic:pic>
              </a:graphicData>
            </a:graphic>
          </wp:inline>
        </w:drawing>
      </w:r>
    </w:p>
    <w:p>
      <w:pPr>
        <w:pStyle w:val="ImageCaption"/>
      </w:pPr>
      <w:r>
        <w:t xml:space="preserve">Figure 7: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88"/>
    <w:bookmarkStart w:id="89"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4"/>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5"/>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6"/>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7"/>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8"/>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09"/>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0"/>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1"/>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2"/>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3"/>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4"/>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5"/>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 that</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89"/>
    <w:bookmarkStart w:id="90"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0"/>
    <w:bookmarkEnd w:id="91"/>
    <w:bookmarkStart w:id="98" w:name="X3b93ca6d6b3213e06bf792918c5f2e554ad197d"/>
    <w:p>
      <w:pPr>
        <w:pStyle w:val="Heading2"/>
      </w:pPr>
      <w:r>
        <w:t xml:space="preserve">6.2 Decentralised Identity and Authority Trust for RO2</w:t>
      </w:r>
    </w:p>
    <w:p>
      <w:pPr>
        <w:pStyle w:val="FirstParagraph"/>
      </w:pPr>
      <w: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52</m:t>
          </m:r>
          <m:r>
            <m:rPr>
              <m:sty m:val="p"/>
            </m:rPr>
            <m:t>)</m:t>
          </m:r>
        </m:oMath>
      </m:oMathPara>
    </w:p>
    <w:p>
      <w:pPr>
        <w:pStyle w:val="FirstParagrap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53</m:t>
          </m:r>
          <m:r>
            <m:rPr>
              <m:sty m:val="p"/>
            </m:rPr>
            <m:t>)</m:t>
          </m:r>
        </m:oMath>
      </m:oMathPara>
    </w:p>
    <w:p>
      <w:pPr>
        <w:pStyle w:val="FirstParagraph"/>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92" w:name="X40f13bf52dbab2e76356a6753423f1584e794fb"/>
    <w:p>
      <w:pPr>
        <w:pStyle w:val="Heading3"/>
      </w:pPr>
      <w:r>
        <w:t xml:space="preserve">6.2.1 RO2 Identity and Authority Verification Workflow</w:t>
      </w:r>
    </w:p>
    <w:p>
      <w:pPr>
        <w:pStyle w:val="FirstParagrap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BodyText"/>
      </w:pPr>
      <w:r>
        <w:t xml:space="preserve">In the HALAH implementation, the Guardian workflow uses a selected guardian DID and invokes VC verification before adding the guardian’s signature to the consent. The code therefore demonstrates the separation between participant identity verification and the subsequent authorisation operation.</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92"/>
    <w:bookmarkStart w:id="96"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6"/>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7"/>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aptionedFigure"/>
      </w:pPr>
      <w:r>
        <w:drawing>
          <wp:inline>
            <wp:extent cx="3451860" cy="6500607"/>
            <wp:effectExtent b="0" l="0" r="0" t="0"/>
            <wp:docPr descr="Figure 8: RO2 workflow for decentralised identity and authority verification" title="" id="94" name="Picture"/>
            <a:graphic>
              <a:graphicData uri="http://schemas.openxmlformats.org/drawingml/2006/picture">
                <pic:pic>
                  <pic:nvPicPr>
                    <pic:cNvPr descr="media/fig08.png" id="95" name="Picture"/>
                    <pic:cNvPicPr>
                      <a:picLocks noChangeArrowheads="1" noChangeAspect="1"/>
                    </pic:cNvPicPr>
                  </pic:nvPicPr>
                  <pic:blipFill>
                    <a:blip r:embed="rId93"/>
                    <a:stretch>
                      <a:fillRect/>
                    </a:stretch>
                  </pic:blipFill>
                  <pic:spPr bwMode="auto">
                    <a:xfrm>
                      <a:off x="0" y="0"/>
                      <a:ext cx="3451860" cy="6500607"/>
                    </a:xfrm>
                    <a:prstGeom prst="rect">
                      <a:avLst/>
                    </a:prstGeom>
                    <a:noFill/>
                    <a:ln w="9525">
                      <a:noFill/>
                      <a:headEnd/>
                      <a:tailEnd/>
                    </a:ln>
                  </pic:spPr>
                </pic:pic>
              </a:graphicData>
            </a:graphic>
          </wp:inline>
        </w:drawing>
      </w:r>
    </w:p>
    <w:p>
      <w:pPr>
        <w:pStyle w:val="ImageCaption"/>
      </w:pPr>
      <w:r>
        <w:t xml:space="preserve">Figure 8: RO2 workflow for decentralised identity and authority verification</w:t>
      </w:r>
    </w:p>
    <w:p>
      <w:pPr>
        <w:pStyle w:val="Compact"/>
        <w:numPr>
          <w:ilvl w:val="0"/>
          <w:numId w:val="1018"/>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19"/>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w:t>
      </w:r>
    </w:p>
    <w:p>
      <w:pPr>
        <w:pStyle w:val="Compact"/>
        <w:numPr>
          <w:ilvl w:val="0"/>
          <w:numId w:val="1020"/>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1"/>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2"/>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3"/>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4"/>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96"/>
    <w:bookmarkStart w:id="97"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97"/>
    <w:bookmarkEnd w:id="98"/>
    <w:bookmarkStart w:id="105" w:name="X2fe5cbf561c8a3bc135795b66ae3ba1eef8bc71"/>
    <w:p>
      <w:pPr>
        <w:pStyle w:val="Heading2"/>
      </w:pPr>
      <w:r>
        <w:t xml:space="preserve">6.3 Trustworthy Multi-Party Authorisation for RO3</w:t>
      </w:r>
    </w:p>
    <w:p>
      <w:pPr>
        <w:pStyle w:val="FirstParagraph"/>
      </w:pPr>
      <w: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54</m:t>
          </m:r>
          <m:r>
            <m:rPr>
              <m:sty m:val="p"/>
            </m:rPr>
            <m:t>)</m:t>
          </m:r>
        </m:oMath>
      </m:oMathPara>
    </w:p>
    <w:p>
      <w:pPr>
        <w:pStyle w:val="FirstParagraph"/>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99" w:name="ro3-multi-party-authorisation-workflow"/>
    <w:p>
      <w:pPr>
        <w:pStyle w:val="Heading3"/>
      </w:pPr>
      <w:r>
        <w:t xml:space="preserve">6.3.1 RO3 Multi-Party Authorisation Workflow</w:t>
      </w:r>
    </w:p>
    <w:p>
      <w:pPr>
        <w:pStyle w:val="FirstParagraph"/>
      </w:pPr>
      <w: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BodyText"/>
      </w:pPr>
      <w:r>
        <w:t xml:space="preserve">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99"/>
    <w:bookmarkStart w:id="103"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5"/>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aptionedFigure"/>
      </w:pPr>
      <w:r>
        <w:drawing>
          <wp:inline>
            <wp:extent cx="3451860" cy="5978933"/>
            <wp:effectExtent b="0" l="0" r="0" t="0"/>
            <wp:docPr descr="Figure 9: RO3 workflow for threshold-based multi-party authorisation" title="" id="101" name="Picture"/>
            <a:graphic>
              <a:graphicData uri="http://schemas.openxmlformats.org/drawingml/2006/picture">
                <pic:pic>
                  <pic:nvPicPr>
                    <pic:cNvPr descr="media/fig09.png" id="102" name="Picture"/>
                    <pic:cNvPicPr>
                      <a:picLocks noChangeArrowheads="1" noChangeAspect="1"/>
                    </pic:cNvPicPr>
                  </pic:nvPicPr>
                  <pic:blipFill>
                    <a:blip r:embed="rId100"/>
                    <a:stretch>
                      <a:fillRect/>
                    </a:stretch>
                  </pic:blipFill>
                  <pic:spPr bwMode="auto">
                    <a:xfrm>
                      <a:off x="0" y="0"/>
                      <a:ext cx="3451860" cy="5978933"/>
                    </a:xfrm>
                    <a:prstGeom prst="rect">
                      <a:avLst/>
                    </a:prstGeom>
                    <a:noFill/>
                    <a:ln w="9525">
                      <a:noFill/>
                      <a:headEnd/>
                      <a:tailEnd/>
                    </a:ln>
                  </pic:spPr>
                </pic:pic>
              </a:graphicData>
            </a:graphic>
          </wp:inline>
        </w:drawing>
      </w:r>
    </w:p>
    <w:p>
      <w:pPr>
        <w:pStyle w:val="ImageCaption"/>
      </w:pPr>
      <w:r>
        <w:t xml:space="preserve">Figure 9: RO3 workflow for threshold-based multi-party authorisation</w:t>
      </w:r>
    </w:p>
    <w:p>
      <w:pPr>
        <w:pStyle w:val="Compact"/>
        <w:numPr>
          <w:ilvl w:val="0"/>
          <w:numId w:val="1026"/>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w:t>
      </w:r>
    </w:p>
    <w:p>
      <w:pPr>
        <w:pStyle w:val="Compact"/>
        <w:numPr>
          <w:ilvl w:val="0"/>
          <w:numId w:val="1027"/>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8"/>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29"/>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0"/>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1"/>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2"/>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3"/>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4"/>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5"/>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6"/>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7"/>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55</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56</m:t>
          </m:r>
          <m:r>
            <m:rPr>
              <m:sty m:val="p"/>
            </m:rPr>
            <m:t>)</m:t>
          </m:r>
        </m:oMath>
      </m:oMathPara>
    </w:p>
    <w:bookmarkEnd w:id="103"/>
    <w:bookmarkStart w:id="104"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04"/>
    <w:bookmarkEnd w:id="105"/>
    <w:bookmarkStart w:id="113" w:name="X77d8a567f90fbf98e40547b4be1462ed72e9750"/>
    <w:p>
      <w:pPr>
        <w:pStyle w:val="Heading2"/>
      </w:pPr>
      <w:r>
        <w:t xml:space="preserve">6.4 Policy- and Context-Aware Access Control for RO4</w:t>
      </w:r>
    </w:p>
    <w:p>
      <w:pPr>
        <w:pStyle w:val="FirstParagraph"/>
      </w:pPr>
      <w:r>
        <w:t xml:space="preserve">RO4 addresses 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57</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58</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 stage research on authorisation decision is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59</m:t>
          </m:r>
          <m:r>
            <m:rPr>
              <m:sty m:val="p"/>
            </m:rPr>
            <m:t>)</m:t>
          </m:r>
        </m:oMath>
      </m:oMathPara>
    </w:p>
    <w:bookmarkStart w:id="109" w:name="ro4-policy-aware-access-workflow"/>
    <w:p>
      <w:pPr>
        <w:pStyle w:val="Heading3"/>
      </w:pPr>
      <w:r>
        <w:t xml:space="preserve">6.4.1 RO4 Policy-Aware Access Workflow</w:t>
      </w:r>
    </w:p>
    <w:p>
      <w:pPr>
        <w:pStyle w:val="FirstParagraph"/>
      </w:pPr>
      <w:r>
        <w:t xml:space="preserve">The workflow begins when a doctor submits a request for patient data. The system retrieves the relevant consent object and verifies the requesting participant. It then checks whether the required multi-party authorisation has been established.</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w:t>
      </w:r>
    </w:p>
    <w:p>
      <w:pPr>
        <w:pStyle w:val="BodyText"/>
      </w:pPr>
      <w:r>
        <w:t xml:space="preserve">For example, if</w:t>
      </w:r>
    </w:p>
    <w:p>
      <w:pPr>
        <w:pStyle w:val="BodyText"/>
      </w:pPr>
      <m:oMathPara>
        <m:oMathParaPr>
          <m:jc m:val="center"/>
        </m:oMathParaPr>
        <m:oMath>
          <m:sSub>
            <m:e>
              <m:r>
                <m:t>S</m:t>
              </m:r>
            </m:e>
            <m:sub>
              <m:r>
                <m:t>C</m:t>
              </m:r>
            </m:sub>
          </m:sSub>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  </m:t>
          </m:r>
          <m:r>
            <m:t>  </m:t>
          </m:r>
          <m:r>
            <m:rPr>
              <m:sty m:val="p"/>
            </m:rPr>
            <m:t>(</m:t>
          </m:r>
          <m:r>
            <m:t>60</m:t>
          </m:r>
          <m:r>
            <m:rPr>
              <m:sty m:val="p"/>
            </m:rPr>
            <m:t>)</m:t>
          </m:r>
        </m:oMath>
      </m:oMathPara>
    </w:p>
    <w:p>
      <w:pPr>
        <w:pStyle w:val="FirstParagraph"/>
      </w:pPr>
      <w:r>
        <w:t xml:space="preserve">and</w:t>
      </w:r>
    </w:p>
    <w:p>
      <w:pPr>
        <w:pStyle w:val="BodyText"/>
      </w:pPr>
      <m:oMathPara>
        <m:oMathParaPr>
          <m:jc m:val="center"/>
        </m:oMathParaPr>
        <m:oMath>
          <m:sSub>
            <m:e>
              <m:r>
                <m:t>S</m:t>
              </m:r>
            </m:e>
            <m:sub>
              <m:r>
                <m:t>R</m:t>
              </m:r>
            </m:sub>
          </m:sSub>
          <m:r>
            <m:rPr>
              <m:sty m:val="p"/>
            </m:rPr>
            <m:t>=</m:t>
          </m:r>
          <m:r>
            <m:t>O</m:t>
          </m:r>
          <m:r>
            <m:t>b</m:t>
          </m:r>
          <m:r>
            <m:t>s</m:t>
          </m:r>
          <m:r>
            <m:t>e</m:t>
          </m:r>
          <m:r>
            <m:t>r</m:t>
          </m:r>
          <m:r>
            <m:t>v</m:t>
          </m:r>
          <m:r>
            <m:t>a</m:t>
          </m:r>
          <m:r>
            <m:t>t</m:t>
          </m:r>
          <m:r>
            <m:t>i</m:t>
          </m:r>
          <m:r>
            <m:t>o</m:t>
          </m:r>
          <m:r>
            <m:t>n</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  </m:t>
          </m:r>
          <m:r>
            <m:t>  </m:t>
          </m:r>
          <m:r>
            <m:rPr>
              <m:sty m:val="p"/>
            </m:rPr>
            <m:t>(</m:t>
          </m:r>
          <m:r>
            <m:t>61</m:t>
          </m:r>
          <m:r>
            <m:rPr>
              <m:sty m:val="p"/>
            </m:rPr>
            <m:t>)</m:t>
          </m:r>
        </m:oMath>
      </m:oMathPara>
    </w:p>
    <w:p>
      <w:pPr>
        <w:pStyle w:val="FirstParagraph"/>
      </w:pPr>
      <w:r>
        <w:t xml:space="preserve">then</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62</m:t>
          </m:r>
          <m:r>
            <m:rPr>
              <m:sty m:val="p"/>
            </m:rPr>
            <m:t>)</m:t>
          </m:r>
        </m:oMath>
      </m:oMathPara>
    </w:p>
    <w:p>
      <w:pPr>
        <w:pStyle w:val="FirstParagraph"/>
      </w:pPr>
      <w:r>
        <w:t xml:space="preserve">and the request must be denied. This rule prevents a legitimate participant from obtaining data outside the patient’s authorised scope.</w:t>
      </w:r>
    </w:p>
    <w:p>
      <w:pPr>
        <w:pStyle w:val="CaptionedFigure"/>
      </w:pPr>
      <w:r>
        <w:drawing>
          <wp:inline>
            <wp:extent cx="3451860" cy="7239043"/>
            <wp:effectExtent b="0" l="0" r="0" t="0"/>
            <wp:docPr descr="Figure 10: RO4 workflow for policy- and context-aware access control" title="" id="107" name="Picture"/>
            <a:graphic>
              <a:graphicData uri="http://schemas.openxmlformats.org/drawingml/2006/picture">
                <pic:pic>
                  <pic:nvPicPr>
                    <pic:cNvPr descr="media/fig10.png" id="108" name="Picture"/>
                    <pic:cNvPicPr>
                      <a:picLocks noChangeArrowheads="1" noChangeAspect="1"/>
                    </pic:cNvPicPr>
                  </pic:nvPicPr>
                  <pic:blipFill>
                    <a:blip r:embed="rId106"/>
                    <a:stretch>
                      <a:fillRect/>
                    </a:stretch>
                  </pic:blipFill>
                  <pic:spPr bwMode="auto">
                    <a:xfrm>
                      <a:off x="0" y="0"/>
                      <a:ext cx="3451860" cy="7239043"/>
                    </a:xfrm>
                    <a:prstGeom prst="rect">
                      <a:avLst/>
                    </a:prstGeom>
                    <a:noFill/>
                    <a:ln w="9525">
                      <a:noFill/>
                      <a:headEnd/>
                      <a:tailEnd/>
                    </a:ln>
                  </pic:spPr>
                </pic:pic>
              </a:graphicData>
            </a:graphic>
          </wp:inline>
        </w:drawing>
      </w:r>
    </w:p>
    <w:p>
      <w:pPr>
        <w:pStyle w:val="ImageCaption"/>
      </w:pPr>
      <w:r>
        <w:t xml:space="preserve">Figure 10: RO4 workflow for policy- and context-aware access control</w:t>
      </w:r>
    </w:p>
    <w:bookmarkEnd w:id="109"/>
    <w:bookmarkStart w:id="110" w:name="X76e1ecd5ca9116901ef2fba9faaf6fcb0ec1702"/>
    <w:p>
      <w:pPr>
        <w:pStyle w:val="Heading3"/>
      </w:pPr>
      <w:r>
        <w:t xml:space="preserve">6.4.2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38"/>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39"/>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40"/>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41"/>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42"/>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43"/>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44"/>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45"/>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46"/>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10"/>
    <w:bookmarkStart w:id="111"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1"/>
    <w:bookmarkStart w:id="112" w:name="X9b9350abce928b4bfd4821dc61b387a8eede2be"/>
    <w:p>
      <w:pPr>
        <w:pStyle w:val="Heading3"/>
      </w:pPr>
      <w:r>
        <w:t xml:space="preserve">6.4.4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47"/>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8"/>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9"/>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50"/>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51"/>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which means</w:t>
      </w:r>
      <w:r>
        <w:t xml:space="preserve"> </w:t>
      </w:r>
      <w:r>
        <w:rPr>
          <w:i/>
          <w:iCs/>
        </w:rPr>
        <w:t xml:space="preserve">P</w:t>
      </w:r>
      <w:r>
        <w:rPr>
          <w:vertAlign w:val="subscript"/>
        </w:rPr>
        <w:t xml:space="preserve">R</w:t>
      </w:r>
      <w:r>
        <w:t xml:space="preserve"> </w:t>
      </w:r>
      <w:r>
        <w:t xml:space="preserve">guarantees, satisfies, and complies with the privacy constraint</w:t>
      </w:r>
      <w:r>
        <w:t xml:space="preserve"> </w:t>
      </w:r>
      <w:r>
        <w:rPr>
          <w:i/>
          <w:iCs/>
        </w:rPr>
        <w:t xml:space="preserve">P</w:t>
      </w:r>
      <w:r>
        <w:rPr>
          <w:vertAlign w:val="subscript"/>
        </w:rPr>
        <w:t xml:space="preserve">C</w:t>
      </w:r>
      <w:r>
        <w:t xml:space="preserve">. There is no execution path where the system can violate the privacy policy.</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52"/>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53"/>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54"/>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55"/>
        </w:numPr>
      </w:pPr>
      <w:r>
        <w:rPr>
          <w:b/>
          <w:bCs/>
        </w:rPr>
        <w:t xml:space="preserve">Step 9 – Retrieve the Authorised Healthcare Data.</w:t>
      </w:r>
    </w:p>
    <w:p>
      <w:pPr>
        <w:pStyle w:val="FirstParagraph"/>
      </w:pPr>
      <w:r>
        <w:t xml:space="preserve">Once the request has been successfully authorised, the system retrieves only the healthcare data satisfying the authorised scope</w:t>
      </w:r>
      <w:r>
        <w:t xml:space="preserve"> </w:t>
      </w:r>
      <w:r>
        <w:rPr>
          <w:i/>
          <w:iCs/>
        </w:rPr>
        <w:t xml:space="preserve">S</w:t>
      </w:r>
      <w:r>
        <w:rPr>
          <w:vertAlign w:val="subscript"/>
        </w:rPr>
        <w:t xml:space="preserve">R</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56"/>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57"/>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Identity Verification Multi-Party Auth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2"/>
    <w:bookmarkEnd w:id="113"/>
    <w:bookmarkStart w:id="119" w:name="temporal-and-lifecycle-trust-for-ro5"/>
    <w:p>
      <w:pPr>
        <w:pStyle w:val="Heading2"/>
      </w:pPr>
      <w:r>
        <w:t xml:space="preserve">6.5 Temporal and Lifecycle Trust for RO5</w:t>
      </w:r>
    </w:p>
    <w:p>
      <w:pPr>
        <w:pStyle w:val="FirstParagraph"/>
      </w:pPr>
      <w: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and lifecycle conditions that</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sSub>
                      <m:e>
                        <m:r>
                          <m:t>t</m:t>
                        </m:r>
                      </m:e>
                      <m:sub>
                        <m:r>
                          <m:t>s</m:t>
                        </m:r>
                      </m:sub>
                    </m:sSub>
                    <m:r>
                      <m:rPr>
                        <m:sty m:val="p"/>
                      </m:rPr>
                      <m:t>≤</m:t>
                    </m:r>
                    <m:r>
                      <m:t>t</m:t>
                    </m:r>
                    <m:r>
                      <m:rPr>
                        <m:sty m:val="p"/>
                      </m:rPr>
                      <m:t>≤</m:t>
                    </m:r>
                    <m:sSub>
                      <m:e>
                        <m:r>
                          <m:t>t</m:t>
                        </m:r>
                      </m:e>
                      <m:sub>
                        <m:r>
                          <m:t>e</m:t>
                        </m:r>
                      </m:sub>
                    </m:sSub>
                    <m:r>
                      <m:rPr>
                        <m:sty m:val="p"/>
                      </m:rPr>
                      <m:t>,</m:t>
                    </m:r>
                  </m:e>
                </m:mr>
                <m:mr>
                  <m:e>
                    <m:r>
                      <m:t>0</m:t>
                    </m:r>
                    <m:r>
                      <m:rPr>
                        <m:sty m:val="p"/>
                      </m:rPr>
                      <m:t>,</m:t>
                    </m:r>
                  </m:e>
                  <m:e>
                    <m:r>
                      <m:t> </m:t>
                    </m:r>
                    <m:r>
                      <m:rPr>
                        <m:nor/>
                      </m:rPr>
                      <m:t>otherwise</m:t>
                    </m:r>
                    <m:r>
                      <m:t> </m:t>
                    </m:r>
                    <m:r>
                      <m:rPr>
                        <m:sty m:val="p"/>
                      </m:rPr>
                      <m:t>.</m:t>
                    </m:r>
                  </m:e>
                </m:mr>
              </m:m>
            </m:e>
          </m:d>
          <m:r>
            <m:t>  </m:t>
          </m:r>
          <m:r>
            <m:t>  </m:t>
          </m:r>
          <m:r>
            <m:rPr>
              <m:sty m:val="p"/>
            </m:rPr>
            <m:t>(</m:t>
          </m:r>
          <m:r>
            <m:t>63</m:t>
          </m:r>
          <m:r>
            <m:rPr>
              <m:sty m:val="p"/>
            </m:rPr>
            <m:t>)</m:t>
          </m:r>
        </m:oMath>
      </m:oMathPara>
    </w:p>
    <w:p>
      <w:pPr>
        <w:pStyle w:val="FirstParagraph"/>
      </w:pPr>
      <w:r>
        <w:t xml:space="preserve">The lifecycle condition can be expressed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64</m:t>
          </m:r>
          <m:r>
            <m:rPr>
              <m:sty m:val="p"/>
            </m:rPr>
            <m:t>)</m:t>
          </m:r>
        </m:oMath>
      </m:oMathPara>
    </w:p>
    <w:p>
      <w:pPr>
        <w:pStyle w:val="FirstParagraph"/>
      </w:pPr>
      <w:r>
        <w:t xml:space="preserve">The extended authorisation decision is therefore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65</m:t>
          </m:r>
          <m:r>
            <m:rPr>
              <m:sty m:val="p"/>
            </m:rPr>
            <m:t>)</m:t>
          </m:r>
        </m:oMath>
      </m:oMathPara>
    </w:p>
    <w:p>
      <w:pPr>
        <w:pStyle w:val="FirstParagraph"/>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14" w:name="ro5-temporal-and-lifecycle-workflow"/>
    <w:p>
      <w:pPr>
        <w:pStyle w:val="Heading3"/>
      </w:pPr>
      <w:r>
        <w:t xml:space="preserve">6.5.1 RO5 Temporal and Lifecycle Workflow</w:t>
      </w:r>
    </w:p>
    <w:p>
      <w:pPr>
        <w:pStyle w:val="FirstParagraph"/>
      </w:pPr>
      <w: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BodyText"/>
      </w:pPr>
      <w:r>
        <w:t xml:space="preserve">The current HALAH code already collects a start time and expiry time during consent creation, but the complete temporal and lifecycle enforcement mechanism remains part of the planned CA3 extension.</w:t>
      </w:r>
    </w:p>
    <w:bookmarkEnd w:id="114"/>
    <w:bookmarkStart w:id="118" w:name="X43f085cbe35cf9229d124bd6c8707d40ef3f488"/>
    <w:p>
      <w:pPr>
        <w:pStyle w:val="Heading3"/>
      </w:pPr>
      <w:r>
        <w:t xml:space="preserve">6.5.2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CaptionedFigure"/>
      </w:pPr>
      <w:r>
        <w:drawing>
          <wp:inline>
            <wp:extent cx="3451860" cy="6065199"/>
            <wp:effectExtent b="0" l="0" r="0" t="0"/>
            <wp:docPr descr="Figure 11: RO5 planned workflow for temporal and consent lifecycle trust" title="" id="116" name="Picture"/>
            <a:graphic>
              <a:graphicData uri="http://schemas.openxmlformats.org/drawingml/2006/picture">
                <pic:pic>
                  <pic:nvPicPr>
                    <pic:cNvPr descr="media/fig11.png" id="117" name="Picture"/>
                    <pic:cNvPicPr>
                      <a:picLocks noChangeArrowheads="1" noChangeAspect="1"/>
                    </pic:cNvPicPr>
                  </pic:nvPicPr>
                  <pic:blipFill>
                    <a:blip r:embed="rId115"/>
                    <a:stretch>
                      <a:fillRect/>
                    </a:stretch>
                  </pic:blipFill>
                  <pic:spPr bwMode="auto">
                    <a:xfrm>
                      <a:off x="0" y="0"/>
                      <a:ext cx="3451860" cy="6065199"/>
                    </a:xfrm>
                    <a:prstGeom prst="rect">
                      <a:avLst/>
                    </a:prstGeom>
                    <a:noFill/>
                    <a:ln w="9525">
                      <a:noFill/>
                      <a:headEnd/>
                      <a:tailEnd/>
                    </a:ln>
                  </pic:spPr>
                </pic:pic>
              </a:graphicData>
            </a:graphic>
          </wp:inline>
        </w:drawing>
      </w:r>
    </w:p>
    <w:p>
      <w:pPr>
        <w:pStyle w:val="ImageCaption"/>
      </w:pPr>
      <w:r>
        <w:t xml:space="preserve">Figure 11: RO5 planned workflow for temporal and consent lifecycle trust</w:t>
      </w:r>
    </w:p>
    <w:p>
      <w:pPr>
        <w:pStyle w:val="BodyText"/>
      </w:pPr>
      <w:r>
        <w:t xml:space="preserve">Algorithm 5 extends the current stage works on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18"/>
    <w:bookmarkEnd w:id="119"/>
    <w:bookmarkStart w:id="126" w:name="X28e4c471c7af957781c5be37513d338d1f9028e"/>
    <w:p>
      <w:pPr>
        <w:pStyle w:val="Heading2"/>
      </w:pPr>
      <w:r>
        <w:t xml:space="preserve">6.6 Formal Security Assurance and Empirical Validation for RO6</w:t>
      </w:r>
    </w:p>
    <w:p>
      <w:pPr>
        <w:pStyle w:val="FirstParagraph"/>
      </w:pPr>
      <w:r>
        <w:t xml:space="preserve">RO6 addresses 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66</m:t>
          </m:r>
          <m:r>
            <m:rPr>
              <m:sty m:val="p"/>
            </m:rPr>
            <m:t>)</m:t>
          </m:r>
        </m:oMath>
      </m:oMathPara>
    </w:p>
    <w:p>
      <w:pPr>
        <w:pStyle w:val="FirstParagraph"/>
      </w:pPr>
      <w:r>
        <w:t xml:space="preserve">For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67</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68</m:t>
          </m:r>
          <m:r>
            <m:rPr>
              <m:sty m:val="p"/>
            </m:rPr>
            <m:t>)</m:t>
          </m:r>
        </m:oMath>
      </m:oMathPara>
    </w:p>
    <w:bookmarkStart w:id="120" w:name="ro6-assurance-and-validation-workflow"/>
    <w:p>
      <w:pPr>
        <w:pStyle w:val="Heading3"/>
      </w:pPr>
      <w:r>
        <w:t xml:space="preserve">6.6.1 RO6 Assurance and Validation Workflow</w:t>
      </w:r>
    </w:p>
    <w:p>
      <w:pPr>
        <w:pStyle w:val="FirstParagraph"/>
      </w:pPr>
      <w: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w:t>
      </w:r>
    </w:p>
    <w:bookmarkEnd w:id="120"/>
    <w:bookmarkStart w:id="124"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aptionedFigure"/>
      </w:pPr>
      <w:r>
        <w:drawing>
          <wp:inline>
            <wp:extent cx="3451860" cy="4212881"/>
            <wp:effectExtent b="0" l="0" r="0" t="0"/>
            <wp:docPr descr="Figure 12: RO6 planned workflow for formal security assurance and empirical validation" title="" id="122" name="Picture"/>
            <a:graphic>
              <a:graphicData uri="http://schemas.openxmlformats.org/drawingml/2006/picture">
                <pic:pic>
                  <pic:nvPicPr>
                    <pic:cNvPr descr="media/fig12.png" id="123" name="Picture"/>
                    <pic:cNvPicPr>
                      <a:picLocks noChangeArrowheads="1" noChangeAspect="1"/>
                    </pic:cNvPicPr>
                  </pic:nvPicPr>
                  <pic:blipFill>
                    <a:blip r:embed="rId121"/>
                    <a:stretch>
                      <a:fillRect/>
                    </a:stretch>
                  </pic:blipFill>
                  <pic:spPr bwMode="auto">
                    <a:xfrm>
                      <a:off x="0" y="0"/>
                      <a:ext cx="3451860" cy="4212881"/>
                    </a:xfrm>
                    <a:prstGeom prst="rect">
                      <a:avLst/>
                    </a:prstGeom>
                    <a:noFill/>
                    <a:ln w="9525">
                      <a:noFill/>
                      <a:headEnd/>
                      <a:tailEnd/>
                    </a:ln>
                  </pic:spPr>
                </pic:pic>
              </a:graphicData>
            </a:graphic>
          </wp:inline>
        </w:drawing>
      </w:r>
    </w:p>
    <w:p>
      <w:pPr>
        <w:pStyle w:val="ImageCaption"/>
      </w:pPr>
      <w:r>
        <w:t xml:space="preserve">Figure 12: RO6 planned workflow for formal security assurance and empirical validation</w:t>
      </w:r>
    </w:p>
    <w:p>
      <w:pPr>
        <w:pStyle w:val="Compact"/>
        <w:numPr>
          <w:ilvl w:val="0"/>
          <w:numId w:val="1058"/>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59"/>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0"/>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1"/>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2"/>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3"/>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4"/>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5"/>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6"/>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7"/>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8"/>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69"/>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0"/>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1"/>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2"/>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3"/>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4"/>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r>
          <m:t>S</m:t>
        </m:r>
        <m:r>
          <m:rPr>
            <m:sty m:val="p"/>
          </m:rPr>
          <m:t>*</m:t>
        </m:r>
        <m:r>
          <m:t>v</m:t>
        </m:r>
        <m:r>
          <m:t>a</m:t>
        </m:r>
        <m:r>
          <m:t>l</m:t>
        </m:r>
        <m:r>
          <m:t>i</m:t>
        </m:r>
        <m:r>
          <m:t>d</m:t>
        </m:r>
      </m:oMath>
      <w:r>
        <w:br/>
      </w:r>
      <w:r>
        <w:t xml:space="preserve">3: Define negative scenarios</w:t>
      </w:r>
      <w:r>
        <w:t xml:space="preserve"> </w:t>
      </w:r>
      <m:oMath>
        <m:r>
          <m:t>S</m:t>
        </m:r>
        <m:r>
          <m:rPr>
            <m:sty m:val="p"/>
          </m:rPr>
          <m:t>*</m:t>
        </m:r>
        <m:r>
          <m:t>n</m:t>
        </m:r>
        <m:r>
          <m:t>e</m:t>
        </m:r>
        <m:r>
          <m:t>g</m:t>
        </m:r>
        <m:r>
          <m:t>a</m:t>
        </m:r>
        <m:r>
          <m:t>t</m:t>
        </m:r>
        <m:r>
          <m:t>i</m:t>
        </m:r>
        <m:r>
          <m:t>v</m:t>
        </m:r>
        <m:r>
          <m:t>e</m:t>
        </m:r>
      </m:oMath>
      <w:r>
        <w:br/>
      </w:r>
      <w:r>
        <w:t xml:space="preserve">4: Define adversarial scenarios</w:t>
      </w:r>
      <w:r>
        <w:t xml:space="preserve"> </w:t>
      </w:r>
      <m:oMath>
        <m:r>
          <m:t>S</m:t>
        </m:r>
        <m:r>
          <m:rPr>
            <m:sty m:val="p"/>
          </m:rPr>
          <m:t>*</m:t>
        </m:r>
        <m:r>
          <m:t>a</m:t>
        </m:r>
        <m:r>
          <m:t>d</m:t>
        </m:r>
        <m:r>
          <m:t>v</m:t>
        </m:r>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r>
          <m:t>S</m:t>
        </m:r>
        <m:r>
          <m:rPr>
            <m:sty m:val="p"/>
          </m:rPr>
          <m:t>*</m:t>
        </m:r>
        <m:r>
          <m:t>v</m:t>
        </m:r>
        <m:r>
          <m:t>a</m:t>
        </m:r>
        <m:r>
          <m:t>l</m:t>
        </m:r>
        <m:r>
          <m:t>i</m:t>
        </m:r>
        <m:r>
          <m:t>d</m:t>
        </m:r>
        <m:r>
          <m:rPr>
            <m:sty m:val="p"/>
          </m:rPr>
          <m:t>∪</m:t>
        </m:r>
        <m:r>
          <m:t>S</m:t>
        </m:r>
        <m:r>
          <m:rPr>
            <m:sty m:val="p"/>
          </m:rPr>
          <m:t>*</m:t>
        </m:r>
        <m:r>
          <m:t>n</m:t>
        </m:r>
        <m:r>
          <m:t>e</m:t>
        </m:r>
        <m:r>
          <m:t>g</m:t>
        </m:r>
        <m:r>
          <m:t>a</m:t>
        </m:r>
        <m:r>
          <m:t>t</m:t>
        </m:r>
        <m:r>
          <m:t>i</m:t>
        </m:r>
        <m:r>
          <m:t>v</m:t>
        </m:r>
        <m:r>
          <m:t>e</m:t>
        </m:r>
        <m:r>
          <m:rPr>
            <m:sty m:val="p"/>
          </m:rPr>
          <m:t>∪</m:t>
        </m:r>
        <m:r>
          <m:t>S</m:t>
        </m:r>
        <m:r>
          <m:rPr>
            <m:sty m:val="p"/>
          </m:rPr>
          <m:t>*</m:t>
        </m:r>
        <m:r>
          <m:t>a</m:t>
        </m:r>
        <m:r>
          <m:t>d</m:t>
        </m:r>
        <m:r>
          <m:t>v</m:t>
        </m:r>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24"/>
    <w:bookmarkStart w:id="125"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25"/>
    <w:bookmarkEnd w:id="126"/>
    <w:bookmarkStart w:id="127"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69</m:t>
          </m:r>
          <m:r>
            <m:rPr>
              <m:sty m:val="p"/>
            </m:rPr>
            <m:t>)</m:t>
          </m:r>
        </m:oMath>
      </m:oMathPara>
    </w:p>
    <w:p>
      <w:pPr>
        <w:pStyle w:val="FirstParagraph"/>
      </w:pPr>
      <w:r>
        <w:t xml:space="preserve">The CA3 extension incorporates temporal and lifecycle conditions that</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70</m:t>
          </m:r>
          <m:r>
            <m:rPr>
              <m:sty m:val="p"/>
            </m:rPr>
            <m:t>)</m:t>
          </m:r>
        </m:oMath>
      </m:oMathPara>
    </w:p>
    <w:p>
      <w:pPr>
        <w:pStyle w:val="FirstParagraph"/>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27"/>
    <w:bookmarkEnd w:id="128"/>
    <w:bookmarkStart w:id="135" w:name="current-progress-status"/>
    <w:p>
      <w:pPr>
        <w:pStyle w:val="Heading1"/>
      </w:pPr>
      <w:r>
        <w:t xml:space="preserve">7 Current Progress Status</w:t>
      </w:r>
    </w:p>
    <w:bookmarkStart w:id="129" w:name="X14610c74215ca842dde591adf203c91218a1a96"/>
    <w:p>
      <w:pPr>
        <w:pStyle w:val="Heading2"/>
      </w:pPr>
      <w:r>
        <w:t xml:space="preserve">7.1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71</m:t>
          </m:r>
          <m:r>
            <m:rPr>
              <m:sty m:val="p"/>
            </m:rPr>
            <m:t>)</m:t>
          </m:r>
        </m:oMath>
      </m:oMathPara>
    </w:p>
    <w:p>
      <w:pPr>
        <w:pStyle w:val="FirstParagraph"/>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bookmarkEnd w:id="129"/>
    <w:bookmarkStart w:id="130" w:name="X559e9df15ebd031f98715062b5b54bf7a8f1d60"/>
    <w:p>
      <w:pPr>
        <w:pStyle w:val="Heading2"/>
      </w:pPr>
      <w:r>
        <w:t xml:space="preserve">7.2 Progress of RO2: Decentralised Identity and Authority</w:t>
      </w:r>
    </w:p>
    <w:p>
      <w:pPr>
        <w:pStyle w:val="FirstParagraph"/>
      </w:pPr>
      <w:r>
        <w:rPr>
          <w:b/>
          <w:bCs/>
        </w:rPr>
        <w:t xml:space="preserve">Status: Completed</w:t>
      </w:r>
    </w:p>
    <w:p>
      <w:pPr>
        <w:pStyle w:val="BodyText"/>
      </w:pPr>
      <w:r>
        <w:t xml:space="preserve">RO2 has been completed at the conceptual and prototype level. The proposed framework explicitly separates identity authentication from authorisation authority that</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72</m:t>
          </m:r>
          <m:r>
            <m:rPr>
              <m:sty m:val="p"/>
            </m:rPr>
            <m:t>)</m:t>
          </m:r>
        </m:oMath>
      </m:oMathPara>
    </w:p>
    <w:p>
      <w:pPr>
        <w:pStyle w:val="FirstParagraph"/>
      </w:pPr>
      <w:r>
        <w:t xml:space="preserve">A decentralised identifier is used to establish the identity of a participant, while verifiable credentials provide evidence concerning the participant’s role or authority. The identity verification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73</m:t>
          </m:r>
          <m:r>
            <m:rPr>
              <m:sty m:val="p"/>
            </m:rPr>
            <m:t>)</m:t>
          </m:r>
        </m:oMath>
      </m:oMathPara>
    </w:p>
    <w:p>
      <w:pPr>
        <w:pStyle w:val="FirstParagraph"/>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bookmarkEnd w:id="130"/>
    <w:bookmarkStart w:id="131" w:name="Xf706e6be99deea6c1433defe6c0978157a655ed"/>
    <w:p>
      <w:pPr>
        <w:pStyle w:val="Heading2"/>
      </w:pPr>
      <w:r>
        <w:t xml:space="preserve">7.3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74</m:t>
          </m:r>
          <m:r>
            <m:rPr>
              <m:sty m:val="p"/>
            </m:rPr>
            <m:t>)</m:t>
          </m:r>
        </m:oMath>
      </m:oMathPara>
    </w:p>
    <w:p>
      <w:pPr>
        <w:pStyle w:val="FirstParagraph"/>
      </w:pPr>
      <w:r>
        <w:t xml:space="preserve">If the threshold is not satisfied,</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75</m:t>
          </m:r>
          <m:r>
            <m:rPr>
              <m:sty m:val="p"/>
            </m:rPr>
            <m:t>)</m:t>
          </m:r>
        </m:oMath>
      </m:oMathPara>
    </w:p>
    <w:p>
      <w:pPr>
        <w:pStyle w:val="FirstParagraph"/>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where two approvals are required,</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C</m:t>
          </m:r>
          <m:r>
            <m:rPr>
              <m:sty m:val="p"/>
            </m:rPr>
            <m:t>)</m:t>
          </m:r>
          <m:r>
            <m:rPr>
              <m:sty m:val="p"/>
            </m:rPr>
            <m:t>=</m:t>
          </m:r>
          <m:r>
            <m:t>1</m:t>
          </m:r>
          <m:r>
            <m:rPr>
              <m:sty m:val="p"/>
            </m:rPr>
            <m:t>,</m:t>
          </m:r>
          <m:r>
            <m:t>  </m:t>
          </m:r>
          <m:r>
            <m:t>  </m:t>
          </m:r>
          <m:r>
            <m:rPr>
              <m:sty m:val="p"/>
            </m:rPr>
            <m:t>(</m:t>
          </m:r>
          <m:r>
            <m:t>76</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C</m:t>
          </m:r>
          <m:r>
            <m:rPr>
              <m:sty m:val="p"/>
            </m:rPr>
            <m:t>)</m:t>
          </m:r>
          <m:r>
            <m:rPr>
              <m:sty m:val="p"/>
            </m:rPr>
            <m:t>=</m:t>
          </m:r>
          <m:r>
            <m:t>0</m:t>
          </m:r>
          <m:r>
            <m:rPr>
              <m:sty m:val="p"/>
            </m:rPr>
            <m:t>.</m:t>
          </m:r>
          <m:r>
            <m:t>  </m:t>
          </m:r>
          <m:r>
            <m:t>  </m:t>
          </m:r>
          <m:r>
            <m:rPr>
              <m:sty m:val="p"/>
            </m:rPr>
            <m:t>(</m:t>
          </m:r>
          <m:r>
            <m:t>77</m:t>
          </m:r>
          <m:r>
            <m:rPr>
              <m:sty m:val="p"/>
            </m:rPr>
            <m:t>)</m:t>
          </m:r>
        </m:oMath>
      </m:oMathPara>
    </w:p>
    <w:p>
      <w:pPr>
        <w:pStyle w:val="FirstParagraph"/>
      </w:pPr>
      <w:r>
        <w:t xml:space="preserve">This provides preliminary evidence that the proposed framework can enforce collective rather than unilateral authorisation.</w:t>
      </w:r>
    </w:p>
    <w:bookmarkEnd w:id="131"/>
    <w:bookmarkStart w:id="132" w:name="X8600b2f76ef27bbd75c7c71838aa9377b2ebdb3"/>
    <w:p>
      <w:pPr>
        <w:pStyle w:val="Heading2"/>
      </w:pPr>
      <w:r>
        <w:t xml:space="preserve">7.4 Progress of RO4: Policy-Aware Access Control</w:t>
      </w:r>
    </w:p>
    <w:p>
      <w:pPr>
        <w:pStyle w:val="FirstParagraph"/>
      </w:pPr>
      <w:r>
        <w:rPr>
          <w:b/>
          <w:bCs/>
        </w:rPr>
        <w:t xml:space="preserve">Status: In Progress</w:t>
      </w:r>
    </w:p>
    <w:p>
      <w:pPr>
        <w:pStyle w:val="BodyText"/>
      </w:pPr>
      <w: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78</m:t>
          </m:r>
          <m:r>
            <m:rPr>
              <m:sty m:val="p"/>
            </m:rPr>
            <m:t>)</m:t>
          </m:r>
        </m:oMath>
      </m:oMathPara>
    </w:p>
    <w:p>
      <w:pPr>
        <w:pStyle w:val="FirstParagraph"/>
      </w:pPr>
      <w:r>
        <w:t xml:space="preserve">For example, if</w:t>
      </w:r>
      <w:r>
        <w:t xml:space="preserve"> </w:t>
      </w:r>
      <w:r>
        <w:rPr>
          <w:i/>
          <w:iCs/>
        </w:rPr>
        <w:t xml:space="preserve">S</w:t>
      </w:r>
      <w:r>
        <w:rPr>
          <w:vertAlign w:val="subscript"/>
        </w:rPr>
        <w:t xml:space="preserve">C</w:t>
      </w:r>
      <w:r>
        <w:t xml:space="preserve"> </w:t>
      </w:r>
      <w:r>
        <w:t xml:space="preserve">= {</w:t>
      </w:r>
      <w:r>
        <w:rPr>
          <w:i/>
          <w:iCs/>
        </w:rPr>
        <w:t xml:space="preserve">Observation, Medication</w:t>
      </w:r>
      <w:r>
        <w:t xml:space="preserve">}, and the requester asks for</w:t>
      </w:r>
      <w:r>
        <w:t xml:space="preserve"> </w:t>
      </w:r>
      <w:r>
        <w:rPr>
          <w:i/>
          <w:iCs/>
        </w:rPr>
        <w:t xml:space="preserve">S</w:t>
      </w:r>
      <w:r>
        <w:rPr>
          <w:vertAlign w:val="subscript"/>
        </w:rPr>
        <w:t xml:space="preserve">R</w:t>
      </w:r>
      <w:r>
        <w:t xml:space="preserve"> </w:t>
      </w:r>
      <w:r>
        <w:t xml:space="preserve">= {</w:t>
      </w:r>
      <w:r>
        <w:rPr>
          <w:i/>
          <w:iCs/>
        </w:rPr>
        <w:t xml:space="preserve">Observation, Medic</w:t>
      </w:r>
      <w:r>
        <w:t xml:space="preserve"> </w:t>
      </w:r>
      <w:r>
        <w:t xml:space="preserve">the request should be rejected because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expected outcome is a policy-aware access-control mechanism capable of evaluating purpose and data-scope constraints before an access decision is issued. This objective will provide the final foundational component of the current stage trust-oriented authorisation model.</w:t>
      </w:r>
    </w:p>
    <w:bookmarkEnd w:id="132"/>
    <w:bookmarkStart w:id="133" w:name="X8e6146f09fe285d619620b5d8a35865b7344e11"/>
    <w:p>
      <w:pPr>
        <w:pStyle w:val="Heading2"/>
      </w:pPr>
      <w:r>
        <w:t xml:space="preserve">7.5 Progress of RO5: Temporal and Lifecycle Trust</w:t>
      </w:r>
    </w:p>
    <w:p>
      <w:pPr>
        <w:pStyle w:val="FirstParagraph"/>
      </w:pPr>
      <w:r>
        <w:rPr>
          <w:b/>
          <w:bCs/>
        </w:rPr>
        <w:t xml:space="preserve">Status: In Progress</w:t>
      </w:r>
    </w:p>
    <w:p>
      <w:pPr>
        <w:pStyle w:val="BodyText"/>
      </w:pPr>
      <w:r>
        <w:t xml:space="preserve">RO5 is reserved primarily for next stage. The objective is to introduce temporal and lifecycle trust so that consent is not considered permanently valid after creation or approval. A future consent validity interval will be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79</m:t>
          </m:r>
          <m:r>
            <m:rPr>
              <m:sty m:val="p"/>
            </m:rPr>
            <m:t>)</m:t>
          </m:r>
        </m:oMath>
      </m:oMathPara>
    </w:p>
    <w:p>
      <w:pPr>
        <w:pStyle w:val="FirstParagraph"/>
      </w:pPr>
      <w:r>
        <w:t xml:space="preserve">The consent lifecycle will also be extended to represent controlled transitions such as</w:t>
      </w:r>
    </w:p>
    <w:p>
      <w:pPr>
        <w:pStyle w:val="BodyText"/>
      </w:pPr>
      <w:r>
        <w:rPr>
          <w:i/>
          <w:iCs/>
        </w:rPr>
        <w:t xml:space="preserve">Specification</w:t>
      </w:r>
      <w:r>
        <w:t xml:space="preserve"> </w:t>
      </w:r>
      <w:r>
        <w:t xml:space="preserve">→</w:t>
      </w:r>
      <w:r>
        <w:t xml:space="preserve"> </w:t>
      </w:r>
      <w:r>
        <w:rPr>
          <w:i/>
          <w:iCs/>
        </w:rPr>
        <w:t xml:space="preserve">Verification</w:t>
      </w:r>
      <w:r>
        <w:t xml:space="preserve"> </w:t>
      </w:r>
      <w:r>
        <w:t xml:space="preserve">→</w:t>
      </w:r>
      <w:r>
        <w:t xml:space="preserve"> </w:t>
      </w:r>
      <w:r>
        <w:rPr>
          <w:i/>
          <w:iCs/>
        </w:rPr>
        <w:t xml:space="preserve">Approval</w:t>
      </w:r>
      <w:r>
        <w:t xml:space="preserve"> </w:t>
      </w:r>
      <w:r>
        <w:t xml:space="preserve">→</w:t>
      </w:r>
      <w:r>
        <w:t xml:space="preserve"> </w:t>
      </w:r>
      <w:r>
        <w:rPr>
          <w:i/>
          <w:iCs/>
        </w:rPr>
        <w:t xml:space="preserve">Active</w:t>
      </w:r>
      <w:r>
        <w:t xml:space="preserve"> </w:t>
      </w:r>
      <w:r>
        <w:t xml:space="preserve">→</w:t>
      </w:r>
      <w:r>
        <w:t xml:space="preserve"> </w:t>
      </w:r>
      <w:r>
        <w:rPr>
          <w:i/>
          <w:iCs/>
        </w:rPr>
        <w:t xml:space="preserve">Expiration/Revocation.</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33"/>
    <w:bookmarkStart w:id="134" w:name="Xd9cfcdd9e757a6720ff3496d27d05dcd5fd4592"/>
    <w:p>
      <w:pPr>
        <w:pStyle w:val="Heading2"/>
      </w:pPr>
      <w:r>
        <w:t xml:space="preserve">7.6 Progress of RO6: Security Assurance and Validation</w:t>
      </w:r>
    </w:p>
    <w:p>
      <w:pPr>
        <w:pStyle w:val="FirstParagraph"/>
      </w:pPr>
      <w:r>
        <w:rPr>
          <w:b/>
          <w:bCs/>
        </w:rPr>
        <w:t xml:space="preserve">Status: Partially Completed (RQ1-RQ3)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focuses primarily on RQ1, RQ2, and RQ3. Representative scenarios include valid identity verification, invalid identity or credential submission, insufficient multi-party approval, and successful completion of the required approval threshold. The central decision model can be formulated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80</m:t>
          </m:r>
          <m:r>
            <m:rPr>
              <m:sty m:val="p"/>
            </m:rPr>
            <m:t>)</m:t>
          </m:r>
        </m:oMath>
      </m:oMathPara>
    </w:p>
    <w:p>
      <w:pPr>
        <w:pStyle w:val="FirstParagraph"/>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34"/>
    <w:bookmarkEnd w:id="135"/>
    <w:bookmarkStart w:id="136" w:name="publications-summary"/>
    <w:p>
      <w:pPr>
        <w:pStyle w:val="Heading1"/>
      </w:pPr>
      <w:r>
        <w:t xml:space="preserve">8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7: Summary of Research Outputs and Publication Plan</w:t>
      </w:r>
    </w:p>
    <w:tbl>
      <w:tblPr>
        <w:tblStyle w:val="Table"/>
        <w:tblW w:type="pct" w:w="5000"/>
        <w:tblLayout w:type="fixed"/>
        <w:tblLook w:firstRow="1" w:lastRow="0" w:firstColumn="0" w:lastColumn="0" w:noHBand="0" w:noVBand="0" w:val="0020"/>
        <w:tblCaption w:val="Table 7: Summary of Research Outputs and Publication Plan"/>
      </w:tblPr>
      <w:tblGrid>
        <w:gridCol w:w="2554"/>
        <w:gridCol w:w="1532"/>
        <w:gridCol w:w="1277"/>
        <w:gridCol w:w="25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Elsevier/IEEE</w:t>
            </w:r>
          </w:p>
        </w:tc>
        <w:tc>
          <w:tcPr/>
          <w:p>
            <w:pPr>
              <w:pStyle w:val="Compact"/>
              <w:jc w:val="left"/>
            </w:pPr>
            <w:r>
              <w:t xml:space="preserve">Almost Ready</w:t>
            </w:r>
          </w:p>
        </w:tc>
        <w:tc>
          <w:tcPr/>
          <w:p>
            <w:pPr>
              <w:pStyle w:val="Compact"/>
              <w:jc w:val="left"/>
            </w:pPr>
            <w:r>
              <w:t xml:space="preserve">Core architectural contribution; addresses 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performance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Specialized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6).</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36"/>
    <w:bookmarkStart w:id="139" w:name="research-plan"/>
    <w:p>
      <w:pPr>
        <w:pStyle w:val="Heading1"/>
      </w:pPr>
      <w:r>
        <w:t xml:space="preserve">9 Research Plan</w:t>
      </w:r>
    </w:p>
    <w:p>
      <w:pPr>
        <w:pStyle w:val="FirstParagraph"/>
      </w:pPr>
      <w:r>
        <w:t xml:space="preserve">The research plan is divided into two major stages corresponding to current and next stage.</w:t>
      </w:r>
    </w:p>
    <w:bookmarkStart w:id="137" w:name="current-stage-completed-and-current-work"/>
    <w:p>
      <w:pPr>
        <w:pStyle w:val="Heading2"/>
      </w:pPr>
      <w:r>
        <w:t xml:space="preserve">9.1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The progression is RO1, RO2, RO3 and then RO4, in which RO1, RO2, and RO3 have been implemented and initially validated through the HALAH prototype. RO4 represents the current transition towards policy-aware access control.</w:t>
      </w:r>
    </w:p>
    <w:bookmarkEnd w:id="137"/>
    <w:bookmarkStart w:id="138" w:name="next-stage-planned-work"/>
    <w:p>
      <w:pPr>
        <w:pStyle w:val="Heading2"/>
      </w:pPr>
      <w:r>
        <w:t xml:space="preserve">9.2 Next Stage: Planned Work</w:t>
      </w:r>
    </w:p>
    <w:p>
      <w:pPr>
        <w:pStyle w:val="FirstParagraph"/>
      </w:pPr>
      <w: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8: Next Stage Research Activities, Methodological Focus, and Expected Outcomes</w:t>
      </w:r>
    </w:p>
    <w:tbl>
      <w:tblPr>
        <w:tblStyle w:val="Table"/>
        <w:tblW w:type="pct" w:w="5000"/>
        <w:tblLayout w:type="fixed"/>
        <w:tblLook w:firstRow="1" w:lastRow="0" w:firstColumn="0" w:lastColumn="0" w:noHBand="0" w:noVBand="0" w:val="0020"/>
        <w:tblCaption w:val="Table 8: Next Stage Research Activities, Methodological Focus, and Expected Outcomes"/>
      </w:tblPr>
      <w:tblGrid>
        <w:gridCol w:w="1760"/>
        <w:gridCol w:w="352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81</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38"/>
    <w:bookmarkEnd w:id="139"/>
    <w:bookmarkStart w:id="140" w:name="references"/>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2022.</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p>
    <w:p>
      <w:pPr>
        <w:pStyle w:val="BodyText"/>
      </w:pPr>
      <w:r>
        <w:t xml:space="preserve">[6] Abdul Ghafoor,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[8] Remy Hellstern, Daniel C Park, Victoria Lemieux, and Guldana Salimjan. Leveraging blockchain-based archival solutions for sensitive documentation: A xinjiang case study.</w:t>
      </w:r>
      <w:r>
        <w:t xml:space="preserve"> </w:t>
      </w:r>
      <w:r>
        <w:rPr>
          <w:i/>
          <w:iCs/>
        </w:rPr>
        <w:t xml:space="preserve">Digital Society</w:t>
      </w:r>
      <w:r>
        <w:t xml:space="preserve">, 1(1):4, 2022.</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w:t>
      </w:r>
      <w:r>
        <w:t xml:space="preserve"> </w:t>
      </w:r>
      <w:r>
        <w:rPr>
          <w:i/>
          <w:iCs/>
        </w:rPr>
        <w:t xml:space="preserve">Sensors</w:t>
      </w:r>
      <w:r>
        <w:t xml:space="preserve">, 26(14):4577, 2026.</w:t>
      </w:r>
    </w:p>
    <w:p>
      <w:pPr>
        <w:pStyle w:val="BodyText"/>
      </w:pPr>
      <w:r>
        <w:t xml:space="preserve">[18] Lanlan Li, Charles Z Liu, and Sanjeeb Shrestha. Analytical entropy approach for mea-suring blockchain immutability and tamper-resilient trust.</w:t>
      </w:r>
      <w:r>
        <w:t xml:space="preserve"> </w:t>
      </w:r>
      <w:r>
        <w:rPr>
          <w:i/>
          <w:iCs/>
        </w:rPr>
        <w:t xml:space="preserve">Entropy</w:t>
      </w:r>
      <w:r>
        <w:t xml:space="preserve">, 28(6):690, 2026.</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2025.</w:t>
      </w:r>
    </w:p>
    <w:p>
      <w:pPr>
        <w:pStyle w:val="BodyText"/>
      </w:pPr>
      <w:r>
        <w:t xml:space="preserve">[21] Andrei McCall. Privacy-preserving interoperability in healthcare data ecosystems: balancing data sharing with individual autonomy.</w:t>
      </w:r>
      <w:r>
        <w:t xml:space="preserve"> </w:t>
      </w:r>
      <w:r>
        <w:rPr>
          <w:i/>
          <w:iCs/>
        </w:rPr>
        <w:t xml:space="preserve">IEEE J. Biomed. Health Inform</w:t>
      </w:r>
      <w:r>
        <w:t xml:space="preserve">, 28(3):1234–1245, 2024.</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[30] Mohammad Nawab Turan, Irshad Ahmed Hashimzai, and Mohammad Qaseem Qiam. A blockchain-based framework for secure and transparent environmental data sharing in smart cities: Enhancing trust, integrity, and interoperability in urban sustainability systems.</w:t>
      </w:r>
      <w:r>
        <w:t xml:space="preserve"> </w:t>
      </w:r>
      <w:r>
        <w:rPr>
          <w:i/>
          <w:iCs/>
        </w:rPr>
        <w:t xml:space="preserve">Nata Palemahan: Journal of Environmental Engineering Innovations</w:t>
      </w:r>
      <w:r>
        <w:t xml:space="preserve">, 2(2):70–79, 2025.</w:t>
      </w:r>
    </w:p>
    <w:p>
      <w:pPr>
        <w:pStyle w:val="BodyText"/>
      </w:pPr>
      <w:r>
        <w:t xml:space="preserve">[31] Emily C Webber, David Brick, James P Scibilia, Peter Dehnel, Council on Clinical Information Technology, et al. Electronic communication of the health record and information with pediatric patients and their guardians. 2022.</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bookmarkEnd w:id="140"/>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85" Target="media/rId85.png" /><Relationship Type="http://schemas.openxmlformats.org/officeDocument/2006/relationships/image" Id="rId93" Target="media/rId93.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15" Target="media/rId115.png" /><Relationship Type="http://schemas.openxmlformats.org/officeDocument/2006/relationships/image" Id="rId121" Target="media/rId1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2026-09-28T11:14:12Z</dcterms:created>
  <dcterms:modified xsi:type="dcterms:W3CDTF">2026-09-28T11:14:12Z</dcterms:modified>
</cp:coreProperties>
</file>

<file path=docProps/custom.xml><?xml version="1.0" encoding="utf-8"?>
<Properties xmlns="http://schemas.openxmlformats.org/officeDocument/2006/custom-properties" xmlns:vt="http://schemas.openxmlformats.org/officeDocument/2006/docPropsVTypes"/>
</file>