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rPr>
          <w:b/>
          <w:bCs/>
          <w:color w:val="0D3B4F"/>
          <w:sz w:val="60"/>
          <w:szCs w:val="60"/>
        </w:rPr>
        <w:t xml:space="preserve">HALAH</w:t>
      </w:r>
    </w:p>
    <w:p>
      <w:pPr>
        <w:spacing w:after="80"/>
        <w:jc w:val="center"/>
      </w:pPr>
      <w:r>
        <w:rPr>
          <w:b/>
          <w:bCs/>
          <w:color w:val="2EC4B6"/>
          <w:sz w:val="28"/>
          <w:szCs w:val="28"/>
        </w:rPr>
        <w:t xml:space="preserve">History Access Link for Authorised Healthcare</w:t>
      </w:r>
    </w:p>
    <w:p>
      <w:pPr>
        <w:spacing w:after="500"/>
        <w:jc w:val="center"/>
      </w:pPr>
      <w:r>
        <w:rPr>
          <w:sz w:val="26"/>
          <w:szCs w:val="26"/>
        </w:rPr>
        <w:t xml:space="preserve">Implementation, Deployment and Evaluation on Ethereum Sepolia (Version 1.2)</w:t>
      </w:r>
    </w:p>
    <w:p>
      <w:pPr>
        <w:spacing w:after="60"/>
        <w:jc w:val="center"/>
      </w:pPr>
      <w:r>
        <w:rPr>
          <w:sz w:val="22"/>
          <w:szCs w:val="22"/>
        </w:rPr>
        <w:t xml:space="preserve">Authors: Charles, Yasir, Daniel, Kejia, Yasmin, Farookh</w:t>
      </w:r>
    </w:p>
    <w:p>
      <w:pPr>
        <w:spacing w:after="500"/>
        <w:jc w:val="center"/>
      </w:pPr>
      <w:r>
        <w:rPr>
          <w:sz w:val="22"/>
          <w:szCs w:val="22"/>
        </w:rPr>
        <w:t xml:space="preserve">Evaluation run: 24 September 2026</w:t>
      </w:r>
    </w:p>
    <w:p>
      <w:pPr>
        <w:keepNext/>
        <w:spacing w:after="80" w:before="160"/>
      </w:pPr>
      <w:r>
        <w:rPr>
          <w:b/>
          <w:bCs/>
          <w:sz w:val="19"/>
          <w:szCs w:val="19"/>
        </w:rPr>
        <w:t xml:space="preserve">Table 1. </w:t>
      </w:r>
      <w:r>
        <w:rPr>
          <w:i/>
          <w:iCs/>
          <w:sz w:val="19"/>
          <w:szCs w:val="19"/>
        </w:rPr>
        <w:t xml:space="preserve">Summary of the evaluated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Item</w:t>
            </w:r>
          </w:p>
        </w:tc>
        <w:tc>
          <w:tcPr>
            <w:tcW w:type="dxa" w:w="686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Value</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Network</w:t>
            </w:r>
          </w:p>
        </w:tc>
        <w:tc>
          <w:tcPr>
            <w:tcW w:type="dxa" w:w="68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Ethereum Sepolia testnet (chainId 11155111)</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Smart contract</w:t>
            </w:r>
          </w:p>
        </w:tc>
        <w:tc>
          <w:tcPr>
            <w:tcW w:type="dxa" w:w="68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ConsentSBTv3 at </w:t>
            </w:r>
            <w:r>
              <w:rPr>
                <w:rFonts w:ascii="Consolas" w:cs="Consolas" w:eastAsia="Consolas" w:hAnsi="Consolas"/>
                <w:sz w:val="18"/>
                <w:szCs w:val="18"/>
              </w:rPr>
              <w:t xml:space="preserve">0x0EC3617581DEC63A7f2bb162DC14d088916ADc73</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Contract owner (issuer)</w:t>
            </w:r>
          </w:p>
        </w:tc>
        <w:tc>
          <w:tcPr>
            <w:tcW w:type="dxa" w:w="68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rFonts w:ascii="Consolas" w:cs="Consolas" w:eastAsia="Consolas" w:hAnsi="Consolas"/>
                <w:sz w:val="18"/>
                <w:szCs w:val="18"/>
              </w:rPr>
              <w:t xml:space="preserve">0xD2f6d7A4…b03552DCF</w:t>
            </w:r>
            <w:r>
              <w:rPr>
                <w:sz w:val="18"/>
                <w:szCs w:val="18"/>
              </w:rPr>
              <w:t xml:space="preserve">, project test wallet (MetaMask)</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Compilation</w:t>
            </w:r>
          </w:p>
        </w:tc>
        <w:tc>
          <w:tcPr>
            <w:tcW w:type="dxa" w:w="68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Remix, solc 0.8.34 (source pragma ^0.8.20), optimizer 200 runs, OpenZeppelin 4.9.6</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Application</w:t>
            </w:r>
          </w:p>
        </w:tc>
        <w:tc>
          <w:tcPr>
            <w:tcW w:type="dxa" w:w="68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Python 3.11, Streamlit, web3.py, SQLite audit ledger; run in GitHub Codespaces</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Zero-knowledge component</w:t>
            </w:r>
          </w:p>
        </w:tc>
        <w:tc>
          <w:tcPr>
            <w:tcW w:type="dxa" w:w="68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Groth16 over BN254; circom compiler 2.1.9 (circuit pragma 2.1.6), snarkjs 0.7.4</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Code version</w:t>
            </w:r>
          </w:p>
        </w:tc>
        <w:tc>
          <w:tcPr>
            <w:tcW w:type="dxa" w:w="68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Repository branch </w:t>
            </w:r>
            <w:r>
              <w:rPr>
                <w:rFonts w:ascii="Consolas" w:cs="Consolas" w:eastAsia="Consolas" w:hAnsi="Consolas"/>
                <w:sz w:val="18"/>
                <w:szCs w:val="18"/>
              </w:rPr>
              <w:t xml:space="preserve">claude/pensive-tesla-u9uk4j</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Evidence</w:t>
            </w:r>
          </w:p>
        </w:tc>
        <w:tc>
          <w:tcPr>
            <w:tcW w:type="dxa" w:w="68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rFonts w:ascii="Consolas" w:cs="Consolas" w:eastAsia="Consolas" w:hAnsi="Consolas"/>
                <w:sz w:val="18"/>
                <w:szCs w:val="18"/>
              </w:rPr>
              <w:t xml:space="preserve">evidence/sepolia_deploy_v3_2026-09-24.txt</w:t>
            </w:r>
            <w:r>
              <w:rPr>
                <w:sz w:val="18"/>
                <w:szCs w:val="18"/>
              </w:rPr>
              <w:t xml:space="preserve">, </w:t>
            </w:r>
            <w:r>
              <w:rPr>
                <w:rFonts w:ascii="Consolas" w:cs="Consolas" w:eastAsia="Consolas" w:hAnsi="Consolas"/>
                <w:sz w:val="18"/>
                <w:szCs w:val="18"/>
              </w:rPr>
              <w:t xml:space="preserve">evidence/sepolia_audit_ledger_2026-09-24.csv</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Time base</w:t>
            </w:r>
          </w:p>
        </w:tc>
        <w:tc>
          <w:tcPr>
            <w:tcW w:type="dxa" w:w="68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Ledger timestamps are server time of the Codespace (UTC, consistent with the Etherscan times); shown as hh:mm:ss</w:t>
            </w:r>
          </w:p>
        </w:tc>
      </w:tr>
    </w:tbl>
    <w:p>
      <w:pPr>
        <w:spacing w:after="120"/>
      </w:pPr>
    </w:p>
    <w:p>
      <w:r>
        <w:br w:type="page"/>
      </w:r>
    </w:p>
    <w:p>
      <w:pPr>
        <w:pStyle w:val="Heading1"/>
        <w:spacing w:after="140" w:before="320"/>
      </w:pPr>
      <w:r>
        <w:t xml:space="preserve">Introduction: HALAH System and Workflow</w:t>
      </w:r>
    </w:p>
    <w:p>
      <w:pPr>
        <w:spacing w:after="120" w:line="276"/>
        <w:jc w:val="both"/>
      </w:pPr>
      <w:r>
        <w:t xml:space="preserve">The HALAH implementation provides a role-based patient consent management environment that operationalises the proposed multi-party healthcare data-sharing framework. It is organised around four actors: the </w:t>
      </w:r>
      <w:r>
        <w:rPr>
          <w:b/>
          <w:bCs/>
        </w:rPr>
        <w:t xml:space="preserve">patient</w:t>
      </w:r>
      <w:r>
        <w:t xml:space="preserve">, who creates consent; the </w:t>
      </w:r>
      <w:r>
        <w:rPr>
          <w:b/>
          <w:bCs/>
        </w:rPr>
        <w:t xml:space="preserve">guardians</w:t>
      </w:r>
      <w:r>
        <w:t xml:space="preserve">, who approve it cryptographically; the </w:t>
      </w:r>
      <w:r>
        <w:rPr>
          <w:b/>
          <w:bCs/>
        </w:rPr>
        <w:t xml:space="preserve">doctor</w:t>
      </w:r>
      <w:r>
        <w:t xml:space="preserve">, who requests access to electronic medical record (EMR) modules; and the </w:t>
      </w:r>
      <w:r>
        <w:rPr>
          <w:b/>
          <w:bCs/>
        </w:rPr>
        <w:t xml:space="preserve">auditor</w:t>
      </w:r>
      <w:r>
        <w:t xml:space="preserve">, who reconstructs the consent lifecycle. Consent is represented not as a single approval event but as a lifecycle: it is created, independently authorised, anchored on a public blockchain, evaluated at each access request, used to control access, and finally revoked.</w:t>
      </w:r>
    </w:p>
    <w:p>
      <w:pPr>
        <w:spacing w:after="120" w:line="276"/>
        <w:jc w:val="both"/>
      </w:pPr>
      <w:r>
        <w:t xml:space="preserve">Version 1.2 differs from the previously reported prototype in three respects. First, activation and revocation are </w:t>
      </w:r>
      <w:r>
        <w:rPr>
          <w:b/>
          <w:bCs/>
        </w:rPr>
        <w:t xml:space="preserve">transactions on the Ethereum Sepolia testnet</w:t>
      </w:r>
      <w:r>
        <w:t xml:space="preserve">, so these two state changes can be checked by any third party on a public block explorer. Second, the access decision evaluates every component of the consent tuple, with revocation (E) assessed within the authorisation check VA. Third, defects found during end-to-end testing were corrected, and the principal corrections were re-validated on the live network (Section 11).</w:t>
      </w:r>
    </w:p>
    <w:p>
      <w:pPr>
        <w:spacing w:after="120" w:line="276"/>
        <w:jc w:val="both"/>
      </w:pPr>
      <w:r>
        <w:t xml:space="preserve">The consent object follows the representation used throughout the HALAH framework:</w:t>
      </w:r>
    </w:p>
    <w:p>
      <w:pPr>
        <w:spacing w:after="140" w:before="80"/>
        <w:jc w:val="center"/>
      </w:pPr>
      <m:oMath>
        <m:r>
          <m:t>C = (I, A, P, T, L, E)</m:t>
        </m:r>
      </m:oMath>
    </w:p>
    <w:p>
      <w:pPr>
        <w:spacing w:after="120" w:line="276"/>
        <w:jc w:val="both"/>
      </w:pPr>
      <w:r>
        <w:t xml:space="preserve">where </w:t>
      </w:r>
      <w:r>
        <w:rPr>
          <w:b/>
          <w:bCs/>
        </w:rPr>
        <w:t xml:space="preserve">I</w:t>
      </w:r>
      <w:r>
        <w:t xml:space="preserve"> denotes the identities involved (patient, requester, guardians), </w:t>
      </w:r>
      <w:r>
        <w:rPr>
          <w:b/>
          <w:bCs/>
        </w:rPr>
        <w:t xml:space="preserve">A</w:t>
      </w:r>
      <w:r>
        <w:t xml:space="preserve"> the authorisation evidence (guardian signatures and the on-chain token), </w:t>
      </w:r>
      <w:r>
        <w:rPr>
          <w:b/>
          <w:bCs/>
        </w:rPr>
        <w:t xml:space="preserve">P</w:t>
      </w:r>
      <w:r>
        <w:t xml:space="preserve"> the purpose and data scope, </w:t>
      </w:r>
      <w:r>
        <w:rPr>
          <w:b/>
          <w:bCs/>
        </w:rPr>
        <w:t xml:space="preserve">T</w:t>
      </w:r>
      <w:r>
        <w:t xml:space="preserve"> the temporal validity window, </w:t>
      </w:r>
      <w:r>
        <w:rPr>
          <w:b/>
          <w:bCs/>
        </w:rPr>
        <w:t xml:space="preserve">L</w:t>
      </w:r>
      <w:r>
        <w:t xml:space="preserve"> the jurisdiction, and </w:t>
      </w:r>
      <w:r>
        <w:rPr>
          <w:b/>
          <w:bCs/>
        </w:rPr>
        <w:t xml:space="preserve">E</w:t>
      </w:r>
      <w:r>
        <w:t xml:space="preserve"> the enforcement state (active or revoked). The evaluated workflow is:</w:t>
      </w:r>
    </w:p>
    <w:p>
      <w:pPr>
        <w:spacing w:after="140" w:before="80"/>
        <w:jc w:val="center"/>
      </w:pPr>
      <m:oMath>
        <m:r>
          <m:t>Create → Guardian Approval (N-of-N) → On-chain Anchor (SBT)</m:t>
        </m:r>
      </m:oMath>
    </w:p>
    <w:p>
      <w:pPr>
        <w:spacing w:after="140" w:before="80"/>
        <w:jc w:val="center"/>
      </w:pPr>
      <m:oMath>
        <m:r>
          <m:t>→ Access Decision → Revocation → Audit → Independent Verification</m:t>
        </m:r>
      </m:oMath>
    </w:p>
    <w:p>
      <w:pPr>
        <w:spacing w:after="120" w:line="276"/>
        <w:jc w:val="both"/>
      </w:pPr>
      <w:r>
        <w:t xml:space="preserve">The chapter follows this sequence. Each step is documented with a screenshot of the running system, the corresponding audit-ledger record and, where the step produces a blockchain transaction, its hash on Sepolia. Section 10 then evaluates the implementation systematically, and Section 14 discusses its limitations.</w:t>
      </w:r>
    </w:p>
    <w:p>
      <w:pPr>
        <w:pStyle w:val="Heading1"/>
        <w:spacing w:after="140" w:before="320"/>
      </w:pPr>
      <w:r>
        <w:t xml:space="preserve">1. HALAH System and Deployment Environment</w:t>
      </w:r>
    </w:p>
    <w:p>
      <w:pPr>
        <w:spacing w:after="120" w:line="276"/>
        <w:jc w:val="both"/>
      </w:pPr>
      <w:r>
        <w:t xml:space="preserve">The HALAH application presents the system as a Patient Consent Management Platform. The blockchain and cryptographic mechanisms are embedded in the user workflow rather than exposed as separate tools: the application performs identity checks, signature verification, consent-state evaluation, on-chain anchoring and audit recording, while each participant sees only the actions relevant to their role.</w:t>
      </w:r>
    </w:p>
    <w:p>
      <w:pPr>
        <w:pStyle w:val="Heading2"/>
        <w:spacing w:after="100" w:before="200"/>
      </w:pPr>
      <w:r>
        <w:t xml:space="preserve">1.1 Smart-contract deployment</w:t>
      </w:r>
    </w:p>
    <w:p>
      <w:pPr>
        <w:spacing w:after="120" w:line="276"/>
        <w:jc w:val="both"/>
      </w:pPr>
      <w:r>
        <w:t xml:space="preserve">The consent token contract </w:t>
      </w:r>
      <w:r>
        <w:rPr>
          <w:b/>
          <w:bCs/>
        </w:rPr>
        <w:t xml:space="preserve">ConsentSBTv3</w:t>
      </w:r>
      <w:r>
        <w:t xml:space="preserve"> was compiled in Remix and deployed to Sepolia from the project test wallet through MetaMask (Figure 1). It implements a soulbound ERC-721 token: transfers between accounts are blocked in </w:t>
      </w:r>
      <w:r>
        <w:rPr>
          <w:rFonts w:ascii="Consolas" w:cs="Consolas" w:eastAsia="Consolas" w:hAnsi="Consolas"/>
          <w:sz w:val="19"/>
          <w:szCs w:val="19"/>
        </w:rPr>
        <w:t xml:space="preserve">_beforeTokenTransfer</w:t>
      </w:r>
      <w:r>
        <w:t xml:space="preserve">, and burning follows the ERC-5484 authorisation interface. Minting is restricted to the owner and rejects zero addresses, a start time later than the expiry, and an expiry in the past. Each token stores the pseudonymous patient and requester addresses, the keccak256 hash of the purpose, the validity window </w:t>
      </w:r>
      <w:r>
        <w:rPr>
          <w:rFonts w:ascii="Consolas" w:cs="Consolas" w:eastAsia="Consolas" w:hAnsi="Consolas"/>
          <w:sz w:val="19"/>
          <w:szCs w:val="19"/>
        </w:rPr>
        <w:t xml:space="preserve">notBefore</w:t>
      </w:r>
      <w:r>
        <w:t xml:space="preserve">/</w:t>
      </w:r>
      <w:r>
        <w:rPr>
          <w:rFonts w:ascii="Consolas" w:cs="Consolas" w:eastAsia="Consolas" w:hAnsi="Consolas"/>
          <w:sz w:val="19"/>
          <w:szCs w:val="19"/>
        </w:rPr>
        <w:t xml:space="preserve">expiry</w:t>
      </w:r>
      <w:r>
        <w:t xml:space="preserve">, a two-letter jurisdiction code and a revocation flag. The T, L and E components of the consent are therefore recorded on-chain and can be evaluated by any party through the view functions </w:t>
      </w:r>
      <w:r>
        <w:rPr>
          <w:rFonts w:ascii="Consolas" w:cs="Consolas" w:eastAsia="Consolas" w:hAnsi="Consolas"/>
          <w:sz w:val="19"/>
          <w:szCs w:val="19"/>
        </w:rPr>
        <w:t xml:space="preserve">checkValid</w:t>
      </w:r>
      <w:r>
        <w:t xml:space="preserve"> (E and T) and </w:t>
      </w:r>
      <w:r>
        <w:rPr>
          <w:rFonts w:ascii="Consolas" w:cs="Consolas" w:eastAsia="Consolas" w:hAnsi="Consolas"/>
          <w:sz w:val="19"/>
          <w:szCs w:val="19"/>
        </w:rPr>
        <w:t xml:space="preserve">checkValidAt</w:t>
      </w:r>
      <w:r>
        <w:t xml:space="preserve"> (additionally L).</w:t>
      </w:r>
    </w:p>
    <w:p>
      <w:pPr>
        <w:keepNext/>
        <w:spacing w:after="60" w:before="120"/>
        <w:jc w:val="center"/>
      </w:pPr>
      <w:r>
        <w:drawing>
          <wp:inline distT="0" distB="0" distL="0" distR="0">
            <wp:extent cx="5334000" cy="5124450"/>
            <wp:effectExtent t="0" r="0" b="0" l="0"/>
            <wp:docPr id="1" name="g_deploy" descr="Deployment of ConsentSBTv3: the Remix Deploy panel (Sepolia, compiled contract) and the MetaMask confirmation (estimated network fee 0.0092 SepoliaETH, nonce 115)."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124450"/>
                    </a:xfrm>
                    <a:prstGeom prst="rect">
                      <a:avLst/>
                    </a:prstGeom>
                  </pic:spPr>
                </pic:pic>
              </a:graphicData>
            </a:graphic>
          </wp:inline>
        </w:drawing>
      </w:r>
    </w:p>
    <w:p>
      <w:pPr>
        <w:spacing w:after="200"/>
        <w:jc w:val="center"/>
      </w:pPr>
      <w:r>
        <w:rPr>
          <w:b/>
          <w:bCs/>
          <w:i/>
          <w:iCs/>
          <w:sz w:val="19"/>
          <w:szCs w:val="19"/>
        </w:rPr>
        <w:t xml:space="preserve">Figure 1. </w:t>
      </w:r>
      <w:r>
        <w:rPr>
          <w:i/>
          <w:iCs/>
          <w:sz w:val="19"/>
          <w:szCs w:val="19"/>
        </w:rPr>
        <w:t xml:space="preserve">Deployment of ConsentSBTv3: the Remix Deploy panel (Sepolia, compiled contract) and the MetaMask confirmation (estimated network fee 0.0092 SepoliaETH, nonce 115).</w:t>
      </w:r>
    </w:p>
    <w:p>
      <w:pPr>
        <w:spacing w:after="120" w:line="276"/>
        <w:jc w:val="left"/>
      </w:pPr>
      <w:r>
        <w:t xml:space="preserve">After confirmation the contract is listed on Sepolia at </w:t>
      </w:r>
      <w:hyperlink w:history="1" r:id="rIduv9zjp0pd1e0dsgza0mao">
        <w:r>
          <w:rPr>
            <w:rStyle w:val="Hyperlink"/>
          </w:rPr>
          <w:t xml:space="preserve">0x0EC3617581DEC63A7f2bb162DC14d088916ADc73</w:t>
        </w:r>
      </w:hyperlink>
      <w:r>
        <w:t xml:space="preserve">. Figure 2 shows the creator wallet, the token tracker </w:t>
      </w:r>
      <w:r>
        <w:rPr>
          <w:b/>
          <w:bCs/>
        </w:rPr>
        <w:t xml:space="preserve">MedicalConsent (CONSENT)</w:t>
      </w:r>
      <w:r>
        <w:t xml:space="preserve"> and the first application transaction. According to the Remix deployment log, the source was also verified on Blockscout.</w:t>
      </w:r>
    </w:p>
    <w:p>
      <w:pPr>
        <w:keepNext/>
        <w:spacing w:after="60" w:before="120"/>
        <w:jc w:val="center"/>
      </w:pPr>
      <w:r>
        <w:drawing>
          <wp:inline distT="0" distB="0" distL="0" distR="0">
            <wp:extent cx="5715000" cy="2486025"/>
            <wp:effectExtent t="0" r="0" b="0" l="0"/>
            <wp:docPr id="1" name="g_etherscan" descr="The deployed contract on Sepolia Etherscan: creator wallet, MedicalConsent (CONSENT) token tracker and the first mint transaction in block 11,771,243 (fee 0.00020852 ETH)."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b/>
          <w:bCs/>
          <w:i/>
          <w:iCs/>
          <w:sz w:val="19"/>
          <w:szCs w:val="19"/>
        </w:rPr>
        <w:t xml:space="preserve">Figure 2. </w:t>
      </w:r>
      <w:r>
        <w:rPr>
          <w:i/>
          <w:iCs/>
          <w:sz w:val="19"/>
          <w:szCs w:val="19"/>
        </w:rPr>
        <w:t xml:space="preserve">The deployed contract on Sepolia Etherscan: creator wallet, MedicalConsent (CONSENT) token tracker and the first mint transaction in block 11,771,243 (fee 0.00020852 ETH).</w:t>
      </w:r>
    </w:p>
    <w:p>
      <w:pPr>
        <w:pStyle w:val="Heading2"/>
        <w:spacing w:after="100" w:before="200"/>
      </w:pPr>
      <w:r>
        <w:t xml:space="preserve">1.2 Application environment</w:t>
      </w:r>
    </w:p>
    <w:p>
      <w:pPr>
        <w:spacing w:after="120" w:line="276"/>
        <w:jc w:val="both"/>
      </w:pPr>
      <w:r>
        <w:t xml:space="preserve">To provide a reproducible, pre-configured execution environment, the application was run in GitHub Codespaces. The container configuration (</w:t>
      </w:r>
      <w:r>
        <w:rPr>
          <w:rFonts w:ascii="Consolas" w:cs="Consolas" w:eastAsia="Consolas" w:hAnsi="Consolas"/>
          <w:sz w:val="19"/>
          <w:szCs w:val="19"/>
        </w:rPr>
        <w:t xml:space="preserve">.devcontainer/devcontainer.json</w:t>
      </w:r>
      <w:r>
        <w:t xml:space="preserve">) sets the RPC endpoint, the contract address and the contract version, and declares the owner key as an encrypted Codespaces secret, so no secret material is stored in the repository. Before the run, the readiness check </w:t>
      </w:r>
      <w:r>
        <w:rPr>
          <w:rFonts w:ascii="Consolas" w:cs="Consolas" w:eastAsia="Consolas" w:hAnsi="Consolas"/>
          <w:sz w:val="19"/>
          <w:szCs w:val="19"/>
        </w:rPr>
        <w:t xml:space="preserve">python -m blockchain.sepolia_check</w:t>
      </w:r>
      <w:r>
        <w:t xml:space="preserve"> was executed. It passes only if the chain is Sepolia (chainId 11155111), the signer has a positive balance, the address contains contract code and the signer is the contract </w:t>
      </w:r>
      <w:r>
        <w:rPr>
          <w:rFonts w:ascii="Consolas" w:cs="Consolas" w:eastAsia="Consolas" w:hAnsi="Consolas"/>
          <w:sz w:val="19"/>
          <w:szCs w:val="19"/>
        </w:rPr>
        <w:t xml:space="preserve">owner()</w:t>
      </w:r>
      <w:r>
        <w:t xml:space="preserve">; it reported </w:t>
      </w:r>
      <w:r>
        <w:rPr>
          <w:b/>
          <w:bCs/>
        </w:rPr>
        <w:t xml:space="preserve">READY</w:t>
      </w:r>
      <w:r>
        <w:t xml:space="preserve"> (Figure 3).</w:t>
      </w:r>
    </w:p>
    <w:p>
      <w:pPr>
        <w:keepNext/>
        <w:spacing w:after="60" w:before="120"/>
        <w:jc w:val="center"/>
      </w:pPr>
      <w:r>
        <w:drawing>
          <wp:inline distT="0" distB="0" distL="0" distR="0">
            <wp:extent cx="4381500" cy="1057275"/>
            <wp:effectExtent t="0" r="0" b="0" l="0"/>
            <wp:docPr id="1" name="g_ready" descr="Readiness check in GitHub Codespaces on the evaluated branch: READY for the new contrac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057275"/>
                    </a:xfrm>
                    <a:prstGeom prst="rect">
                      <a:avLst/>
                    </a:prstGeom>
                  </pic:spPr>
                </pic:pic>
              </a:graphicData>
            </a:graphic>
          </wp:inline>
        </w:drawing>
      </w:r>
    </w:p>
    <w:p>
      <w:pPr>
        <w:spacing w:after="200"/>
        <w:jc w:val="center"/>
      </w:pPr>
      <w:r>
        <w:rPr>
          <w:b/>
          <w:bCs/>
          <w:i/>
          <w:iCs/>
          <w:sz w:val="19"/>
          <w:szCs w:val="19"/>
        </w:rPr>
        <w:t xml:space="preserve">Figure 3. </w:t>
      </w:r>
      <w:r>
        <w:rPr>
          <w:i/>
          <w:iCs/>
          <w:sz w:val="19"/>
          <w:szCs w:val="19"/>
        </w:rPr>
        <w:t xml:space="preserve">Readiness check in GitHub Codespaces on the evaluated branch: READY for the new contract.</w:t>
      </w:r>
    </w:p>
    <w:p>
      <w:pPr>
        <w:pStyle w:val="Heading2"/>
        <w:spacing w:after="100" w:before="200"/>
      </w:pPr>
      <w:r>
        <w:t xml:space="preserve">1.3 Reproducibility</w:t>
      </w:r>
    </w:p>
    <w:p>
      <w:pPr>
        <w:spacing w:after="120" w:line="276"/>
        <w:jc w:val="both"/>
      </w:pPr>
      <w:r>
        <w:t xml:space="preserve">The evaluation can be repeated from the repository with the following commands (the owner key is supplied as the </w:t>
      </w:r>
      <w:r>
        <w:rPr>
          <w:rFonts w:ascii="Consolas" w:cs="Consolas" w:eastAsia="Consolas" w:hAnsi="Consolas"/>
          <w:sz w:val="19"/>
          <w:szCs w:val="19"/>
        </w:rPr>
        <w:t xml:space="preserve">PRIVATE_KEY</w:t>
      </w:r>
      <w:r>
        <w:t xml:space="preserve"> secret or environment variable):</w:t>
      </w:r>
    </w:p>
    <w:p>
      <w:pPr>
        <w:shd w:fill="F2F2F2" w:color="auto" w:val="clear"/>
        <w:spacing w:after="40"/>
      </w:pPr>
      <w:r>
        <w:rPr>
          <w:rFonts w:ascii="Consolas" w:cs="Consolas" w:eastAsia="Consolas" w:hAnsi="Consolas"/>
          <w:sz w:val="18"/>
          <w:szCs w:val="18"/>
        </w:rPr>
        <w:t xml:space="preserve">git checkout claude/pensive-tesla-u9uk4j &amp;&amp; pip install -r requirements.txt</w:t>
      </w:r>
    </w:p>
    <w:p>
      <w:pPr>
        <w:shd w:fill="F2F2F2" w:color="auto" w:val="clear"/>
        <w:spacing w:after="40"/>
      </w:pPr>
      <w:r>
        <w:rPr>
          <w:rFonts w:ascii="Consolas" w:cs="Consolas" w:eastAsia="Consolas" w:hAnsi="Consolas"/>
          <w:sz w:val="18"/>
          <w:szCs w:val="18"/>
        </w:rPr>
        <w:t xml:space="preserve">bash zk/build_zk.sh                 # builds the Groth16 circuit and keys</w:t>
      </w:r>
    </w:p>
    <w:p>
      <w:pPr>
        <w:shd w:fill="F2F2F2" w:color="auto" w:val="clear"/>
        <w:spacing w:after="40"/>
      </w:pPr>
      <w:r>
        <w:rPr>
          <w:rFonts w:ascii="Consolas" w:cs="Consolas" w:eastAsia="Consolas" w:hAnsi="Consolas"/>
          <w:sz w:val="18"/>
          <w:szCs w:val="18"/>
        </w:rPr>
        <w:t xml:space="preserve">python -m blockchain.sepolia_check  # network, balance, code, owner</w:t>
      </w:r>
    </w:p>
    <w:p>
      <w:pPr>
        <w:shd w:fill="F2F2F2" w:color="auto" w:val="clear"/>
        <w:spacing w:after="40"/>
      </w:pPr>
      <w:r>
        <w:rPr>
          <w:rFonts w:ascii="Consolas" w:cs="Consolas" w:eastAsia="Consolas" w:hAnsi="Consolas"/>
          <w:sz w:val="18"/>
          <w:szCs w:val="18"/>
        </w:rPr>
        <w:t xml:space="preserve">python -m pytest -q tests/          # 23 automated tests</w:t>
      </w:r>
    </w:p>
    <w:p>
      <w:pPr>
        <w:shd w:fill="F2F2F2" w:color="auto" w:val="clear"/>
        <w:spacing w:after="40"/>
      </w:pPr>
      <w:r>
        <w:rPr>
          <w:rFonts w:ascii="Consolas" w:cs="Consolas" w:eastAsia="Consolas" w:hAnsi="Consolas"/>
          <w:sz w:val="18"/>
          <w:szCs w:val="18"/>
        </w:rPr>
        <w:t xml:space="preserve">streamlit run app.py                # the four role subsystems</w:t>
      </w:r>
    </w:p>
    <w:p>
      <w:pPr>
        <w:shd w:fill="F2F2F2" w:color="auto" w:val="clear"/>
        <w:spacing w:after="160"/>
      </w:pPr>
      <w:r>
        <w:rPr>
          <w:rFonts w:ascii="Consolas" w:cs="Consolas" w:eastAsia="Consolas" w:hAnsi="Consolas"/>
          <w:sz w:val="18"/>
          <w:szCs w:val="18"/>
        </w:rPr>
        <w:t xml:space="preserve">python -m tools.verify_poc           # ledger versus Sepolia</w:t>
      </w:r>
    </w:p>
    <w:p>
      <w:pPr>
        <w:pStyle w:val="Heading1"/>
        <w:spacing w:after="140" w:before="320"/>
      </w:pPr>
      <w:r>
        <w:t xml:space="preserve">2. Create Smart Consent Contract: Patient Subsystem (SRQ1)</w:t>
      </w:r>
    </w:p>
    <w:p>
      <w:pPr>
        <w:spacing w:after="120" w:line="276"/>
        <w:jc w:val="both"/>
      </w:pPr>
      <w:r>
        <w:t xml:space="preserve">The first functional subsystem represents the patient-side initiation of a consent transaction and corresponds directly to the construction of the consent object. The patient specifies the fields in Table 2, each of which operationalises one component of C.</w:t>
      </w:r>
    </w:p>
    <w:p>
      <w:pPr>
        <w:keepNext/>
        <w:spacing w:after="80" w:before="160"/>
      </w:pPr>
      <w:r>
        <w:rPr>
          <w:b/>
          <w:bCs/>
          <w:sz w:val="19"/>
          <w:szCs w:val="19"/>
        </w:rPr>
        <w:t xml:space="preserve">Table 2. </w:t>
      </w:r>
      <w:r>
        <w:rPr>
          <w:i/>
          <w:iCs/>
          <w:sz w:val="19"/>
          <w:szCs w:val="19"/>
        </w:rPr>
        <w:t xml:space="preserve">Mapping of patient input fields to the consent tuple.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Input field</w:t>
            </w:r>
          </w:p>
        </w:tc>
        <w:tc>
          <w:tcPr>
            <w:tcW w:type="dxa" w:w="12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Component</w:t>
            </w:r>
          </w:p>
        </w:tc>
        <w:tc>
          <w:tcPr>
            <w:tcW w:type="dxa" w:w="576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Role in the consent</w:t>
            </w:r>
          </w:p>
        </w:tc>
      </w:tr>
      <w:tr>
        <w:tc>
          <w:tcPr>
            <w:tcW w:type="dxa" w:w="24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Patient DID</w:t>
            </w:r>
          </w:p>
        </w:tc>
        <w:tc>
          <w:tcPr>
            <w:tcW w:type="dxa" w:w="1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I</w:t>
            </w:r>
          </w:p>
        </w:tc>
        <w:tc>
          <w:tcPr>
            <w:tcW w:type="dxa" w:w="5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Identity pointer of the data subject (did:patient method, synthetic Synthea identifier)</w:t>
            </w:r>
          </w:p>
        </w:tc>
      </w:tr>
      <w:tr>
        <w:tc>
          <w:tcPr>
            <w:tcW w:type="dxa" w:w="24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Authorised Doctor DID</w:t>
            </w:r>
          </w:p>
        </w:tc>
        <w:tc>
          <w:tcPr>
            <w:tcW w:type="dxa" w:w="1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I</w:t>
            </w:r>
          </w:p>
        </w:tc>
        <w:tc>
          <w:tcPr>
            <w:tcW w:type="dxa" w:w="5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Binds the authorisation to one requester (</w:t>
            </w:r>
            <w:r>
              <w:rPr>
                <w:rFonts w:ascii="Consolas" w:cs="Consolas" w:eastAsia="Consolas" w:hAnsi="Consolas"/>
                <w:sz w:val="18"/>
                <w:szCs w:val="18"/>
              </w:rPr>
              <w:t xml:space="preserve">did:hospital:001</w:t>
            </w:r>
            <w:r>
              <w:rPr>
                <w:sz w:val="18"/>
                <w:szCs w:val="18"/>
              </w:rPr>
              <w:t xml:space="preserve">)</w:t>
            </w:r>
          </w:p>
        </w:tc>
      </w:tr>
      <w:tr>
        <w:tc>
          <w:tcPr>
            <w:tcW w:type="dxa" w:w="24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Data Access Scope</w:t>
            </w:r>
          </w:p>
        </w:tc>
        <w:tc>
          <w:tcPr>
            <w:tcW w:type="dxa" w:w="1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P</w:t>
            </w:r>
          </w:p>
        </w:tc>
        <w:tc>
          <w:tcPr>
            <w:tcW w:type="dxa" w:w="5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Restricts access to selected EMR modules; the purpose is fixed to Treatment in this prototype</w:t>
            </w:r>
          </w:p>
        </w:tc>
      </w:tr>
      <w:tr>
        <w:tc>
          <w:tcPr>
            <w:tcW w:type="dxa" w:w="24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Designated Guardian DIDs</w:t>
            </w:r>
          </w:p>
        </w:tc>
        <w:tc>
          <w:tcPr>
            <w:tcW w:type="dxa" w:w="1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A</w:t>
            </w:r>
          </w:p>
        </w:tc>
        <w:tc>
          <w:tcPr>
            <w:tcW w:type="dxa" w:w="5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Parties whose signatures are required; threshold = number of guardians</w:t>
            </w:r>
          </w:p>
        </w:tc>
      </w:tr>
      <w:tr>
        <w:tc>
          <w:tcPr>
            <w:tcW w:type="dxa" w:w="24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Start / Expiry time</w:t>
            </w:r>
          </w:p>
        </w:tc>
        <w:tc>
          <w:tcPr>
            <w:tcW w:type="dxa" w:w="1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T</w:t>
            </w:r>
          </w:p>
        </w:tc>
        <w:tc>
          <w:tcPr>
            <w:tcW w:type="dxa" w:w="5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Validity window, later stored on-chain as notBefore / expiry</w:t>
            </w:r>
          </w:p>
        </w:tc>
      </w:tr>
      <w:tr>
        <w:tc>
          <w:tcPr>
            <w:tcW w:type="dxa" w:w="24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Jurisdiction</w:t>
            </w:r>
          </w:p>
        </w:tc>
        <w:tc>
          <w:tcPr>
            <w:tcW w:type="dxa" w:w="1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L</w:t>
            </w:r>
          </w:p>
        </w:tc>
        <w:tc>
          <w:tcPr>
            <w:tcW w:type="dxa" w:w="5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ISO-3166 code stored with the consent and on-chain (AU in the evaluated consent)</w:t>
            </w:r>
          </w:p>
        </w:tc>
      </w:tr>
    </w:tbl>
    <w:p>
      <w:pPr>
        <w:spacing w:after="120"/>
      </w:pPr>
    </w:p>
    <w:p>
      <w:pPr>
        <w:spacing w:after="120" w:line="276"/>
        <w:jc w:val="both"/>
      </w:pPr>
      <w:r>
        <w:t xml:space="preserve">Version 1.2 validates the input before the consent is stored: a consent with an empty data scope is rejected, and each guardian entry must be a DID. The evaluated consent </w:t>
      </w:r>
      <w:r>
        <w:rPr>
          <w:rFonts w:ascii="Consolas" w:cs="Consolas" w:eastAsia="Consolas" w:hAnsi="Consolas"/>
          <w:sz w:val="19"/>
          <w:szCs w:val="19"/>
        </w:rPr>
        <w:t xml:space="preserve">f050c29a-3d92-4131-8605-63bcb1ff8d92</w:t>
      </w:r>
      <w:r>
        <w:t xml:space="preserve"> was created at 09:50:49 for the modules Observation, Medication, Condition and Procedure, with two guardians and jurisdiction AU (Figure 4). At this point the consent exists only in the application ledger, in the state </w:t>
      </w:r>
      <w:r>
        <w:rPr>
          <w:b/>
          <w:bCs/>
        </w:rPr>
        <w:t xml:space="preserve">PENDING_SIGNATURE</w:t>
      </w:r>
      <w:r>
        <w:t xml:space="preserve">; nothing is written to the blockchain until the guardians have approved.</w:t>
      </w:r>
    </w:p>
    <w:p>
      <w:pPr>
        <w:keepNext/>
        <w:spacing w:after="60" w:before="120"/>
        <w:jc w:val="center"/>
      </w:pPr>
      <w:r>
        <w:drawing>
          <wp:inline distT="0" distB="0" distL="0" distR="0">
            <wp:extent cx="5143500" cy="3800475"/>
            <wp:effectExtent t="0" r="0" b="0" l="0"/>
            <wp:docPr id="1" name="M1" descr="Patient subsystem: a consent created with four EMR modules, two guardians and jurisdiction AU, in the state PENDING_SIGNATURE (reproduction lifecycle, consent 04da25f5)."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800475"/>
                    </a:xfrm>
                    <a:prstGeom prst="rect">
                      <a:avLst/>
                    </a:prstGeom>
                  </pic:spPr>
                </pic:pic>
              </a:graphicData>
            </a:graphic>
          </wp:inline>
        </w:drawing>
      </w:r>
    </w:p>
    <w:p>
      <w:pPr>
        <w:spacing w:after="200"/>
        <w:jc w:val="center"/>
      </w:pPr>
      <w:r>
        <w:rPr>
          <w:b/>
          <w:bCs/>
          <w:i/>
          <w:iCs/>
          <w:sz w:val="19"/>
          <w:szCs w:val="19"/>
        </w:rPr>
        <w:t xml:space="preserve">Figure 4. </w:t>
      </w:r>
      <w:r>
        <w:rPr>
          <w:i/>
          <w:iCs/>
          <w:sz w:val="19"/>
          <w:szCs w:val="19"/>
        </w:rPr>
        <w:t xml:space="preserve">Patient subsystem: a consent created with four EMR modules, two guardians and jurisdiction AU, in the state PENDING_SIGNATURE (reproduction lifecycle, consent 04da25f5).</w:t>
      </w:r>
    </w:p>
    <w:p>
      <w:pPr>
        <w:spacing w:after="120" w:line="276"/>
        <w:jc w:val="both"/>
      </w:pPr>
      <w:r>
        <w:t xml:space="preserve">Because a revoked consent cannot be photographed in its earlier states, Figure 4, Figure 5 and Figure 8 were captured from a second, identical lifecycle executed after the evaluation (consent 04da25f5 for patient did:patient:5f01f823-…, anchored as token #2 in block 11,771,581, gas 179,306). All ledger rows and transactions cited in the text remain those of f050c29a.</w:t>
      </w:r>
    </w:p>
    <w:p>
      <w:pPr>
        <w:spacing w:after="160" w:before="60" w:line="276"/>
        <w:jc w:val="both"/>
      </w:pPr>
      <w:r>
        <w:t xml:space="preserve">This module therefore corresponds to </w:t>
      </w:r>
      <w:r>
        <w:rPr>
          <w:b/>
          <w:bCs/>
        </w:rPr>
        <w:t xml:space="preserve">Consent Object Construction and Patient Initiation</w:t>
      </w:r>
      <w:r>
        <w:t xml:space="preserve">.</w:t>
      </w:r>
    </w:p>
    <w:p>
      <w:pPr>
        <w:pStyle w:val="Heading1"/>
        <w:spacing w:after="140" w:before="320"/>
      </w:pPr>
      <w:r>
        <w:t xml:space="preserve">3. Guardian Cryptographic Approval (SRQ2)</w:t>
      </w:r>
    </w:p>
    <w:p>
      <w:pPr>
        <w:spacing w:after="120" w:line="276"/>
        <w:jc w:val="both"/>
      </w:pPr>
      <w:r>
        <w:t xml:space="preserve">The guardian subsystem operationalises the multi-party authorisation component. A guardian enters the target Consent ID, the system retrieves the pending consent, and the guardian approves it with an </w:t>
      </w:r>
      <w:r>
        <w:rPr>
          <w:b/>
          <w:bCs/>
        </w:rPr>
        <w:t xml:space="preserve">EIP-712 typed-data signature</w:t>
      </w:r>
      <w:r>
        <w:t xml:space="preserve"> over the following structure:</w:t>
      </w:r>
    </w:p>
    <w:p>
      <w:pPr>
        <w:spacing w:after="140" w:before="80"/>
        <w:jc w:val="center"/>
      </w:pPr>
      <m:oMath>
        <m:r>
          <m:t>domain = ("HALAH Consent", "1", chainId 11155111)</m:t>
        </m:r>
      </m:oMath>
    </w:p>
    <w:p>
      <w:pPr>
        <w:spacing w:after="140" w:before="80"/>
        <w:jc w:val="center"/>
      </w:pPr>
      <m:oMath>
        <m:r>
          <m:t>Approval = { consentId : string, guardian : string (DID), action : "APPROVE" }</m:t>
        </m:r>
      </m:oMath>
    </w:p>
    <w:p>
      <w:pPr>
        <w:spacing w:after="120" w:line="276"/>
        <w:jc w:val="both"/>
      </w:pPr>
      <w:r>
        <w:t xml:space="preserve">The signature binds the approval to the consent, the guardian DID and the network; because the domain has no </w:t>
      </w:r>
      <w:r>
        <w:rPr>
          <w:rFonts w:ascii="Consolas" w:cs="Consolas" w:eastAsia="Consolas" w:hAnsi="Consolas"/>
          <w:sz w:val="19"/>
          <w:szCs w:val="19"/>
        </w:rPr>
        <w:t xml:space="preserve">verifyingContract</w:t>
      </w:r>
      <w:r>
        <w:t xml:space="preserve"> field it is not bound to a specific contract. The application recovers the signer off-chain (web3.py </w:t>
      </w:r>
      <w:r>
        <w:rPr>
          <w:rFonts w:ascii="Consolas" w:cs="Consolas" w:eastAsia="Consolas" w:hAnsi="Consolas"/>
          <w:sz w:val="19"/>
          <w:szCs w:val="19"/>
        </w:rPr>
        <w:t xml:space="preserve">recover_message</w:t>
      </w:r>
      <w:r>
        <w:t xml:space="preserve">) and compares it with the address associated with the guardian DID. In this prototype that address, and the signing key, are derived deterministically from the DID, so the application signs on the guardian's behalf (see Section 14). Signatures for another consent, another guardian or another chain fail verification, and the interface refuses a second signature from the same guardian. Activation requires every designated guardian:</w:t>
      </w:r>
    </w:p>
    <w:p>
      <w:pPr>
        <w:spacing w:after="140" w:before="80"/>
        <w:jc w:val="center"/>
      </w:pPr>
      <m:oMath>
        <m:r>
          <m:t>Σ_{g ∈ G} VerifySig(g, C) ≥ threshold = |G|   (here |G| = 2)</m:t>
        </m:r>
      </m:oMath>
    </w:p>
    <w:p>
      <w:pPr>
        <w:spacing w:after="120" w:line="276"/>
        <w:jc w:val="both"/>
      </w:pPr>
      <w:r>
        <w:t xml:space="preserve">In the evaluated run the two approvals were recorded at 09:51:05 and 09:51:07 from two distinct signer addresses (</w:t>
      </w:r>
      <w:r>
        <w:rPr>
          <w:rFonts w:ascii="Consolas" w:cs="Consolas" w:eastAsia="Consolas" w:hAnsi="Consolas"/>
          <w:sz w:val="19"/>
          <w:szCs w:val="19"/>
        </w:rPr>
        <w:t xml:space="preserve">0x3Af549…c570</w:t>
      </w:r>
      <w:r>
        <w:t xml:space="preserve"> for guardian A and </w:t>
      </w:r>
      <w:r>
        <w:rPr>
          <w:rFonts w:ascii="Consolas" w:cs="Consolas" w:eastAsia="Consolas" w:hAnsi="Consolas"/>
          <w:sz w:val="19"/>
          <w:szCs w:val="19"/>
        </w:rPr>
        <w:t xml:space="preserve">0x39B12b…C90d</w:t>
      </w:r>
      <w:r>
        <w:t xml:space="preserve"> for guardian B). When the threshold is reached the application records a provisional local identifier (</w:t>
      </w:r>
      <w:r>
        <w:rPr>
          <w:rFonts w:ascii="Consolas" w:cs="Consolas" w:eastAsia="Consolas" w:hAnsi="Consolas"/>
          <w:sz w:val="19"/>
          <w:szCs w:val="19"/>
        </w:rPr>
        <w:t xml:space="preserve">MINT_SBT</w:t>
      </w:r>
      <w:r>
        <w:t xml:space="preserve">, </w:t>
      </w:r>
      <w:r>
        <w:rPr>
          <w:rFonts w:ascii="Consolas" w:cs="Consolas" w:eastAsia="Consolas" w:hAnsi="Consolas"/>
          <w:sz w:val="19"/>
          <w:szCs w:val="19"/>
        </w:rPr>
        <w:t xml:space="preserve">SBT-LOCAL-f050c29a</w:t>
      </w:r>
      <w:r>
        <w:t xml:space="preserve">) and starts a background job that calls </w:t>
      </w:r>
      <w:r>
        <w:rPr>
          <w:rFonts w:ascii="Consolas" w:cs="Consolas" w:eastAsia="Consolas" w:hAnsi="Consolas"/>
          <w:sz w:val="19"/>
          <w:szCs w:val="19"/>
        </w:rPr>
        <w:t xml:space="preserve">mintConsentV3</w:t>
      </w:r>
      <w:r>
        <w:t xml:space="preserve"> (selector </w:t>
      </w:r>
      <w:r>
        <w:rPr>
          <w:rFonts w:ascii="Consolas" w:cs="Consolas" w:eastAsia="Consolas" w:hAnsi="Consolas"/>
          <w:sz w:val="19"/>
          <w:szCs w:val="19"/>
        </w:rPr>
        <w:t xml:space="preserve">0x1e1e7c76</w:t>
      </w:r>
      <w:r>
        <w:t xml:space="preserve">) from the owner account. The transaction was confirmed in block </w:t>
      </w:r>
      <w:r>
        <w:rPr>
          <w:b/>
          <w:bCs/>
        </w:rPr>
        <w:t xml:space="preserve">11,771,243</w:t>
      </w:r>
      <w:r>
        <w:t xml:space="preserve"> at 09:51:12, used 196,406 gas and produced </w:t>
      </w:r>
      <w:r>
        <w:rPr>
          <w:b/>
          <w:bCs/>
        </w:rPr>
        <w:t xml:space="preserve">token #1</w:t>
      </w:r>
      <w:r>
        <w:t xml:space="preserve"> (displayed in the application as SBT-1), which replaced the provisional identifier. The token is held by the pseudonymous patient address </w:t>
      </w:r>
      <w:r>
        <w:rPr>
          <w:rFonts w:ascii="Consolas" w:cs="Consolas" w:eastAsia="Consolas" w:hAnsi="Consolas"/>
          <w:sz w:val="19"/>
          <w:szCs w:val="19"/>
        </w:rPr>
        <w:t xml:space="preserve">0x789997BF…E30C5</w:t>
      </w:r>
      <w:r>
        <w:t xml:space="preserve">, the last 20 bytes of keccak256 of the patient DID (Figure 5, Figure 6).</w:t>
      </w:r>
    </w:p>
    <w:p>
      <w:pPr>
        <w:keepNext/>
        <w:spacing w:after="60" w:before="120"/>
        <w:jc w:val="center"/>
      </w:pPr>
      <w:r>
        <w:drawing>
          <wp:inline distT="0" distB="0" distL="0" distR="0">
            <wp:extent cx="5143500" cy="3600450"/>
            <wp:effectExtent t="0" r="0" b="0" l="0"/>
            <wp:docPr id="1" name="M2" descr="Guardian subsystem after the 2/2 threshold: 'Already anchored on Sepolia - token #2' (reproduction lifecycle; f050c29a was anchored identically as token #1)."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600450"/>
                    </a:xfrm>
                    <a:prstGeom prst="rect">
                      <a:avLst/>
                    </a:prstGeom>
                  </pic:spPr>
                </pic:pic>
              </a:graphicData>
            </a:graphic>
          </wp:inline>
        </w:drawing>
      </w:r>
    </w:p>
    <w:p>
      <w:pPr>
        <w:spacing w:after="200"/>
        <w:jc w:val="center"/>
      </w:pPr>
      <w:r>
        <w:rPr>
          <w:b/>
          <w:bCs/>
          <w:i/>
          <w:iCs/>
          <w:sz w:val="19"/>
          <w:szCs w:val="19"/>
        </w:rPr>
        <w:t xml:space="preserve">Figure 5. </w:t>
      </w:r>
      <w:r>
        <w:rPr>
          <w:i/>
          <w:iCs/>
          <w:sz w:val="19"/>
          <w:szCs w:val="19"/>
        </w:rPr>
        <w:t xml:space="preserve">Guardian subsystem after the 2/2 threshold: 'Already anchored on Sepolia - token #2' (reproduction lifecycle; f050c29a was anchored identically as token #1).</w:t>
      </w:r>
    </w:p>
    <w:p>
      <w:pPr>
        <w:spacing w:after="120" w:line="276"/>
        <w:jc w:val="left"/>
      </w:pPr>
      <w:r>
        <w:t xml:space="preserve">The mint transaction can be inspected at </w:t>
      </w:r>
      <w:hyperlink w:history="1" r:id="rIdhuwrwfvqv9oqikyojrlid">
        <w:r>
          <w:rPr>
            <w:rStyle w:val="Hyperlink"/>
          </w:rPr>
          <w:t xml:space="preserve">Etherscan: mint transaction</w:t>
        </w:r>
      </w:hyperlink>
      <w:r>
        <w:t xml:space="preserve">.</w:t>
      </w:r>
    </w:p>
    <w:p>
      <w:pPr>
        <w:keepNext/>
        <w:spacing w:after="60" w:before="120"/>
        <w:jc w:val="center"/>
      </w:pPr>
      <w:r>
        <w:drawing>
          <wp:inline distT="0" distB="0" distL="0" distR="0">
            <wp:extent cx="5334000" cy="3895725"/>
            <wp:effectExtent t="0" r="0" b="0" l="0"/>
            <wp:docPr id="1" name="M3" descr="Sepolia Etherscan: the mintConsentV3 transaction that anchored consent f050c29a - status Success, block 11,771,243, 'Mint 1 of MedicalConsent' to the pseudonymous patient address, fee 0.000208 ETH."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895725"/>
                    </a:xfrm>
                    <a:prstGeom prst="rect">
                      <a:avLst/>
                    </a:prstGeom>
                  </pic:spPr>
                </pic:pic>
              </a:graphicData>
            </a:graphic>
          </wp:inline>
        </w:drawing>
      </w:r>
    </w:p>
    <w:p>
      <w:pPr>
        <w:spacing w:after="200"/>
        <w:jc w:val="center"/>
      </w:pPr>
      <w:r>
        <w:rPr>
          <w:b/>
          <w:bCs/>
          <w:i/>
          <w:iCs/>
          <w:sz w:val="19"/>
          <w:szCs w:val="19"/>
        </w:rPr>
        <w:t xml:space="preserve">Figure 6. </w:t>
      </w:r>
      <w:r>
        <w:rPr>
          <w:i/>
          <w:iCs/>
          <w:sz w:val="19"/>
          <w:szCs w:val="19"/>
        </w:rPr>
        <w:t xml:space="preserve">Sepolia Etherscan: the mintConsentV3 transaction that anchored consent f050c29a - status Success, block 11,771,243, 'Mint 1 of MedicalConsent' to the pseudonymous patient address, fee 0.000208 ETH.</w:t>
      </w:r>
    </w:p>
    <w:p>
      <w:pPr>
        <w:spacing w:after="160" w:before="60" w:line="276"/>
        <w:jc w:val="both"/>
      </w:pPr>
      <w:r>
        <w:t xml:space="preserve">The guardian subsystem therefore corresponds to </w:t>
      </w:r>
      <w:r>
        <w:rPr>
          <w:b/>
          <w:bCs/>
        </w:rPr>
        <w:t xml:space="preserve">Multi-Party Approval, Cryptographic Verification and Consent Activation</w:t>
      </w:r>
      <w:r>
        <w:t xml:space="preserve">. In contrast to the earlier prototype, activation is a public, independently verifiable state change.</w:t>
      </w:r>
    </w:p>
    <w:p>
      <w:pPr>
        <w:pStyle w:val="Heading1"/>
        <w:spacing w:after="140" w:before="320"/>
      </w:pPr>
      <w:r>
        <w:t xml:space="preserve">4. Secure Patient Data Access for Doctor (SRQ3–SRQ5)</w:t>
      </w:r>
    </w:p>
    <w:p>
      <w:pPr>
        <w:spacing w:after="120" w:line="276"/>
        <w:jc w:val="both"/>
      </w:pPr>
      <w:r>
        <w:t xml:space="preserve">The doctor subsystem represents the healthcare-provider side. After a Consent ID is entered, the system evaluates the decision matrix and displays it before any data can be requested (Figure 7). In this prototype the requester is not authenticated: the role is selected in the interface and the requester's jurisdiction is self-declared, and ledger entries attribute the access to the consent's requester DID. The matrix therefore demonstrates the decision logic, not resistance to an impersonating requester.</w:t>
      </w:r>
    </w:p>
    <w:p>
      <w:pPr>
        <w:spacing w:after="140" w:before="80"/>
        <w:jc w:val="center"/>
      </w:pPr>
      <m:oMath>
        <m:r>
          <m:t>ALLOW = VI ∧ VA ∧ VP ∧ VT ∧ VL</m:t>
        </m:r>
      </m:oMath>
    </w:p>
    <w:p>
      <w:pPr>
        <w:keepNext/>
        <w:spacing w:after="80" w:before="160"/>
      </w:pPr>
      <w:r>
        <w:rPr>
          <w:b/>
          <w:bCs/>
          <w:sz w:val="19"/>
          <w:szCs w:val="19"/>
        </w:rPr>
        <w:t xml:space="preserve">Table 3. </w:t>
      </w:r>
      <w:r>
        <w:rPr>
          <w:i/>
          <w:iCs/>
          <w:sz w:val="19"/>
          <w:szCs w:val="19"/>
        </w:rPr>
        <w:t xml:space="preserve">Checks evaluated by the decision matrix (services/access_service.py).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Check</w:t>
            </w:r>
          </w:p>
        </w:tc>
        <w:tc>
          <w:tcPr>
            <w:tcW w:type="dxa" w:w="726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Condition evaluated in version 1.2</w:t>
            </w:r>
          </w:p>
        </w:tc>
      </w:tr>
      <w:tr>
        <w:tc>
          <w:tcPr>
            <w:tcW w:type="dxa" w:w="21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VI – identity</w:t>
            </w:r>
          </w:p>
        </w:tc>
        <w:tc>
          <w:tcPr>
            <w:tcW w:type="dxa" w:w="72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Patient and requester identifiers are DIDs, at least one signature exists and every recorded guardian signature verifies (EIP-712)</w:t>
            </w:r>
          </w:p>
        </w:tc>
      </w:tr>
      <w:tr>
        <w:tc>
          <w:tcPr>
            <w:tcW w:type="dxa" w:w="21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VA – authorisation</w:t>
            </w:r>
          </w:p>
        </w:tc>
        <w:tc>
          <w:tcPr>
            <w:tcW w:type="dxa" w:w="72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Signatures ≥ threshold, a token identifier is present and the consent is not revoked (local state)</w:t>
            </w:r>
          </w:p>
        </w:tc>
      </w:tr>
      <w:tr>
        <w:tc>
          <w:tcPr>
            <w:tcW w:type="dxa" w:w="21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VP – purpose</w:t>
            </w:r>
          </w:p>
        </w:tc>
        <w:tc>
          <w:tcPr>
            <w:tcW w:type="dxa" w:w="72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The consent purpose is in the permitted set {Treatment, Research, Emergency}</w:t>
            </w:r>
          </w:p>
        </w:tc>
      </w:tr>
      <w:tr>
        <w:tc>
          <w:tcPr>
            <w:tcW w:type="dxa" w:w="21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VT – time</w:t>
            </w:r>
          </w:p>
        </w:tc>
        <w:tc>
          <w:tcPr>
            <w:tcW w:type="dxa" w:w="72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Start ≤ now ≤ expiry, evaluated on the consent's stored dates</w:t>
            </w:r>
          </w:p>
        </w:tc>
      </w:tr>
      <w:tr>
        <w:tc>
          <w:tcPr>
            <w:tcW w:type="dxa" w:w="21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VL – jurisdiction</w:t>
            </w:r>
          </w:p>
        </w:tc>
        <w:tc>
          <w:tcPr>
            <w:tcW w:type="dxa" w:w="72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The requester's declared jurisdiction equals the consent's jurisdiction (an empty consent jurisdiction is unrestricted)</w:t>
            </w:r>
          </w:p>
        </w:tc>
      </w:tr>
    </w:tbl>
    <w:p>
      <w:pPr>
        <w:spacing w:after="120"/>
      </w:pPr>
    </w:p>
    <w:p>
      <w:pPr>
        <w:keepNext/>
        <w:spacing w:after="60" w:before="120"/>
        <w:jc w:val="center"/>
      </w:pPr>
      <w:r>
        <w:drawing>
          <wp:inline distT="0" distB="0" distL="0" distR="0">
            <wp:extent cx="5143500" cy="4057650"/>
            <wp:effectExtent t="0" r="0" b="0" l="0"/>
            <wp:docPr id="1" name="g_doc_au" descr="Doctor subsystem, requester jurisdiction AU: all five checks PASS, ALLOW = PASS and the consent state is ACTIV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4057650"/>
                    </a:xfrm>
                    <a:prstGeom prst="rect">
                      <a:avLst/>
                    </a:prstGeom>
                  </pic:spPr>
                </pic:pic>
              </a:graphicData>
            </a:graphic>
          </wp:inline>
        </w:drawing>
      </w:r>
    </w:p>
    <w:p>
      <w:pPr>
        <w:spacing w:after="200"/>
        <w:jc w:val="center"/>
      </w:pPr>
      <w:r>
        <w:rPr>
          <w:b/>
          <w:bCs/>
          <w:i/>
          <w:iCs/>
          <w:sz w:val="19"/>
          <w:szCs w:val="19"/>
        </w:rPr>
        <w:t xml:space="preserve">Figure 7. </w:t>
      </w:r>
      <w:r>
        <w:rPr>
          <w:i/>
          <w:iCs/>
          <w:sz w:val="19"/>
          <w:szCs w:val="19"/>
        </w:rPr>
        <w:t xml:space="preserve">Doctor subsystem, requester jurisdiction AU: all five checks PASS, ALLOW = PASS and the consent state is ACTIVE.</w:t>
      </w:r>
    </w:p>
    <w:p>
      <w:pPr>
        <w:spacing w:after="120" w:line="276"/>
        <w:jc w:val="both"/>
      </w:pPr>
      <w:r>
        <w:t xml:space="preserve">The doctor then selects the modules to request. The request must be non-empty and a subset of the authorised scope, and the matrix must return ALLOW. The request also generates and verifies a </w:t>
      </w:r>
      <w:r>
        <w:rPr>
          <w:b/>
          <w:bCs/>
        </w:rPr>
        <w:t xml:space="preserve">Groth16 proof</w:t>
      </w:r>
      <w:r>
        <w:t xml:space="preserve"> for the circuit below, in which </w:t>
      </w:r>
      <w:r>
        <w:rPr>
          <w:rFonts w:ascii="Consolas" w:cs="Consolas" w:eastAsia="Consolas" w:hAnsi="Consolas"/>
          <w:sz w:val="19"/>
          <w:szCs w:val="19"/>
        </w:rPr>
        <w:t xml:space="preserve">commitment</w:t>
      </w:r>
      <w:r>
        <w:t xml:space="preserve"> and </w:t>
      </w:r>
      <w:r>
        <w:rPr>
          <w:rFonts w:ascii="Consolas" w:cs="Consolas" w:eastAsia="Consolas" w:hAnsi="Consolas"/>
          <w:sz w:val="19"/>
          <w:szCs w:val="19"/>
        </w:rPr>
        <w:t xml:space="preserve">now</w:t>
      </w:r>
      <w:r>
        <w:t xml:space="preserve"> are public and the secret s and the expiry e are private witnesses:</w:t>
      </w:r>
    </w:p>
    <w:p>
      <w:pPr>
        <w:spacing w:after="140" w:before="80"/>
        <w:jc w:val="center"/>
      </w:pPr>
      <m:oMath>
        <m:r>
          <m:t>∃ (s, e):  Poseidon(s, e) = commitment  ∧  now ≤ e</m:t>
        </m:r>
      </m:oMath>
    </w:p>
    <w:p>
      <w:pPr>
        <w:spacing w:after="120" w:line="276"/>
        <w:jc w:val="both"/>
      </w:pPr>
      <w:r>
        <w:t xml:space="preserve">In the evaluated run the doctor requested all four modules twice, at 09:51:38 and 09:51:41, and both requests were </w:t>
      </w:r>
      <w:r>
        <w:rPr>
          <w:b/>
          <w:bCs/>
        </w:rPr>
        <w:t xml:space="preserve">GRANTED</w:t>
      </w:r>
      <w:r>
        <w:t xml:space="preserve"> with </w:t>
      </w:r>
      <w:r>
        <w:rPr>
          <w:rFonts w:ascii="Consolas" w:cs="Consolas" w:eastAsia="Consolas" w:hAnsi="Consolas"/>
          <w:sz w:val="19"/>
          <w:szCs w:val="19"/>
        </w:rPr>
        <w:t xml:space="preserve">zk_proof_verified = true</w:t>
      </w:r>
      <w:r>
        <w:t xml:space="preserve"> and </w:t>
      </w:r>
      <w:r>
        <w:rPr>
          <w:rFonts w:ascii="Consolas" w:cs="Consolas" w:eastAsia="Consolas" w:hAnsi="Consolas"/>
          <w:sz w:val="19"/>
          <w:szCs w:val="19"/>
        </w:rPr>
        <w:t xml:space="preserve">proof_mode = groth16</w:t>
      </w:r>
      <w:r>
        <w:t xml:space="preserve">. This confirms that the Groth16 proof was generated and verified, rather than the hash-based fallback used when the circuit artefacts are unavailable (Figure 8). Its contribution should be interpreted carefully: the prover and verifier run on the same server, the commitment is not anchored on-chain, and the expiry is already public in the token. The proof therefore demonstrates that the ZK toolchain is integrated end-to-end, but it does not yet add a privacy or trust guarantee beyond VT (Section 14).</w:t>
      </w:r>
    </w:p>
    <w:p>
      <w:pPr>
        <w:keepNext/>
        <w:spacing w:after="60" w:before="120"/>
        <w:jc w:val="center"/>
      </w:pPr>
      <w:r>
        <w:drawing>
          <wp:inline distT="0" distB="0" distL="0" distR="0">
            <wp:extent cx="4953000" cy="5781675"/>
            <wp:effectExtent t="0" r="0" b="0" l="0"/>
            <wp:docPr id="1" name="M4" descr="Doctor subsystem (jurisdiction AU): all checks PASS, consent ACTIVE, and after Groth16 verification the authorised medical records are displayed per EMR module with CSV expor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5781675"/>
                    </a:xfrm>
                    <a:prstGeom prst="rect">
                      <a:avLst/>
                    </a:prstGeom>
                  </pic:spPr>
                </pic:pic>
              </a:graphicData>
            </a:graphic>
          </wp:inline>
        </w:drawing>
      </w:r>
    </w:p>
    <w:p>
      <w:pPr>
        <w:spacing w:after="200"/>
        <w:jc w:val="center"/>
      </w:pPr>
      <w:r>
        <w:rPr>
          <w:b/>
          <w:bCs/>
          <w:i/>
          <w:iCs/>
          <w:sz w:val="19"/>
          <w:szCs w:val="19"/>
        </w:rPr>
        <w:t xml:space="preserve">Figure 8. </w:t>
      </w:r>
      <w:r>
        <w:rPr>
          <w:i/>
          <w:iCs/>
          <w:sz w:val="19"/>
          <w:szCs w:val="19"/>
        </w:rPr>
        <w:t xml:space="preserve">Doctor subsystem (jurisdiction AU): all checks PASS, consent ACTIVE, and after Groth16 verification the authorised medical records are displayed per EMR module with CSV export.</w:t>
      </w:r>
    </w:p>
    <w:p>
      <w:pPr>
        <w:spacing w:after="160" w:before="60" w:line="276"/>
        <w:jc w:val="both"/>
      </w:pPr>
      <w:r>
        <w:t xml:space="preserve">The doctor subsystem therefore corresponds to </w:t>
      </w:r>
      <w:r>
        <w:rPr>
          <w:b/>
          <w:bCs/>
        </w:rPr>
        <w:t xml:space="preserve">Consent-State Validation, Scope Enforcement and Authorised Data Access</w:t>
      </w:r>
      <w:r>
        <w:t xml:space="preserve">.</w:t>
      </w:r>
    </w:p>
    <w:p>
      <w:pPr>
        <w:pStyle w:val="Heading1"/>
        <w:spacing w:after="140" w:before="320"/>
      </w:pPr>
      <w:r>
        <w:t xml:space="preserve">5. Negative Test: Jurisdiction Violation</w:t>
      </w:r>
    </w:p>
    <w:p>
      <w:pPr>
        <w:spacing w:after="120" w:line="276"/>
        <w:jc w:val="both"/>
      </w:pPr>
      <w:r>
        <w:t xml:space="preserve">A consent framework must be evaluated not only on whether it grants legitimate access but on whether it refuses illegitimate access. The request was therefore repeated with the requester jurisdiction declared as </w:t>
      </w:r>
      <w:r>
        <w:rPr>
          <w:b/>
          <w:bCs/>
        </w:rPr>
        <w:t xml:space="preserve">SA</w:t>
      </w:r>
      <w:r>
        <w:t xml:space="preserve">, whereas the consent was issued for </w:t>
      </w:r>
      <w:r>
        <w:rPr>
          <w:b/>
          <w:bCs/>
        </w:rPr>
        <w:t xml:space="preserve">AU</w:t>
      </w:r>
      <w:r>
        <w:t xml:space="preserve">. The matrix reports VL = FAIL and consequently ALLOW = FAIL (Figure 9), although the consent is still ACTIVE and all other checks pass.</w:t>
      </w:r>
    </w:p>
    <w:p>
      <w:pPr>
        <w:keepNext/>
        <w:spacing w:after="60" w:before="120"/>
        <w:jc w:val="center"/>
      </w:pPr>
      <w:r>
        <w:drawing>
          <wp:inline distT="0" distB="0" distL="0" distR="0">
            <wp:extent cx="5143500" cy="4057650"/>
            <wp:effectExtent t="0" r="0" b="0" l="0"/>
            <wp:docPr id="1" name="g_doc_sa" descr="Requester jurisdiction SA against a consent issued for AU: VL = FAIL and ALLOW = FAIL while the consent state remains ACTIV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4057650"/>
                    </a:xfrm>
                    <a:prstGeom prst="rect">
                      <a:avLst/>
                    </a:prstGeom>
                  </pic:spPr>
                </pic:pic>
              </a:graphicData>
            </a:graphic>
          </wp:inline>
        </w:drawing>
      </w:r>
    </w:p>
    <w:p>
      <w:pPr>
        <w:spacing w:after="200"/>
        <w:jc w:val="center"/>
      </w:pPr>
      <w:r>
        <w:rPr>
          <w:b/>
          <w:bCs/>
          <w:i/>
          <w:iCs/>
          <w:sz w:val="19"/>
          <w:szCs w:val="19"/>
        </w:rPr>
        <w:t xml:space="preserve">Figure 9. </w:t>
      </w:r>
      <w:r>
        <w:rPr>
          <w:i/>
          <w:iCs/>
          <w:sz w:val="19"/>
          <w:szCs w:val="19"/>
        </w:rPr>
        <w:t xml:space="preserve">Requester jurisdiction SA against a consent issued for AU: VL = FAIL and ALLOW = FAIL while the consent state remains ACTIVE.</w:t>
      </w:r>
    </w:p>
    <w:p>
      <w:pPr>
        <w:spacing w:after="120" w:line="276"/>
        <w:jc w:val="both"/>
      </w:pPr>
      <w:r>
        <w:t xml:space="preserve">On submission, access is refused and the failed check is named (Figure 10). The ledger entry at 10:02:51 records </w:t>
      </w:r>
      <w:r>
        <w:rPr>
          <w:b/>
          <w:bCs/>
        </w:rPr>
        <w:t xml:space="preserve">DENIED</w:t>
      </w:r>
      <w:r>
        <w:t xml:space="preserve"> together with the complete decision matrix, so the refusal is itself auditable. In version 1.1 this request would have been granted, because VL was displayed but not included in the decision.</w:t>
      </w:r>
    </w:p>
    <w:p>
      <w:pPr>
        <w:keepNext/>
        <w:spacing w:after="60" w:before="120"/>
        <w:jc w:val="center"/>
      </w:pPr>
      <w:r>
        <w:drawing>
          <wp:inline distT="0" distB="0" distL="0" distR="0">
            <wp:extent cx="5143500" cy="2543175"/>
            <wp:effectExtent t="0" r="0" b="0" l="0"/>
            <wp:docPr id="1" name="g_denied" descr="Access denied: 'Security Exception: Access Denied by ZK-Policy. Failed checks: VL'."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543175"/>
                    </a:xfrm>
                    <a:prstGeom prst="rect">
                      <a:avLst/>
                    </a:prstGeom>
                  </pic:spPr>
                </pic:pic>
              </a:graphicData>
            </a:graphic>
          </wp:inline>
        </w:drawing>
      </w:r>
    </w:p>
    <w:p>
      <w:pPr>
        <w:spacing w:after="200"/>
        <w:jc w:val="center"/>
      </w:pPr>
      <w:r>
        <w:rPr>
          <w:b/>
          <w:bCs/>
          <w:i/>
          <w:iCs/>
          <w:sz w:val="19"/>
          <w:szCs w:val="19"/>
        </w:rPr>
        <w:t xml:space="preserve">Figure 10. </w:t>
      </w:r>
      <w:r>
        <w:rPr>
          <w:i/>
          <w:iCs/>
          <w:sz w:val="19"/>
          <w:szCs w:val="19"/>
        </w:rPr>
        <w:t xml:space="preserve">Access denied: 'Security Exception: Access Denied by ZK-Policy. Failed checks: VL'.</w:t>
      </w:r>
    </w:p>
    <w:p>
      <w:pPr>
        <w:spacing w:after="160" w:before="60" w:line="276"/>
        <w:jc w:val="both"/>
      </w:pPr>
      <w:r>
        <w:t xml:space="preserve">This test therefore corresponds to </w:t>
      </w:r>
      <w:r>
        <w:rPr>
          <w:b/>
          <w:bCs/>
        </w:rPr>
        <w:t xml:space="preserve">Jurisdictional Constraint (L) and Fail-Closed Access Control</w:t>
      </w:r>
      <w:r>
        <w:t xml:space="preserve">; because the jurisdiction is self-declared, it evidences the policy logic rather than protection against a dishonest requester.</w:t>
      </w:r>
    </w:p>
    <w:p>
      <w:pPr>
        <w:pStyle w:val="Heading1"/>
        <w:spacing w:after="140" w:before="320"/>
      </w:pPr>
      <w:r>
        <w:t xml:space="preserve">6. Consent Revocation</w:t>
      </w:r>
    </w:p>
    <w:p>
      <w:pPr>
        <w:spacing w:after="120" w:line="276"/>
        <w:jc w:val="both"/>
      </w:pPr>
      <w:r>
        <w:t xml:space="preserve">The enforcement component E requires that a patient can withdraw consent. In the patient's </w:t>
      </w:r>
      <w:r>
        <w:rPr>
          <w:b/>
          <w:bCs/>
        </w:rPr>
        <w:t xml:space="preserve">My Consents</w:t>
      </w:r>
      <w:r>
        <w:t xml:space="preserve"> view each consent is listed with its state, signature count and token. Pressing </w:t>
      </w:r>
      <w:r>
        <w:rPr>
          <w:b/>
          <w:bCs/>
        </w:rPr>
        <w:t xml:space="preserve">Revoke</w:t>
      </w:r>
      <w:r>
        <w:t xml:space="preserve"> on consent f050c29a first updates the application state and then submits </w:t>
      </w:r>
      <w:r>
        <w:rPr>
          <w:rFonts w:ascii="Consolas" w:cs="Consolas" w:eastAsia="Consolas" w:hAnsi="Consolas"/>
          <w:sz w:val="19"/>
          <w:szCs w:val="19"/>
        </w:rPr>
        <w:t xml:space="preserve">revoke(1)</w:t>
      </w:r>
      <w:r>
        <w:t xml:space="preserve"> (selector </w:t>
      </w:r>
      <w:r>
        <w:rPr>
          <w:rFonts w:ascii="Consolas" w:cs="Consolas" w:eastAsia="Consolas" w:hAnsi="Consolas"/>
          <w:sz w:val="19"/>
          <w:szCs w:val="19"/>
        </w:rPr>
        <w:t xml:space="preserve">0x20c5429b</w:t>
      </w:r>
      <w:r>
        <w:t xml:space="preserve">) from the owner account (Figure 11); the patient's own address has no key, so revocation is relayed by the issuer.</w:t>
      </w:r>
    </w:p>
    <w:p>
      <w:pPr>
        <w:keepNext/>
        <w:spacing w:after="60" w:before="120"/>
        <w:jc w:val="center"/>
      </w:pPr>
      <w:r>
        <w:drawing>
          <wp:inline distT="0" distB="0" distL="0" distR="0">
            <wp:extent cx="5143500" cy="3714750"/>
            <wp:effectExtent t="0" r="0" b="0" l="0"/>
            <wp:docPr id="1" name="g_revoking" descr="The patient revokes consent f050c29a (token #1); the application waits for the Sepolia block confirmation. The other rows are earlier trial consent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714750"/>
                    </a:xfrm>
                    <a:prstGeom prst="rect">
                      <a:avLst/>
                    </a:prstGeom>
                  </pic:spPr>
                </pic:pic>
              </a:graphicData>
            </a:graphic>
          </wp:inline>
        </w:drawing>
      </w:r>
    </w:p>
    <w:p>
      <w:pPr>
        <w:spacing w:after="200"/>
        <w:jc w:val="center"/>
      </w:pPr>
      <w:r>
        <w:rPr>
          <w:b/>
          <w:bCs/>
          <w:i/>
          <w:iCs/>
          <w:sz w:val="19"/>
          <w:szCs w:val="19"/>
        </w:rPr>
        <w:t xml:space="preserve">Figure 11. </w:t>
      </w:r>
      <w:r>
        <w:rPr>
          <w:i/>
          <w:iCs/>
          <w:sz w:val="19"/>
          <w:szCs w:val="19"/>
        </w:rPr>
        <w:t xml:space="preserve">The patient revokes consent f050c29a (token #1); the application waits for the Sepolia block confirmation. The other rows are earlier trial consents.</w:t>
      </w:r>
    </w:p>
    <w:p>
      <w:pPr>
        <w:spacing w:after="120" w:line="276"/>
        <w:jc w:val="both"/>
      </w:pPr>
      <w:r>
        <w:t xml:space="preserve">The revocation was confirmed in block </w:t>
      </w:r>
      <w:r>
        <w:rPr>
          <w:b/>
          <w:bCs/>
        </w:rPr>
        <w:t xml:space="preserve">11,771,307</w:t>
      </w:r>
      <w:r>
        <w:t xml:space="preserve"> at 10:04:00 and the consent is shown as REVOKED (Figure 12). From then on, the doctor subsystem reports the consent as not active because VA fails (Figure 13), and the on-chain revocation flag of token #1 was later read back as true by the independent verification (Section 9). Two properties should be noted: the application's own decision uses its local state, which is written first, and revocation cannot recall data already released to the requester.</w:t>
      </w:r>
    </w:p>
    <w:p>
      <w:pPr>
        <w:keepNext/>
        <w:spacing w:after="60" w:before="120"/>
        <w:jc w:val="center"/>
      </w:pPr>
      <w:r>
        <w:drawing>
          <wp:inline distT="0" distB="0" distL="0" distR="0">
            <wp:extent cx="5143500" cy="3409950"/>
            <wp:effectExtent t="0" r="0" b="0" l="0"/>
            <wp:docPr id="1" name="g_revoked" descr="After confirmation, consent f050c29a is REVOKED with token SBT-1 (token #1)."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409950"/>
                    </a:xfrm>
                    <a:prstGeom prst="rect">
                      <a:avLst/>
                    </a:prstGeom>
                  </pic:spPr>
                </pic:pic>
              </a:graphicData>
            </a:graphic>
          </wp:inline>
        </w:drawing>
      </w:r>
    </w:p>
    <w:p>
      <w:pPr>
        <w:spacing w:after="200"/>
        <w:jc w:val="center"/>
      </w:pPr>
      <w:r>
        <w:rPr>
          <w:b/>
          <w:bCs/>
          <w:i/>
          <w:iCs/>
          <w:sz w:val="19"/>
          <w:szCs w:val="19"/>
        </w:rPr>
        <w:t xml:space="preserve">Figure 12. </w:t>
      </w:r>
      <w:r>
        <w:rPr>
          <w:i/>
          <w:iCs/>
          <w:sz w:val="19"/>
          <w:szCs w:val="19"/>
        </w:rPr>
        <w:t xml:space="preserve">After confirmation, consent f050c29a is REVOKED with token SBT-1 (token #1).</w:t>
      </w:r>
    </w:p>
    <w:p>
      <w:pPr>
        <w:keepNext/>
        <w:spacing w:after="60" w:before="120"/>
        <w:jc w:val="center"/>
      </w:pPr>
      <w:r>
        <w:drawing>
          <wp:inline distT="0" distB="0" distL="0" distR="0">
            <wp:extent cx="5143500" cy="2847975"/>
            <wp:effectExtent t="0" r="0" b="0" l="0"/>
            <wp:docPr id="1" name="M5" descr="Doctor subsystem after revocation (negative test N2): VA = FAIL, ALLOW = FAIL and 'Consent is not active. Current state: REVOKED'."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847975"/>
                    </a:xfrm>
                    <a:prstGeom prst="rect">
                      <a:avLst/>
                    </a:prstGeom>
                  </pic:spPr>
                </pic:pic>
              </a:graphicData>
            </a:graphic>
          </wp:inline>
        </w:drawing>
      </w:r>
    </w:p>
    <w:p>
      <w:pPr>
        <w:spacing w:after="200"/>
        <w:jc w:val="center"/>
      </w:pPr>
      <w:r>
        <w:rPr>
          <w:b/>
          <w:bCs/>
          <w:i/>
          <w:iCs/>
          <w:sz w:val="19"/>
          <w:szCs w:val="19"/>
        </w:rPr>
        <w:t xml:space="preserve">Figure 13. </w:t>
      </w:r>
      <w:r>
        <w:rPr>
          <w:i/>
          <w:iCs/>
          <w:sz w:val="19"/>
          <w:szCs w:val="19"/>
        </w:rPr>
        <w:t xml:space="preserve">Doctor subsystem after revocation (negative test N2): VA = FAIL, ALLOW = FAIL and 'Consent is not active. Current state: REVOKED'.</w:t>
      </w:r>
    </w:p>
    <w:p>
      <w:pPr>
        <w:spacing w:after="120" w:line="276"/>
        <w:jc w:val="left"/>
      </w:pPr>
      <w:r>
        <w:t xml:space="preserve">The revocation transaction is available at </w:t>
      </w:r>
      <w:hyperlink w:history="1" r:id="rIdwixhlenshuf3nfb6rsqli">
        <w:r>
          <w:rPr>
            <w:rStyle w:val="Hyperlink"/>
          </w:rPr>
          <w:t xml:space="preserve">Etherscan: revoke transaction</w:t>
        </w:r>
      </w:hyperlink>
      <w:r>
        <w:t xml:space="preserve">.</w:t>
      </w:r>
    </w:p>
    <w:p>
      <w:pPr>
        <w:keepNext/>
        <w:spacing w:after="60" w:before="120"/>
        <w:jc w:val="center"/>
      </w:pPr>
      <w:r>
        <w:drawing>
          <wp:inline distT="0" distB="0" distL="0" distR="0">
            <wp:extent cx="5334000" cy="3505200"/>
            <wp:effectExtent t="0" r="0" b="0" l="0"/>
            <wp:docPr id="1" name="M6" descr="Sepolia Etherscan: the revoke transaction for token #1 - status Success, block 11,771,307, decoded input 'Function: revoke(uint256 tokenId)' with tokenId = 1 (selector 0x20c5429b)."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505200"/>
                    </a:xfrm>
                    <a:prstGeom prst="rect">
                      <a:avLst/>
                    </a:prstGeom>
                  </pic:spPr>
                </pic:pic>
              </a:graphicData>
            </a:graphic>
          </wp:inline>
        </w:drawing>
      </w:r>
    </w:p>
    <w:p>
      <w:pPr>
        <w:spacing w:after="200"/>
        <w:jc w:val="center"/>
      </w:pPr>
      <w:r>
        <w:rPr>
          <w:b/>
          <w:bCs/>
          <w:i/>
          <w:iCs/>
          <w:sz w:val="19"/>
          <w:szCs w:val="19"/>
        </w:rPr>
        <w:t xml:space="preserve">Figure 14. </w:t>
      </w:r>
      <w:r>
        <w:rPr>
          <w:i/>
          <w:iCs/>
          <w:sz w:val="19"/>
          <w:szCs w:val="19"/>
        </w:rPr>
        <w:t xml:space="preserve">Sepolia Etherscan: the revoke transaction for token #1 - status Success, block 11,771,307, decoded input 'Function: revoke(uint256 tokenId)' with tokenId = 1 (selector 0x20c5429b).</w:t>
      </w:r>
    </w:p>
    <w:p>
      <w:pPr>
        <w:spacing w:after="160" w:before="60" w:line="276"/>
        <w:jc w:val="both"/>
      </w:pPr>
      <w:r>
        <w:t xml:space="preserve">The revocation subsystem therefore corresponds to </w:t>
      </w:r>
      <w:r>
        <w:rPr>
          <w:b/>
          <w:bCs/>
        </w:rPr>
        <w:t xml:space="preserve">Enforcement State Management (E) and Consent Withdrawal</w:t>
      </w:r>
      <w:r>
        <w:t xml:space="preserve">.</w:t>
      </w:r>
    </w:p>
    <w:p>
      <w:pPr>
        <w:pStyle w:val="Heading1"/>
        <w:spacing w:after="140" w:before="320"/>
      </w:pPr>
      <w:r>
        <w:t xml:space="preserve">7. Blockchain Audit &amp; Consent Lifecycle for Auditor (SRQ6)</w:t>
      </w:r>
    </w:p>
    <w:p>
      <w:pPr>
        <w:spacing w:after="120" w:line="276"/>
        <w:jc w:val="both"/>
      </w:pPr>
      <w:r>
        <w:t xml:space="preserve">The auditor subsystem provides an independent view of the consent process. It shows aggregate indicators (total events, consent events, access requests and on-chain anchors) and, for a selected consent, reconstructs the chronological lifecycle (Figure 15).</w:t>
      </w:r>
    </w:p>
    <w:p>
      <w:pPr>
        <w:keepNext/>
        <w:spacing w:after="60" w:before="120"/>
        <w:jc w:val="center"/>
      </w:pPr>
      <w:r>
        <w:drawing>
          <wp:inline distT="0" distB="0" distL="0" distR="0">
            <wp:extent cx="5143500" cy="3009900"/>
            <wp:effectExtent t="0" r="0" b="0" l="0"/>
            <wp:docPr id="1" name="M7" descr="Auditor subsystem with consent f050c29a selected: aggregate indicators (60 events, 5 on-chain anchors) and the Detailed Audit Records, in which ONCHAIN_MINT and ONCHAIN_REVOKE carry their transaction hashes and block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009900"/>
                    </a:xfrm>
                    <a:prstGeom prst="rect">
                      <a:avLst/>
                    </a:prstGeom>
                  </pic:spPr>
                </pic:pic>
              </a:graphicData>
            </a:graphic>
          </wp:inline>
        </w:drawing>
      </w:r>
    </w:p>
    <w:p>
      <w:pPr>
        <w:spacing w:after="200"/>
        <w:jc w:val="center"/>
      </w:pPr>
      <w:r>
        <w:rPr>
          <w:b/>
          <w:bCs/>
          <w:i/>
          <w:iCs/>
          <w:sz w:val="19"/>
          <w:szCs w:val="19"/>
        </w:rPr>
        <w:t xml:space="preserve">Figure 15. </w:t>
      </w:r>
      <w:r>
        <w:rPr>
          <w:i/>
          <w:iCs/>
          <w:sz w:val="19"/>
          <w:szCs w:val="19"/>
        </w:rPr>
        <w:t xml:space="preserve">Auditor subsystem with consent f050c29a selected: aggregate indicators (60 events, 5 on-chain anchors) and the Detailed Audit Records, in which ONCHAIN_MINT and ONCHAIN_REVOKE carry their transaction hashes and blocks.</w:t>
      </w:r>
    </w:p>
    <w:p>
      <w:pPr>
        <w:spacing w:after="120" w:line="276"/>
        <w:jc w:val="both"/>
      </w:pPr>
      <w:r>
        <w:t xml:space="preserve">Table 4 lists every ledger event for consent f050c29a exactly as exported from the running system. Events backed by a blockchain transaction carry the transaction hash and block; the other events carry a SHA-256 event digest in the ledger. The MINT_SBT row records the provisional identifier assigned at the 2/2 threshold, superseded by token #1 when the ONCHAIN_MINT receipt is decoded five seconds later.</w:t>
      </w:r>
    </w:p>
    <w:p>
      <w:pPr>
        <w:keepNext/>
        <w:spacing w:after="80" w:before="160"/>
      </w:pPr>
      <w:r>
        <w:rPr>
          <w:b/>
          <w:bCs/>
          <w:sz w:val="19"/>
          <w:szCs w:val="19"/>
        </w:rPr>
        <w:t xml:space="preserve">Table 4. </w:t>
      </w:r>
      <w:r>
        <w:rPr>
          <w:i/>
          <w:iCs/>
          <w:sz w:val="19"/>
          <w:szCs w:val="19"/>
        </w:rPr>
        <w:t xml:space="preserve">Audit ledger of consent f050c29a, 24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640"/>
        <w:gridCol w:w="1180"/>
        <w:gridCol w:w="1850"/>
        <w:gridCol w:w="950"/>
        <w:gridCol w:w="2920"/>
      </w:tblGrid>
      <w:tr>
        <w:trPr>
          <w:tblHeader/>
        </w:trPr>
        <w:tc>
          <w:tcPr>
            <w:tcW w:type="dxa" w:w="82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5"/>
                <w:szCs w:val="15"/>
              </w:rPr>
              <w:t xml:space="preserve">Time</w:t>
            </w:r>
          </w:p>
        </w:tc>
        <w:tc>
          <w:tcPr>
            <w:tcW w:type="dxa" w:w="164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5"/>
                <w:szCs w:val="15"/>
              </w:rPr>
              <w:t xml:space="preserve">Action</w:t>
            </w:r>
          </w:p>
        </w:tc>
        <w:tc>
          <w:tcPr>
            <w:tcW w:type="dxa" w:w="118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5"/>
                <w:szCs w:val="15"/>
              </w:rPr>
              <w:t xml:space="preserve">Role</w:t>
            </w:r>
          </w:p>
        </w:tc>
        <w:tc>
          <w:tcPr>
            <w:tcW w:type="dxa" w:w="185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5"/>
                <w:szCs w:val="15"/>
              </w:rPr>
              <w:t xml:space="preserve">Actor</w:t>
            </w:r>
          </w:p>
        </w:tc>
        <w:tc>
          <w:tcPr>
            <w:tcW w:type="dxa" w:w="95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5"/>
                <w:szCs w:val="15"/>
              </w:rPr>
              <w:t xml:space="preserve">Result</w:t>
            </w:r>
          </w:p>
        </w:tc>
        <w:tc>
          <w:tcPr>
            <w:tcW w:type="dxa" w:w="292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5"/>
                <w:szCs w:val="15"/>
              </w:rPr>
              <w:t xml:space="preserve">Evidence</w:t>
            </w:r>
          </w:p>
        </w:tc>
      </w:tr>
      <w:tr>
        <w:tc>
          <w:tcPr>
            <w:tcW w:type="dxa" w:w="8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09:50:49</w:t>
            </w:r>
          </w:p>
        </w:tc>
        <w:tc>
          <w:tcPr>
            <w:tcW w:type="dxa" w:w="1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CREATE_CONSENT</w:t>
            </w:r>
          </w:p>
        </w:tc>
        <w:tc>
          <w:tcPr>
            <w:tcW w:type="dxa" w:w="118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Patient</w:t>
            </w:r>
          </w:p>
        </w:tc>
        <w:tc>
          <w:tcPr>
            <w:tcW w:type="dxa" w:w="18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did:patient:fe62…0d82</w:t>
            </w:r>
          </w:p>
        </w:tc>
        <w:tc>
          <w:tcPr>
            <w:tcW w:type="dxa" w:w="9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SUCCESS</w:t>
            </w:r>
          </w:p>
        </w:tc>
        <w:tc>
          <w:tcPr>
            <w:tcW w:type="dxa" w:w="29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w:t>
            </w:r>
          </w:p>
        </w:tc>
      </w:tr>
      <w:tr>
        <w:tc>
          <w:tcPr>
            <w:tcW w:type="dxa" w:w="8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09:51:05</w:t>
            </w:r>
          </w:p>
        </w:tc>
        <w:tc>
          <w:tcPr>
            <w:tcW w:type="dxa" w:w="1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SIGN_CONSENT</w:t>
            </w:r>
          </w:p>
        </w:tc>
        <w:tc>
          <w:tcPr>
            <w:tcW w:type="dxa" w:w="118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Guardian</w:t>
            </w:r>
          </w:p>
        </w:tc>
        <w:tc>
          <w:tcPr>
            <w:tcW w:type="dxa" w:w="18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did:parent:A</w:t>
            </w:r>
          </w:p>
        </w:tc>
        <w:tc>
          <w:tcPr>
            <w:tcW w:type="dxa" w:w="9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SUCCESS</w:t>
            </w:r>
          </w:p>
        </w:tc>
        <w:tc>
          <w:tcPr>
            <w:tcW w:type="dxa" w:w="29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EIP-712 signer 0x3Af549…c570 · 1/2</w:t>
            </w:r>
          </w:p>
        </w:tc>
      </w:tr>
      <w:tr>
        <w:tc>
          <w:tcPr>
            <w:tcW w:type="dxa" w:w="8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09:51:07</w:t>
            </w:r>
          </w:p>
        </w:tc>
        <w:tc>
          <w:tcPr>
            <w:tcW w:type="dxa" w:w="1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SIGN_CONSENT</w:t>
            </w:r>
          </w:p>
        </w:tc>
        <w:tc>
          <w:tcPr>
            <w:tcW w:type="dxa" w:w="118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Guardian</w:t>
            </w:r>
          </w:p>
        </w:tc>
        <w:tc>
          <w:tcPr>
            <w:tcW w:type="dxa" w:w="18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did:parent:B</w:t>
            </w:r>
          </w:p>
        </w:tc>
        <w:tc>
          <w:tcPr>
            <w:tcW w:type="dxa" w:w="9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SUCCESS</w:t>
            </w:r>
          </w:p>
        </w:tc>
        <w:tc>
          <w:tcPr>
            <w:tcW w:type="dxa" w:w="29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EIP-712 signer 0x39B12b…C90d · 2/2</w:t>
            </w:r>
          </w:p>
        </w:tc>
      </w:tr>
      <w:tr>
        <w:tc>
          <w:tcPr>
            <w:tcW w:type="dxa" w:w="8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09:51:07</w:t>
            </w:r>
          </w:p>
        </w:tc>
        <w:tc>
          <w:tcPr>
            <w:tcW w:type="dxa" w:w="1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MINT_SBT</w:t>
            </w:r>
          </w:p>
        </w:tc>
        <w:tc>
          <w:tcPr>
            <w:tcW w:type="dxa" w:w="118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SmartContract</w:t>
            </w:r>
          </w:p>
        </w:tc>
        <w:tc>
          <w:tcPr>
            <w:tcW w:type="dxa" w:w="18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Blockchain</w:t>
            </w:r>
          </w:p>
        </w:tc>
        <w:tc>
          <w:tcPr>
            <w:tcW w:type="dxa" w:w="9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SUCCESS</w:t>
            </w:r>
          </w:p>
        </w:tc>
        <w:tc>
          <w:tcPr>
            <w:tcW w:type="dxa" w:w="29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local id SBT-LOCAL-f050c29a</w:t>
            </w:r>
          </w:p>
        </w:tc>
      </w:tr>
      <w:tr>
        <w:tc>
          <w:tcPr>
            <w:tcW w:type="dxa" w:w="8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09:51:12</w:t>
            </w:r>
          </w:p>
        </w:tc>
        <w:tc>
          <w:tcPr>
            <w:tcW w:type="dxa" w:w="1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ONCHAIN_MINT</w:t>
            </w:r>
          </w:p>
        </w:tc>
        <w:tc>
          <w:tcPr>
            <w:tcW w:type="dxa" w:w="118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SmartContract</w:t>
            </w:r>
          </w:p>
        </w:tc>
        <w:tc>
          <w:tcPr>
            <w:tcW w:type="dxa" w:w="18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Blockchain</w:t>
            </w:r>
          </w:p>
        </w:tc>
        <w:tc>
          <w:tcPr>
            <w:tcW w:type="dxa" w:w="9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SUCCESS</w:t>
            </w:r>
          </w:p>
        </w:tc>
        <w:tc>
          <w:tcPr>
            <w:tcW w:type="dxa" w:w="29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tx 0x8be1b99e…daf13d · block 11771243</w:t>
            </w:r>
          </w:p>
        </w:tc>
      </w:tr>
      <w:tr>
        <w:tc>
          <w:tcPr>
            <w:tcW w:type="dxa" w:w="8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09:51:36</w:t>
            </w:r>
          </w:p>
        </w:tc>
        <w:tc>
          <w:tcPr>
            <w:tcW w:type="dxa" w:w="1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STATE_CHECK</w:t>
            </w:r>
          </w:p>
        </w:tc>
        <w:tc>
          <w:tcPr>
            <w:tcW w:type="dxa" w:w="118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ConsentEngine</w:t>
            </w:r>
          </w:p>
        </w:tc>
        <w:tc>
          <w:tcPr>
            <w:tcW w:type="dxa" w:w="18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System</w:t>
            </w:r>
          </w:p>
        </w:tc>
        <w:tc>
          <w:tcPr>
            <w:tcW w:type="dxa" w:w="9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ACTIVE</w:t>
            </w:r>
          </w:p>
        </w:tc>
        <w:tc>
          <w:tcPr>
            <w:tcW w:type="dxa" w:w="29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VI=T VA=T VP=T VT=T VL=T ALLOW=T</w:t>
            </w:r>
          </w:p>
        </w:tc>
      </w:tr>
      <w:tr>
        <w:tc>
          <w:tcPr>
            <w:tcW w:type="dxa" w:w="8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09:51:38</w:t>
            </w:r>
          </w:p>
        </w:tc>
        <w:tc>
          <w:tcPr>
            <w:tcW w:type="dxa" w:w="1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DATA_ACCESS</w:t>
            </w:r>
          </w:p>
        </w:tc>
        <w:tc>
          <w:tcPr>
            <w:tcW w:type="dxa" w:w="118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Doctor</w:t>
            </w:r>
          </w:p>
        </w:tc>
        <w:tc>
          <w:tcPr>
            <w:tcW w:type="dxa" w:w="18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did:hospital:001</w:t>
            </w:r>
          </w:p>
        </w:tc>
        <w:tc>
          <w:tcPr>
            <w:tcW w:type="dxa" w:w="9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GRANTED</w:t>
            </w:r>
          </w:p>
        </w:tc>
        <w:tc>
          <w:tcPr>
            <w:tcW w:type="dxa" w:w="29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proof=groth16, zk=True</w:t>
            </w:r>
          </w:p>
        </w:tc>
      </w:tr>
      <w:tr>
        <w:tc>
          <w:tcPr>
            <w:tcW w:type="dxa" w:w="8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09:51:39</w:t>
            </w:r>
          </w:p>
        </w:tc>
        <w:tc>
          <w:tcPr>
            <w:tcW w:type="dxa" w:w="1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STATE_CHECK</w:t>
            </w:r>
          </w:p>
        </w:tc>
        <w:tc>
          <w:tcPr>
            <w:tcW w:type="dxa" w:w="118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ConsentEngine</w:t>
            </w:r>
          </w:p>
        </w:tc>
        <w:tc>
          <w:tcPr>
            <w:tcW w:type="dxa" w:w="18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System</w:t>
            </w:r>
          </w:p>
        </w:tc>
        <w:tc>
          <w:tcPr>
            <w:tcW w:type="dxa" w:w="9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ACTIVE</w:t>
            </w:r>
          </w:p>
        </w:tc>
        <w:tc>
          <w:tcPr>
            <w:tcW w:type="dxa" w:w="29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VI=T VA=T VP=T VT=T VL=T ALLOW=T</w:t>
            </w:r>
          </w:p>
        </w:tc>
      </w:tr>
      <w:tr>
        <w:tc>
          <w:tcPr>
            <w:tcW w:type="dxa" w:w="8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09:51:41</w:t>
            </w:r>
          </w:p>
        </w:tc>
        <w:tc>
          <w:tcPr>
            <w:tcW w:type="dxa" w:w="1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DATA_ACCESS</w:t>
            </w:r>
          </w:p>
        </w:tc>
        <w:tc>
          <w:tcPr>
            <w:tcW w:type="dxa" w:w="118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Doctor</w:t>
            </w:r>
          </w:p>
        </w:tc>
        <w:tc>
          <w:tcPr>
            <w:tcW w:type="dxa" w:w="18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did:hospital:001</w:t>
            </w:r>
          </w:p>
        </w:tc>
        <w:tc>
          <w:tcPr>
            <w:tcW w:type="dxa" w:w="9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GRANTED</w:t>
            </w:r>
          </w:p>
        </w:tc>
        <w:tc>
          <w:tcPr>
            <w:tcW w:type="dxa" w:w="29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proof=groth16, zk=True</w:t>
            </w:r>
          </w:p>
        </w:tc>
      </w:tr>
      <w:tr>
        <w:tc>
          <w:tcPr>
            <w:tcW w:type="dxa" w:w="8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10:02:50</w:t>
            </w:r>
          </w:p>
        </w:tc>
        <w:tc>
          <w:tcPr>
            <w:tcW w:type="dxa" w:w="1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STATE_CHECK</w:t>
            </w:r>
          </w:p>
        </w:tc>
        <w:tc>
          <w:tcPr>
            <w:tcW w:type="dxa" w:w="118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ConsentEngine</w:t>
            </w:r>
          </w:p>
        </w:tc>
        <w:tc>
          <w:tcPr>
            <w:tcW w:type="dxa" w:w="18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System</w:t>
            </w:r>
          </w:p>
        </w:tc>
        <w:tc>
          <w:tcPr>
            <w:tcW w:type="dxa" w:w="9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ACTIVE</w:t>
            </w:r>
          </w:p>
        </w:tc>
        <w:tc>
          <w:tcPr>
            <w:tcW w:type="dxa" w:w="29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VI=T VA=T VP=T VT=T VL=F ALLOW=F</w:t>
            </w:r>
          </w:p>
        </w:tc>
      </w:tr>
      <w:tr>
        <w:tc>
          <w:tcPr>
            <w:tcW w:type="dxa" w:w="8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10:02:51</w:t>
            </w:r>
          </w:p>
        </w:tc>
        <w:tc>
          <w:tcPr>
            <w:tcW w:type="dxa" w:w="1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DATA_ACCESS</w:t>
            </w:r>
          </w:p>
        </w:tc>
        <w:tc>
          <w:tcPr>
            <w:tcW w:type="dxa" w:w="118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Doctor</w:t>
            </w:r>
          </w:p>
        </w:tc>
        <w:tc>
          <w:tcPr>
            <w:tcW w:type="dxa" w:w="18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did:hospital:001</w:t>
            </w:r>
          </w:p>
        </w:tc>
        <w:tc>
          <w:tcPr>
            <w:tcW w:type="dxa" w:w="9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DENIED</w:t>
            </w:r>
          </w:p>
        </w:tc>
        <w:tc>
          <w:tcPr>
            <w:tcW w:type="dxa" w:w="29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zk=True, VL=F</w:t>
            </w:r>
          </w:p>
        </w:tc>
      </w:tr>
      <w:tr>
        <w:tc>
          <w:tcPr>
            <w:tcW w:type="dxa" w:w="8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10:03:50</w:t>
            </w:r>
          </w:p>
        </w:tc>
        <w:tc>
          <w:tcPr>
            <w:tcW w:type="dxa" w:w="1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REVOKE_CONSENT</w:t>
            </w:r>
          </w:p>
        </w:tc>
        <w:tc>
          <w:tcPr>
            <w:tcW w:type="dxa" w:w="118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Patient</w:t>
            </w:r>
          </w:p>
        </w:tc>
        <w:tc>
          <w:tcPr>
            <w:tcW w:type="dxa" w:w="18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did:patient:fe62…0d82</w:t>
            </w:r>
          </w:p>
        </w:tc>
        <w:tc>
          <w:tcPr>
            <w:tcW w:type="dxa" w:w="9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SUCCESS</w:t>
            </w:r>
          </w:p>
        </w:tc>
        <w:tc>
          <w:tcPr>
            <w:tcW w:type="dxa" w:w="29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w:t>
            </w:r>
          </w:p>
        </w:tc>
      </w:tr>
      <w:tr>
        <w:tc>
          <w:tcPr>
            <w:tcW w:type="dxa" w:w="8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10:04:00</w:t>
            </w:r>
          </w:p>
        </w:tc>
        <w:tc>
          <w:tcPr>
            <w:tcW w:type="dxa" w:w="1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ONCHAIN_REVOKE</w:t>
            </w:r>
          </w:p>
        </w:tc>
        <w:tc>
          <w:tcPr>
            <w:tcW w:type="dxa" w:w="118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SmartContract</w:t>
            </w:r>
          </w:p>
        </w:tc>
        <w:tc>
          <w:tcPr>
            <w:tcW w:type="dxa" w:w="18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Blockchain</w:t>
            </w:r>
          </w:p>
        </w:tc>
        <w:tc>
          <w:tcPr>
            <w:tcW w:type="dxa" w:w="95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SUCCESS</w:t>
            </w:r>
          </w:p>
        </w:tc>
        <w:tc>
          <w:tcPr>
            <w:tcW w:type="dxa" w:w="29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5"/>
                <w:szCs w:val="15"/>
              </w:rPr>
              <w:t xml:space="preserve">tx 0x017efb9d…ddceaa · block 11771307</w:t>
            </w:r>
          </w:p>
        </w:tc>
      </w:tr>
    </w:tbl>
    <w:p>
      <w:pPr>
        <w:spacing w:after="120"/>
      </w:pPr>
    </w:p>
    <w:p>
      <w:pPr>
        <w:spacing w:after="120" w:line="276"/>
        <w:jc w:val="both"/>
      </w:pPr>
      <w:r>
        <w:t xml:space="preserve">The ledger yields an explicit chain of evidence:</w:t>
      </w:r>
    </w:p>
    <w:p>
      <w:pPr>
        <w:spacing w:after="140" w:before="80"/>
        <w:jc w:val="center"/>
      </w:pPr>
      <m:oMath>
        <m:r>
          <m:t>Patient → Guardian_A → Guardian_B → SmartContract(mint) → ConsentEngine</m:t>
        </m:r>
      </m:oMath>
    </w:p>
    <w:p>
      <w:pPr>
        <w:spacing w:after="140" w:before="80"/>
        <w:jc w:val="center"/>
      </w:pPr>
      <m:oMath>
        <m:r>
          <m:t>→ Doctor(GRANTED) → Doctor(DENIED, VL) → Patient(revoke) → SmartContract(revoke)</m:t>
        </m:r>
      </m:oMath>
    </w:p>
    <w:p>
      <w:pPr>
        <w:spacing w:after="120" w:line="276"/>
        <w:jc w:val="both"/>
      </w:pPr>
      <w:r>
        <w:t xml:space="preserve">An auditor can therefore relate each access decision to the approvals, the on-chain activation and the decision matrix in force at that moment, and so establish why access was permitted or refused. Because the requester is not authenticated in this prototype, the identity recorded for an access event is the consent's requester DID rather than a proven identity.</w:t>
      </w:r>
    </w:p>
    <w:p>
      <w:pPr>
        <w:spacing w:after="160" w:before="60" w:line="276"/>
        <w:jc w:val="both"/>
      </w:pPr>
      <w:r>
        <w:t xml:space="preserve">The auditor subsystem therefore corresponds to </w:t>
      </w:r>
      <w:r>
        <w:rPr>
          <w:b/>
          <w:bCs/>
        </w:rPr>
        <w:t xml:space="preserve">Lifecycle Traceability and Accountability</w:t>
      </w:r>
      <w:r>
        <w:t xml:space="preserve">.</w:t>
      </w:r>
    </w:p>
    <w:p>
      <w:pPr>
        <w:pStyle w:val="Heading1"/>
        <w:spacing w:after="140" w:before="320"/>
      </w:pPr>
      <w:r>
        <w:t xml:space="preserve">8. Detailed Audit Records and Complete Ledger</w:t>
      </w:r>
    </w:p>
    <w:p>
      <w:pPr>
        <w:spacing w:after="120" w:line="276"/>
        <w:jc w:val="both"/>
      </w:pPr>
      <w:r>
        <w:t xml:space="preserve">The detailed audit view exposes the event-level attributes (actor, role, action, result, timestamp, consent, transaction hash, block number and metadata), while the lifecycle view communicates the sequence. This reflects different stakeholder needs: a clinician needs to know whether a consent is valid, whereas an auditor must establish when an approval occurred, which identity performed it and which decision followed.</w:t>
      </w:r>
    </w:p>
    <w:p>
      <w:pPr>
        <w:spacing w:after="120" w:line="276"/>
        <w:jc w:val="both"/>
      </w:pPr>
      <w:r>
        <w:t xml:space="preserve">The complete ledger at the end of the run contained 49 events across seven consents created on 22 and 24 September, including four on-chain transactions: the mint and revocation of token #1 on the current contract, and the mint and revocation of token #8 during a 22 September trial on the previous (v2) contract. It records creations, approvals, state checks, refusals and revocations, not only successful access. Off-chain events are protected by per-event digests, which detect accidental corruption but not deliberate modification by the operator; only the on-chain events are independently tamper-evident.</w:t>
      </w:r>
    </w:p>
    <w:p>
      <w:pPr>
        <w:spacing w:after="160" w:before="60" w:line="276"/>
        <w:jc w:val="both"/>
      </w:pPr>
      <w:r>
        <w:t xml:space="preserve">This component therefore corresponds to </w:t>
      </w:r>
      <w:r>
        <w:rPr>
          <w:b/>
          <w:bCs/>
        </w:rPr>
        <w:t xml:space="preserve">Forensic Audit Information and Evidence Retention</w:t>
      </w:r>
      <w:r>
        <w:t xml:space="preserve">.</w:t>
      </w:r>
    </w:p>
    <w:p>
      <w:pPr>
        <w:pStyle w:val="Heading1"/>
        <w:spacing w:after="140" w:before="320"/>
      </w:pPr>
      <w:r>
        <w:t xml:space="preserve">9. Independent Verification Against Sepolia</w:t>
      </w:r>
    </w:p>
    <w:p>
      <w:pPr>
        <w:spacing w:after="120" w:line="276"/>
        <w:jc w:val="both"/>
      </w:pPr>
      <w:r>
        <w:t xml:space="preserve">To test whether the application ledger is consistent with the blockchain, the tool </w:t>
      </w:r>
      <w:r>
        <w:rPr>
          <w:rFonts w:ascii="Consolas" w:cs="Consolas" w:eastAsia="Consolas" w:hAnsi="Consolas"/>
          <w:sz w:val="19"/>
          <w:szCs w:val="19"/>
        </w:rPr>
        <w:t xml:space="preserve">python -m tools.verify_poc</w:t>
      </w:r>
      <w:r>
        <w:t xml:space="preserve"> reads the ledger and, for every event that carries a transaction hash, fetches the receipt from Sepolia and checks that it exists, has status success and was included in the recorded block. For each consent anchored on the current contract it then reads the token and reports the owner, requester, purpose hash, validity window, jurisdiction and </w:t>
      </w:r>
      <w:r>
        <w:rPr>
          <w:rFonts w:ascii="Consolas" w:cs="Consolas" w:eastAsia="Consolas" w:hAnsi="Consolas"/>
          <w:sz w:val="19"/>
          <w:szCs w:val="19"/>
        </w:rPr>
        <w:t xml:space="preserve">checkValid</w:t>
      </w:r>
      <w:r>
        <w:t xml:space="preserve">/</w:t>
      </w:r>
      <w:r>
        <w:rPr>
          <w:rFonts w:ascii="Consolas" w:cs="Consolas" w:eastAsia="Consolas" w:hAnsi="Consolas"/>
          <w:sz w:val="19"/>
          <w:szCs w:val="19"/>
        </w:rPr>
        <w:t xml:space="preserve">checkValidAt</w:t>
      </w:r>
      <w:r>
        <w:t xml:space="preserve"> results; the pass/fail verdict additionally requires that the local revocation state equals the on-chain revocation flag. Tokens minted on earlier deployments are reported and skipped.</w:t>
      </w:r>
    </w:p>
    <w:p>
      <w:pPr>
        <w:spacing w:after="120" w:line="276"/>
        <w:jc w:val="both"/>
      </w:pPr>
      <w:r>
        <w:t xml:space="preserve">Run in Codespaces after the lifecycle, the tool verified the ledger transactions against Sepolia (five after the reproduction lifecycle), found the on-chain revocation flags matching the local state for both tokens, and reported </w:t>
      </w:r>
      <w:r>
        <w:rPr>
          <w:b/>
          <w:bCs/>
        </w:rPr>
        <w:t xml:space="preserve">ALL CHECKS PASSED</w:t>
      </w:r>
      <w:r>
        <w:t xml:space="preserve"> (Figure 16, Figure 17).</w:t>
      </w:r>
    </w:p>
    <w:p>
      <w:pPr>
        <w:keepNext/>
        <w:spacing w:after="60" w:before="120"/>
        <w:jc w:val="center"/>
      </w:pPr>
      <w:r>
        <w:drawing>
          <wp:inline distT="0" distB="0" distL="0" distR="0">
            <wp:extent cx="4381500" cy="552450"/>
            <wp:effectExtent t="0" r="0" b="0" l="0"/>
            <wp:docPr id="1" name="g_verify" descr="Final lines of the independent verification: the local revocation state matches the chain; RESULT: ALL CHECKS PASSED."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552450"/>
                    </a:xfrm>
                    <a:prstGeom prst="rect">
                      <a:avLst/>
                    </a:prstGeom>
                  </pic:spPr>
                </pic:pic>
              </a:graphicData>
            </a:graphic>
          </wp:inline>
        </w:drawing>
      </w:r>
    </w:p>
    <w:p>
      <w:pPr>
        <w:spacing w:after="200"/>
        <w:jc w:val="center"/>
      </w:pPr>
      <w:r>
        <w:rPr>
          <w:b/>
          <w:bCs/>
          <w:i/>
          <w:iCs/>
          <w:sz w:val="19"/>
          <w:szCs w:val="19"/>
        </w:rPr>
        <w:t xml:space="preserve">Figure 16. </w:t>
      </w:r>
      <w:r>
        <w:rPr>
          <w:i/>
          <w:iCs/>
          <w:sz w:val="19"/>
          <w:szCs w:val="19"/>
        </w:rPr>
        <w:t xml:space="preserve">Final lines of the independent verification: the local revocation state matches the chain; RESULT: ALL CHECKS PASSED.</w:t>
      </w:r>
    </w:p>
    <w:p>
      <w:pPr>
        <w:keepNext/>
        <w:spacing w:after="60" w:before="120"/>
        <w:jc w:val="center"/>
      </w:pPr>
      <w:r>
        <w:drawing>
          <wp:inline distT="0" distB="0" distL="0" distR="0">
            <wp:extent cx="4381500" cy="1676400"/>
            <wp:effectExtent t="0" r="0" b="0" l="0"/>
            <wp:docPr id="1" name="M8" descr="Final verdict of a later verify_poc run covering both lifecycles (token #2 not revoked, matching the chain): RESULT: ALL CHECKS PASSE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1676400"/>
                    </a:xfrm>
                    <a:prstGeom prst="rect">
                      <a:avLst/>
                    </a:prstGeom>
                  </pic:spPr>
                </pic:pic>
              </a:graphicData>
            </a:graphic>
          </wp:inline>
        </w:drawing>
      </w:r>
    </w:p>
    <w:p>
      <w:pPr>
        <w:spacing w:after="200"/>
        <w:jc w:val="center"/>
      </w:pPr>
      <w:r>
        <w:rPr>
          <w:b/>
          <w:bCs/>
          <w:i/>
          <w:iCs/>
          <w:sz w:val="19"/>
          <w:szCs w:val="19"/>
        </w:rPr>
        <w:t xml:space="preserve">Figure 17. </w:t>
      </w:r>
      <w:r>
        <w:rPr>
          <w:i/>
          <w:iCs/>
          <w:sz w:val="19"/>
          <w:szCs w:val="19"/>
        </w:rPr>
        <w:t xml:space="preserve">Final verdict of a later verify_poc run covering both lifecycles (token #2 not revoked, matching the chain): RESULT: ALL CHECKS PASSED.</w:t>
      </w:r>
    </w:p>
    <w:p>
      <w:pPr>
        <w:keepNext/>
        <w:spacing w:after="80" w:before="160"/>
      </w:pPr>
      <w:r>
        <w:rPr>
          <w:b/>
          <w:bCs/>
          <w:sz w:val="19"/>
          <w:szCs w:val="19"/>
        </w:rPr>
        <w:t xml:space="preserve">Table 5. </w:t>
      </w:r>
      <w:r>
        <w:rPr>
          <w:i/>
          <w:iCs/>
          <w:sz w:val="19"/>
          <w:szCs w:val="19"/>
        </w:rPr>
        <w:t xml:space="preserve">Register of Sepolia transactions in the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60"/>
        <w:gridCol w:w="1200"/>
        <w:gridCol w:w="2500"/>
      </w:tblGrid>
      <w:tr>
        <w:trPr>
          <w:tblHeader/>
        </w:trPr>
        <w:tc>
          <w:tcPr>
            <w:tcW w:type="dxa" w:w="29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Operation</w:t>
            </w:r>
          </w:p>
        </w:tc>
        <w:tc>
          <w:tcPr>
            <w:tcW w:type="dxa" w:w="276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Transaction</w:t>
            </w:r>
          </w:p>
        </w:tc>
        <w:tc>
          <w:tcPr>
            <w:tcW w:type="dxa" w:w="12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Block</w:t>
            </w:r>
          </w:p>
        </w:tc>
        <w:tc>
          <w:tcPr>
            <w:tcW w:type="dxa" w:w="25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Function</w:t>
            </w:r>
          </w:p>
        </w:tc>
      </w:tr>
      <w:tr>
        <w:tc>
          <w:tcPr>
            <w:tcW w:type="dxa" w:w="2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Anchor consent f050c29a (token #1)</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rFonts w:ascii="Consolas" w:cs="Consolas" w:eastAsia="Consolas" w:hAnsi="Consolas"/>
                <w:sz w:val="18"/>
                <w:szCs w:val="18"/>
              </w:rPr>
              <w:t xml:space="preserve">0x8be1b99e9b7054d427…</w:t>
            </w:r>
          </w:p>
        </w:tc>
        <w:tc>
          <w:tcPr>
            <w:tcW w:type="dxa" w:w="1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11,771,243</w:t>
            </w:r>
          </w:p>
        </w:tc>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mintConsentV3 (0x1e1e7c76)</w:t>
            </w:r>
          </w:p>
        </w:tc>
      </w:tr>
      <w:tr>
        <w:tc>
          <w:tcPr>
            <w:tcW w:type="dxa" w:w="2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Revoke consent f050c29a (token #1)</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rFonts w:ascii="Consolas" w:cs="Consolas" w:eastAsia="Consolas" w:hAnsi="Consolas"/>
                <w:sz w:val="18"/>
                <w:szCs w:val="18"/>
              </w:rPr>
              <w:t xml:space="preserve">0x017efb9dc6acad9733…</w:t>
            </w:r>
          </w:p>
        </w:tc>
        <w:tc>
          <w:tcPr>
            <w:tcW w:type="dxa" w:w="1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11,771,307</w:t>
            </w:r>
          </w:p>
        </w:tc>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revoke (0x20c5429b)</w:t>
            </w:r>
          </w:p>
        </w:tc>
      </w:tr>
      <w:tr>
        <w:tc>
          <w:tcPr>
            <w:tcW w:type="dxa" w:w="2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Trial 22 Sep, v2 contract (token #8)</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rFonts w:ascii="Consolas" w:cs="Consolas" w:eastAsia="Consolas" w:hAnsi="Consolas"/>
                <w:sz w:val="18"/>
                <w:szCs w:val="18"/>
              </w:rPr>
              <w:t xml:space="preserve">0x5f9b2f14a3c061ef6a…</w:t>
            </w:r>
          </w:p>
        </w:tc>
        <w:tc>
          <w:tcPr>
            <w:tcW w:type="dxa" w:w="1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11,757,272</w:t>
            </w:r>
          </w:p>
        </w:tc>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mintConsent (v2)</w:t>
            </w:r>
          </w:p>
        </w:tc>
      </w:tr>
      <w:tr>
        <w:tc>
          <w:tcPr>
            <w:tcW w:type="dxa" w:w="2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Trial 22 Sep, v2 contract (token #8)</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rFonts w:ascii="Consolas" w:cs="Consolas" w:eastAsia="Consolas" w:hAnsi="Consolas"/>
                <w:sz w:val="18"/>
                <w:szCs w:val="18"/>
              </w:rPr>
              <w:t xml:space="preserve">0x2adf73d854071e9010…</w:t>
            </w:r>
          </w:p>
        </w:tc>
        <w:tc>
          <w:tcPr>
            <w:tcW w:type="dxa" w:w="1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11,757,344</w:t>
            </w:r>
          </w:p>
        </w:tc>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revoke (v2)</w:t>
            </w:r>
          </w:p>
        </w:tc>
      </w:tr>
      <w:tr>
        <w:tc>
          <w:tcPr>
            <w:tcW w:type="dxa" w:w="2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Reproduction lifecycle (token #2)</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rFonts w:ascii="Consolas" w:cs="Consolas" w:eastAsia="Consolas" w:hAnsi="Consolas"/>
                <w:sz w:val="18"/>
                <w:szCs w:val="18"/>
              </w:rPr>
              <w:t xml:space="preserve">0x25ef5e2f0046735dcb…</w:t>
            </w:r>
          </w:p>
        </w:tc>
        <w:tc>
          <w:tcPr>
            <w:tcW w:type="dxa" w:w="1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11,771,581</w:t>
            </w:r>
          </w:p>
        </w:tc>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mintConsentV3 (0x1e1e7c76)</w:t>
            </w:r>
          </w:p>
        </w:tc>
      </w:tr>
    </w:tbl>
    <w:p>
      <w:pPr>
        <w:spacing w:after="120"/>
      </w:pPr>
    </w:p>
    <w:p>
      <w:pPr>
        <w:spacing w:after="160" w:before="60" w:line="276"/>
        <w:jc w:val="both"/>
      </w:pPr>
      <w:r>
        <w:t xml:space="preserve">This step therefore corresponds to </w:t>
      </w:r>
      <w:r>
        <w:rPr>
          <w:b/>
          <w:bCs/>
        </w:rPr>
        <w:t xml:space="preserve">Ledger Integrity and Independent Verifiability</w:t>
      </w:r>
      <w:r>
        <w:t xml:space="preserve">.</w:t>
      </w:r>
    </w:p>
    <w:p>
      <w:pPr>
        <w:pStyle w:val="Heading1"/>
        <w:spacing w:after="140" w:before="320"/>
      </w:pPr>
      <w:r>
        <w:t xml:space="preserve">10. Evaluation</w:t>
      </w:r>
    </w:p>
    <w:p>
      <w:pPr>
        <w:pStyle w:val="Heading2"/>
        <w:spacing w:after="100" w:before="200"/>
      </w:pPr>
      <w:r>
        <w:t xml:space="preserve">10.1 Test cases</w:t>
      </w:r>
    </w:p>
    <w:p>
      <w:pPr>
        <w:spacing w:after="120" w:line="276"/>
        <w:jc w:val="both"/>
      </w:pPr>
      <w:r>
        <w:t xml:space="preserve">Table 6 summarises the test cases. Live tests were executed on Sepolia through the user interface; automated tests are part of the repository and run with </w:t>
      </w:r>
      <w:r>
        <w:rPr>
          <w:rFonts w:ascii="Consolas" w:cs="Consolas" w:eastAsia="Consolas" w:hAnsi="Consolas"/>
          <w:sz w:val="19"/>
          <w:szCs w:val="19"/>
        </w:rPr>
        <w:t xml:space="preserve">python -m pytest -q tests/</w:t>
      </w:r>
      <w:r>
        <w:t xml:space="preserve"> (23 of 23 pass, including a Groth16 round-trip and tamper test).</w:t>
      </w:r>
    </w:p>
    <w:p>
      <w:pPr>
        <w:keepNext/>
        <w:spacing w:after="80" w:before="160"/>
      </w:pPr>
      <w:r>
        <w:rPr>
          <w:b/>
          <w:bCs/>
          <w:sz w:val="19"/>
          <w:szCs w:val="19"/>
        </w:rPr>
        <w:t xml:space="preserve">Table 6. </w:t>
      </w:r>
      <w:r>
        <w:rPr>
          <w:i/>
          <w:iCs/>
          <w:sz w:val="19"/>
          <w:szCs w:val="19"/>
        </w:rPr>
        <w:t xml:space="preserve">Test cases, expected and observed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640"/>
        <w:gridCol w:w="1900"/>
        <w:gridCol w:w="1900"/>
        <w:gridCol w:w="2300"/>
      </w:tblGrid>
      <w:tr>
        <w:trPr>
          <w:tblHeader/>
        </w:trPr>
        <w:tc>
          <w:tcPr>
            <w:tcW w:type="dxa" w:w="62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6"/>
                <w:szCs w:val="16"/>
              </w:rPr>
              <w:t xml:space="preserve">ID</w:t>
            </w:r>
          </w:p>
        </w:tc>
        <w:tc>
          <w:tcPr>
            <w:tcW w:type="dxa" w:w="264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6"/>
                <w:szCs w:val="16"/>
              </w:rPr>
              <w:t xml:space="preserve">Scenario</w:t>
            </w:r>
          </w:p>
        </w:tc>
        <w:tc>
          <w:tcPr>
            <w:tcW w:type="dxa" w:w="19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6"/>
                <w:szCs w:val="16"/>
              </w:rPr>
              <w:t xml:space="preserve">Expected</w:t>
            </w:r>
          </w:p>
        </w:tc>
        <w:tc>
          <w:tcPr>
            <w:tcW w:type="dxa" w:w="19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6"/>
                <w:szCs w:val="16"/>
              </w:rPr>
              <w:t xml:space="preserve">Observed</w:t>
            </w:r>
          </w:p>
        </w:tc>
        <w:tc>
          <w:tcPr>
            <w:tcW w:type="dxa" w:w="23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6"/>
                <w:szCs w:val="16"/>
              </w:rPr>
              <w:t xml:space="preserve">Evidence</w:t>
            </w:r>
          </w:p>
        </w:tc>
      </w:tr>
      <w:tr>
        <w:tc>
          <w:tcPr>
            <w:tcW w:type="dxa" w:w="6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P1</w:t>
            </w:r>
          </w:p>
        </w:tc>
        <w:tc>
          <w:tcPr>
            <w:tcW w:type="dxa" w:w="2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Create consent (4 modules, 2 guardians, AU)</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Stored, PENDING_SIGNATURE</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As expected</w:t>
            </w:r>
          </w:p>
        </w:tc>
        <w:tc>
          <w:tcPr>
            <w:tcW w:type="dxa" w:w="2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Ledger 09:50:49; Figure 4</w:t>
            </w:r>
          </w:p>
        </w:tc>
      </w:tr>
      <w:tr>
        <w:tc>
          <w:tcPr>
            <w:tcW w:type="dxa" w:w="6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P2</w:t>
            </w:r>
          </w:p>
        </w:tc>
        <w:tc>
          <w:tcPr>
            <w:tcW w:type="dxa" w:w="2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Two guardian approvals</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2 valid EIP-712 signatures</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As expected</w:t>
            </w:r>
          </w:p>
        </w:tc>
        <w:tc>
          <w:tcPr>
            <w:tcW w:type="dxa" w:w="2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Ledger 09:51:05, 09:51:07</w:t>
            </w:r>
          </w:p>
        </w:tc>
      </w:tr>
      <w:tr>
        <w:tc>
          <w:tcPr>
            <w:tcW w:type="dxa" w:w="6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P3</w:t>
            </w:r>
          </w:p>
        </w:tc>
        <w:tc>
          <w:tcPr>
            <w:tcW w:type="dxa" w:w="2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Anchor on Sepolia</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Token minted, id recorded</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Token #1, block 11,771,243</w:t>
            </w:r>
          </w:p>
        </w:tc>
        <w:tc>
          <w:tcPr>
            <w:tcW w:type="dxa" w:w="2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Figure 2; Table 5</w:t>
            </w:r>
          </w:p>
        </w:tc>
      </w:tr>
      <w:tr>
        <w:tc>
          <w:tcPr>
            <w:tcW w:type="dxa" w:w="6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P4</w:t>
            </w:r>
          </w:p>
        </w:tc>
        <w:tc>
          <w:tcPr>
            <w:tcW w:type="dxa" w:w="2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Doctor request, AU</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GRANTED with Groth16 proof</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GRANTED ×2, proof_mode groth16</w:t>
            </w:r>
          </w:p>
        </w:tc>
        <w:tc>
          <w:tcPr>
            <w:tcW w:type="dxa" w:w="2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Figure 7; ledger 09:51:38</w:t>
            </w:r>
          </w:p>
        </w:tc>
      </w:tr>
      <w:tr>
        <w:tc>
          <w:tcPr>
            <w:tcW w:type="dxa" w:w="6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P5</w:t>
            </w:r>
          </w:p>
        </w:tc>
        <w:tc>
          <w:tcPr>
            <w:tcW w:type="dxa" w:w="2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Revoke</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On-chain revoke, state REVOKED</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Block 11,771,307</w:t>
            </w:r>
          </w:p>
        </w:tc>
        <w:tc>
          <w:tcPr>
            <w:tcW w:type="dxa" w:w="2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Figure 12; Table 5</w:t>
            </w:r>
          </w:p>
        </w:tc>
      </w:tr>
      <w:tr>
        <w:tc>
          <w:tcPr>
            <w:tcW w:type="dxa" w:w="6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P6</w:t>
            </w:r>
          </w:p>
        </w:tc>
        <w:tc>
          <w:tcPr>
            <w:tcW w:type="dxa" w:w="2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Independent verification</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All transactions and revoke flag match</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ALL CHECKS PASSED</w:t>
            </w:r>
          </w:p>
        </w:tc>
        <w:tc>
          <w:tcPr>
            <w:tcW w:type="dxa" w:w="2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Figure 16</w:t>
            </w:r>
          </w:p>
        </w:tc>
      </w:tr>
      <w:tr>
        <w:tc>
          <w:tcPr>
            <w:tcW w:type="dxa" w:w="6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N1</w:t>
            </w:r>
          </w:p>
        </w:tc>
        <w:tc>
          <w:tcPr>
            <w:tcW w:type="dxa" w:w="2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Doctor request, SA (consent AU)</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DENIED, VL fails</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DENIED, 'Failed checks: VL'</w:t>
            </w:r>
          </w:p>
        </w:tc>
        <w:tc>
          <w:tcPr>
            <w:tcW w:type="dxa" w:w="2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Figure 9, Figure 10</w:t>
            </w:r>
          </w:p>
        </w:tc>
      </w:tr>
      <w:tr>
        <w:tc>
          <w:tcPr>
            <w:tcW w:type="dxa" w:w="6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N2</w:t>
            </w:r>
          </w:p>
        </w:tc>
        <w:tc>
          <w:tcPr>
            <w:tcW w:type="dxa" w:w="2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Doctor after revocation</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Not active, VA fails</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As expected</w:t>
            </w:r>
          </w:p>
        </w:tc>
        <w:tc>
          <w:tcPr>
            <w:tcW w:type="dxa" w:w="2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Figure 13</w:t>
            </w:r>
          </w:p>
        </w:tc>
      </w:tr>
      <w:tr>
        <w:tc>
          <w:tcPr>
            <w:tcW w:type="dxa" w:w="6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N3</w:t>
            </w:r>
          </w:p>
        </w:tc>
        <w:tc>
          <w:tcPr>
            <w:tcW w:type="dxa" w:w="2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Empty request scope</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Refused</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Refused (automated run)</w:t>
            </w:r>
          </w:p>
        </w:tc>
        <w:tc>
          <w:tcPr>
            <w:tcW w:type="dxa" w:w="2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Regression check</w:t>
            </w:r>
          </w:p>
        </w:tc>
      </w:tr>
      <w:tr>
        <w:tc>
          <w:tcPr>
            <w:tcW w:type="dxa" w:w="6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A1</w:t>
            </w:r>
          </w:p>
        </w:tc>
        <w:tc>
          <w:tcPr>
            <w:tcW w:type="dxa" w:w="2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EIP-712 wrong guardian / consent / missing signature</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Rejected</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Rejected</w:t>
            </w:r>
          </w:p>
        </w:tc>
        <w:tc>
          <w:tcPr>
            <w:tcW w:type="dxa" w:w="2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test_eip712_roundtrip_and_rejections</w:t>
            </w:r>
          </w:p>
        </w:tc>
      </w:tr>
      <w:tr>
        <w:tc>
          <w:tcPr>
            <w:tcW w:type="dxa" w:w="6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A2</w:t>
            </w:r>
          </w:p>
        </w:tc>
        <w:tc>
          <w:tcPr>
            <w:tcW w:type="dxa" w:w="2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Each of VI, VA, VP, VT, VL false in turn</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ALLOW false</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ALLOW false</w:t>
            </w:r>
          </w:p>
        </w:tc>
        <w:tc>
          <w:tcPr>
            <w:tcW w:type="dxa" w:w="2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test_matrix_…_fails_independently</w:t>
            </w:r>
          </w:p>
        </w:tc>
      </w:tr>
      <w:tr>
        <w:tc>
          <w:tcPr>
            <w:tcW w:type="dxa" w:w="6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A3</w:t>
            </w:r>
          </w:p>
        </w:tc>
        <w:tc>
          <w:tcPr>
            <w:tcW w:type="dxa" w:w="2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Tampered or expired ZK proof</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Rejected / not provable</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As expected</w:t>
            </w:r>
          </w:p>
        </w:tc>
        <w:tc>
          <w:tcPr>
            <w:tcW w:type="dxa" w:w="2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test_real_groth16_…, test_expired_…</w:t>
            </w:r>
          </w:p>
        </w:tc>
      </w:tr>
      <w:tr>
        <w:tc>
          <w:tcPr>
            <w:tcW w:type="dxa" w:w="6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A4</w:t>
            </w:r>
          </w:p>
        </w:tc>
        <w:tc>
          <w:tcPr>
            <w:tcW w:type="dxa" w:w="2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Revoked consent state, persistence across reload</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REVOKED, persisted</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As expected</w:t>
            </w:r>
          </w:p>
        </w:tc>
        <w:tc>
          <w:tcPr>
            <w:tcW w:type="dxa" w:w="2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test_phase_red.py (4 tests)</w:t>
            </w:r>
          </w:p>
        </w:tc>
      </w:tr>
      <w:tr>
        <w:tc>
          <w:tcPr>
            <w:tcW w:type="dxa" w:w="62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A5</w:t>
            </w:r>
          </w:p>
        </w:tc>
        <w:tc>
          <w:tcPr>
            <w:tcW w:type="dxa" w:w="264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Regression tests for the v1.2 corrections</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Pass</w:t>
            </w:r>
          </w:p>
        </w:tc>
        <w:tc>
          <w:tcPr>
            <w:tcW w:type="dxa" w:w="19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5 of 5 pass</w:t>
            </w:r>
          </w:p>
        </w:tc>
        <w:tc>
          <w:tcPr>
            <w:tcW w:type="dxa" w:w="2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tests/test_regressions.py</w:t>
            </w:r>
          </w:p>
        </w:tc>
      </w:tr>
    </w:tbl>
    <w:p>
      <w:pPr>
        <w:spacing w:after="120"/>
      </w:pPr>
    </w:p>
    <w:p>
      <w:pPr>
        <w:pStyle w:val="Heading2"/>
        <w:spacing w:after="100" w:before="200"/>
      </w:pPr>
      <w:r>
        <w:t xml:space="preserve">10.2 Indicative measurements</w:t>
      </w:r>
    </w:p>
    <w:p>
      <w:pPr>
        <w:keepNext/>
        <w:spacing w:after="80" w:before="160"/>
      </w:pPr>
      <w:r>
        <w:rPr>
          <w:b/>
          <w:bCs/>
          <w:sz w:val="19"/>
          <w:szCs w:val="19"/>
        </w:rPr>
        <w:t xml:space="preserve">Table 7. </w:t>
      </w:r>
      <w:r>
        <w:rPr>
          <w:i/>
          <w:iCs/>
          <w:sz w:val="19"/>
          <w:szCs w:val="19"/>
        </w:rPr>
        <w:t xml:space="preserve">Indicative measurements from the single evaluated lifecycle (n = 1, Sepolia testnet).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Measure</w:t>
            </w:r>
          </w:p>
        </w:tc>
        <w:tc>
          <w:tcPr>
            <w:tcW w:type="dxa" w:w="30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Value</w:t>
            </w:r>
          </w:p>
        </w:tc>
        <w:tc>
          <w:tcPr>
            <w:tcW w:type="dxa" w:w="276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Source</w:t>
            </w:r>
          </w:p>
        </w:tc>
      </w:tr>
      <w:tr>
        <w:tc>
          <w:tcPr>
            <w:tcW w:type="dxa" w:w="36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Gas used, mintConsentV3</w:t>
            </w:r>
          </w:p>
        </w:tc>
        <w:tc>
          <w:tcPr>
            <w:tcW w:type="dxa" w:w="30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196,406 (token #1); 179,306 (token #2)</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Ledger / receipts</w:t>
            </w:r>
          </w:p>
        </w:tc>
      </w:tr>
      <w:tr>
        <w:tc>
          <w:tcPr>
            <w:tcW w:type="dxa" w:w="36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Transaction fee, mint</w:t>
            </w:r>
          </w:p>
        </w:tc>
        <w:tc>
          <w:tcPr>
            <w:tcW w:type="dxa" w:w="30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0.00020852 ETH</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Figure 2</w:t>
            </w:r>
          </w:p>
        </w:tc>
      </w:tr>
      <w:tr>
        <w:tc>
          <w:tcPr>
            <w:tcW w:type="dxa" w:w="36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Estimated deployment fee</w:t>
            </w:r>
          </w:p>
        </w:tc>
        <w:tc>
          <w:tcPr>
            <w:tcW w:type="dxa" w:w="30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 0.0092 SepoliaETH (max 0.0105)</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Figure 1</w:t>
            </w:r>
          </w:p>
        </w:tc>
      </w:tr>
      <w:tr>
        <w:tc>
          <w:tcPr>
            <w:tcW w:type="dxa" w:w="36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Threshold reached → mint confirmed</w:t>
            </w:r>
          </w:p>
        </w:tc>
        <w:tc>
          <w:tcPr>
            <w:tcW w:type="dxa" w:w="30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 5 s (09:51:07 → 09:51:12)</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Ledger</w:t>
            </w:r>
          </w:p>
        </w:tc>
      </w:tr>
      <w:tr>
        <w:tc>
          <w:tcPr>
            <w:tcW w:type="dxa" w:w="36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Revoke requested → confirmed</w:t>
            </w:r>
          </w:p>
        </w:tc>
        <w:tc>
          <w:tcPr>
            <w:tcW w:type="dxa" w:w="30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 10 s (10:03:50 → 10:04:00)</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Ledger</w:t>
            </w:r>
          </w:p>
        </w:tc>
      </w:tr>
      <w:tr>
        <w:tc>
          <w:tcPr>
            <w:tcW w:type="dxa" w:w="36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Ledger events per complete lifecycle</w:t>
            </w:r>
          </w:p>
        </w:tc>
        <w:tc>
          <w:tcPr>
            <w:tcW w:type="dxa" w:w="30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13</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Table 4</w:t>
            </w:r>
          </w:p>
        </w:tc>
      </w:tr>
    </w:tbl>
    <w:p>
      <w:pPr>
        <w:spacing w:after="120"/>
      </w:pPr>
    </w:p>
    <w:p>
      <w:pPr>
        <w:spacing w:after="120" w:line="276"/>
        <w:jc w:val="both"/>
      </w:pPr>
      <w:r>
        <w:t xml:space="preserve">These values are indicative only: they come from a single run on a public testnet whose block times and fees vary, and they are not a performance evaluation.</w:t>
      </w:r>
    </w:p>
    <w:p>
      <w:pPr>
        <w:pStyle w:val="Heading1"/>
        <w:spacing w:after="140" w:before="320"/>
      </w:pPr>
      <w:r>
        <w:t xml:space="preserve">11. Implementation Defects Identified and Corrected</w:t>
      </w:r>
    </w:p>
    <w:p>
      <w:pPr>
        <w:spacing w:after="120" w:line="276"/>
        <w:jc w:val="both"/>
      </w:pPr>
      <w:r>
        <w:t xml:space="preserve">End-to-end testing of version 1.1 revealed defects that were not visible in unit tests because each component worked in isolation. The table states, for each correction, how it is evidenced.</w:t>
      </w:r>
    </w:p>
    <w:p>
      <w:pPr>
        <w:keepNext/>
        <w:spacing w:after="80" w:before="160"/>
      </w:pPr>
      <w:r>
        <w:rPr>
          <w:b/>
          <w:bCs/>
          <w:sz w:val="19"/>
          <w:szCs w:val="19"/>
        </w:rPr>
        <w:t xml:space="preserve">Table 8. </w:t>
      </w:r>
      <w:r>
        <w:rPr>
          <w:i/>
          <w:iCs/>
          <w:sz w:val="19"/>
          <w:szCs w:val="19"/>
        </w:rPr>
        <w:t xml:space="preserve">Defects found in version 1.1 and their correction in version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Defect in v1.1</w:t>
            </w:r>
          </w:p>
        </w:tc>
        <w:tc>
          <w:tcPr>
            <w:tcW w:type="dxa" w:w="33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Consequence</w:t>
            </w:r>
          </w:p>
        </w:tc>
        <w:tc>
          <w:tcPr>
            <w:tcW w:type="dxa" w:w="336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Correction and evidence</w:t>
            </w:r>
          </w:p>
        </w:tc>
      </w:tr>
      <w:tr>
        <w:tc>
          <w:tcPr>
            <w:tcW w:type="dxa" w:w="27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Receipt decoding for v3 mints referenced an undefined name</w:t>
            </w:r>
          </w:p>
        </w:tc>
        <w:tc>
          <w:tcPr>
            <w:tcW w:type="dxa" w:w="3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On the v3 contract the token id was never recorded, so revocation was not sent on-chain and re-anchoring could mint duplicates (v2 mints were unaffected)</w:t>
            </w:r>
          </w:p>
        </w:tc>
        <w:tc>
          <w:tcPr>
            <w:tcW w:type="dxa" w:w="33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Import fixed; regression test; on Sepolia the ledger records token_id = 1 for f050c29a</w:t>
            </w:r>
          </w:p>
        </w:tc>
      </w:tr>
      <w:tr>
        <w:tc>
          <w:tcPr>
            <w:tcW w:type="dxa" w:w="27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Jurisdiction (VL) displayed but not part of ALLOW</w:t>
            </w:r>
          </w:p>
        </w:tc>
        <w:tc>
          <w:tcPr>
            <w:tcW w:type="dxa" w:w="3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Wrong-jurisdiction requests were granted</w:t>
            </w:r>
          </w:p>
        </w:tc>
        <w:tc>
          <w:tcPr>
            <w:tcW w:type="dxa" w:w="33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ALLOW required; regression test; DENIED on Sepolia (Section 5)</w:t>
            </w:r>
          </w:p>
        </w:tc>
      </w:tr>
      <w:tr>
        <w:tc>
          <w:tcPr>
            <w:tcW w:type="dxa" w:w="27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Chain reconciliation read notBefore as expiry</w:t>
            </w:r>
          </w:p>
        </w:tc>
        <w:tc>
          <w:tcPr>
            <w:tcW w:type="dxa" w:w="3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Existing v3 mints could not be matched</w:t>
            </w:r>
          </w:p>
        </w:tc>
        <w:tc>
          <w:tcPr>
            <w:tcW w:type="dxa" w:w="33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Correct field; regression test</w:t>
            </w:r>
          </w:p>
        </w:tc>
      </w:tr>
      <w:tr>
        <w:tc>
          <w:tcPr>
            <w:tcW w:type="dxa" w:w="27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v2-compatible mintConsent called itself externally</w:t>
            </w:r>
          </w:p>
        </w:tc>
        <w:tc>
          <w:tcPr>
            <w:tcW w:type="dxa" w:w="3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Always reverted with 'caller is not the owner'</w:t>
            </w:r>
          </w:p>
        </w:tc>
        <w:tc>
          <w:tcPr>
            <w:tcW w:type="dxa" w:w="33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Internal function; source check in tests; contract redeployed</w:t>
            </w:r>
          </w:p>
        </w:tc>
      </w:tr>
      <w:tr>
        <w:tc>
          <w:tcPr>
            <w:tcW w:type="dxa" w:w="27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Consent record written after _safeMint</w:t>
            </w:r>
          </w:p>
        </w:tc>
        <w:tc>
          <w:tcPr>
            <w:tcW w:type="dxa" w:w="3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A contract receiver could observe an empty record (not reachable with the keyless patient addresses used here)</w:t>
            </w:r>
          </w:p>
        </w:tc>
        <w:tc>
          <w:tcPr>
            <w:tcW w:type="dxa" w:w="33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Record written before minting</w:t>
            </w:r>
          </w:p>
        </w:tc>
      </w:tr>
      <w:tr>
        <w:tc>
          <w:tcPr>
            <w:tcW w:type="dxa" w:w="27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Empty request scope accepted</w:t>
            </w:r>
          </w:p>
        </w:tc>
        <w:tc>
          <w:tcPr>
            <w:tcW w:type="dxa" w:w="3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An access with no data was logged as GRANTED</w:t>
            </w:r>
          </w:p>
        </w:tc>
        <w:tc>
          <w:tcPr>
            <w:tcW w:type="dxa" w:w="33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Non-empty scope required</w:t>
            </w:r>
          </w:p>
        </w:tc>
      </w:tr>
      <w:tr>
        <w:tc>
          <w:tcPr>
            <w:tcW w:type="dxa" w:w="27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Three EMR source files partially corrupted</w:t>
            </w:r>
          </w:p>
        </w:tc>
        <w:tc>
          <w:tcPr>
            <w:tcW w:type="dxa" w:w="3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Observation, Medication and Procedure appeared empty</w:t>
            </w:r>
          </w:p>
        </w:tc>
        <w:tc>
          <w:tcPr>
            <w:tcW w:type="dxa" w:w="33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Valid rows recovered; complete re-export deferred (Section 14); regression test</w:t>
            </w:r>
          </w:p>
        </w:tc>
      </w:tr>
    </w:tbl>
    <w:p>
      <w:pPr>
        <w:spacing w:after="120"/>
      </w:pPr>
    </w:p>
    <w:p>
      <w:pPr>
        <w:pStyle w:val="Heading1"/>
        <w:spacing w:after="140" w:before="320"/>
      </w:pPr>
      <w:r>
        <w:t xml:space="preserve">12. Comparison with the Previous Version</w:t>
      </w:r>
    </w:p>
    <w:p>
      <w:pPr>
        <w:keepNext/>
        <w:spacing w:after="80" w:before="160"/>
      </w:pPr>
      <w:r>
        <w:rPr>
          <w:b/>
          <w:bCs/>
          <w:sz w:val="19"/>
          <w:szCs w:val="19"/>
        </w:rPr>
        <w:t xml:space="preserve">Table 9. </w:t>
      </w:r>
      <w:r>
        <w:rPr>
          <w:i/>
          <w:iCs/>
          <w:sz w:val="19"/>
          <w:szCs w:val="19"/>
        </w:rPr>
        <w:t xml:space="preserve">Capabilities of the previously reported version (1.1) and of version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Aspect</w:t>
            </w:r>
          </w:p>
        </w:tc>
        <w:tc>
          <w:tcPr>
            <w:tcW w:type="dxa" w:w="32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Version 1.1</w:t>
            </w:r>
          </w:p>
        </w:tc>
        <w:tc>
          <w:tcPr>
            <w:tcW w:type="dxa" w:w="366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Version 1.2</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Consent activation</w:t>
            </w:r>
          </w:p>
        </w:tc>
        <w:tc>
          <w:tcPr>
            <w:tcW w:type="dxa" w:w="3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Token displayed in the interface</w:t>
            </w:r>
          </w:p>
        </w:tc>
        <w:tc>
          <w:tcPr>
            <w:tcW w:type="dxa" w:w="36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Token minted on Sepolia; hash and block recorded</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Revocation</w:t>
            </w:r>
          </w:p>
        </w:tc>
        <w:tc>
          <w:tcPr>
            <w:tcW w:type="dxa" w:w="3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Local state</w:t>
            </w:r>
          </w:p>
        </w:tc>
        <w:tc>
          <w:tcPr>
            <w:tcW w:type="dxa" w:w="36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Local state and on-chain revoke transaction</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Jurisdiction (L)</w:t>
            </w:r>
          </w:p>
        </w:tc>
        <w:tc>
          <w:tcPr>
            <w:tcW w:type="dxa" w:w="3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Displayed</w:t>
            </w:r>
          </w:p>
        </w:tc>
        <w:tc>
          <w:tcPr>
            <w:tcW w:type="dxa" w:w="36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Enforced in ALLOW; stored on-chain</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Temporal validity (T)</w:t>
            </w:r>
          </w:p>
        </w:tc>
        <w:tc>
          <w:tcPr>
            <w:tcW w:type="dxa" w:w="3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Local check</w:t>
            </w:r>
          </w:p>
        </w:tc>
        <w:tc>
          <w:tcPr>
            <w:tcW w:type="dxa" w:w="36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Local check; also stored on-chain (notBefore / expiry)</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Guardian approval</w:t>
            </w:r>
          </w:p>
        </w:tc>
        <w:tc>
          <w:tcPr>
            <w:tcW w:type="dxa" w:w="3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Identity check message</w:t>
            </w:r>
          </w:p>
        </w:tc>
        <w:tc>
          <w:tcPr>
            <w:tcW w:type="dxa" w:w="36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EIP-712 signatures verified per guardian</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Zero-knowledge component</w:t>
            </w:r>
          </w:p>
        </w:tc>
        <w:tc>
          <w:tcPr>
            <w:tcW w:type="dxa" w:w="3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Placeholder</w:t>
            </w:r>
          </w:p>
        </w:tc>
        <w:tc>
          <w:tcPr>
            <w:tcW w:type="dxa" w:w="36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Groth16 proof generated and verified (see limitations)</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Negative testing</w:t>
            </w:r>
          </w:p>
        </w:tc>
        <w:tc>
          <w:tcPr>
            <w:tcW w:type="dxa" w:w="3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None reported</w:t>
            </w:r>
          </w:p>
        </w:tc>
        <w:tc>
          <w:tcPr>
            <w:tcW w:type="dxa" w:w="36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Jurisdiction refusal on Sepolia; automated negative tests</w:t>
            </w:r>
          </w:p>
        </w:tc>
      </w:tr>
      <w:tr>
        <w:tc>
          <w:tcPr>
            <w:tcW w:type="dxa" w:w="25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Independent verification</w:t>
            </w:r>
          </w:p>
        </w:tc>
        <w:tc>
          <w:tcPr>
            <w:tcW w:type="dxa" w:w="3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None</w:t>
            </w:r>
          </w:p>
        </w:tc>
        <w:tc>
          <w:tcPr>
            <w:tcW w:type="dxa" w:w="36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verify_poc against Sepolia: ALL CHECKS PASSED</w:t>
            </w:r>
          </w:p>
        </w:tc>
      </w:tr>
    </w:tbl>
    <w:p>
      <w:pPr>
        <w:spacing w:after="120"/>
      </w:pPr>
    </w:p>
    <w:p>
      <w:pPr>
        <w:pStyle w:val="Heading1"/>
        <w:spacing w:after="140" w:before="320"/>
      </w:pPr>
      <w:r>
        <w:t xml:space="preserve">13. Requirements Traceability and Framework Correspondence</w:t>
      </w:r>
    </w:p>
    <w:p>
      <w:pPr>
        <w:keepNext/>
        <w:spacing w:after="80" w:before="160"/>
      </w:pPr>
      <w:r>
        <w:rPr>
          <w:b/>
          <w:bCs/>
          <w:sz w:val="19"/>
          <w:szCs w:val="19"/>
        </w:rPr>
        <w:t xml:space="preserve">Table 10. </w:t>
      </w:r>
      <w:r>
        <w:rPr>
          <w:i/>
          <w:iCs/>
          <w:sz w:val="19"/>
          <w:szCs w:val="19"/>
        </w:rPr>
        <w:t xml:space="preserve">Traceability of the system requirements to the evidence in this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200"/>
        <w:gridCol w:w="2360"/>
        <w:gridCol w:w="1300"/>
      </w:tblGrid>
      <w:tr>
        <w:trPr>
          <w:tblHeader/>
        </w:trPr>
        <w:tc>
          <w:tcPr>
            <w:tcW w:type="dxa" w:w="8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6"/>
                <w:szCs w:val="16"/>
              </w:rPr>
              <w:t xml:space="preserve">Req.</w:t>
            </w:r>
          </w:p>
        </w:tc>
        <w:tc>
          <w:tcPr>
            <w:tcW w:type="dxa" w:w="27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6"/>
                <w:szCs w:val="16"/>
              </w:rPr>
              <w:t xml:space="preserve">Requirement (role)</w:t>
            </w:r>
          </w:p>
        </w:tc>
        <w:tc>
          <w:tcPr>
            <w:tcW w:type="dxa" w:w="22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6"/>
                <w:szCs w:val="16"/>
              </w:rPr>
              <w:t xml:space="preserve">Subsystem</w:t>
            </w:r>
          </w:p>
        </w:tc>
        <w:tc>
          <w:tcPr>
            <w:tcW w:type="dxa" w:w="236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6"/>
                <w:szCs w:val="16"/>
              </w:rPr>
              <w:t xml:space="preserve">Evidence</w:t>
            </w:r>
          </w:p>
        </w:tc>
        <w:tc>
          <w:tcPr>
            <w:tcW w:type="dxa" w:w="13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6"/>
                <w:szCs w:val="16"/>
              </w:rPr>
              <w:t xml:space="preserve">Result</w:t>
            </w:r>
          </w:p>
        </w:tc>
      </w:tr>
      <w:tr>
        <w:tc>
          <w:tcPr>
            <w:tcW w:type="dxa" w:w="8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SRQ1</w:t>
            </w:r>
          </w:p>
        </w:tc>
        <w:tc>
          <w:tcPr>
            <w:tcW w:type="dxa" w:w="27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Patient creates scoped, time-bound consent</w:t>
            </w:r>
          </w:p>
        </w:tc>
        <w:tc>
          <w:tcPr>
            <w:tcW w:type="dxa" w:w="2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Create Smart Consent Contract</w:t>
            </w:r>
          </w:p>
        </w:tc>
        <w:tc>
          <w:tcPr>
            <w:tcW w:type="dxa" w:w="23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Section 2; P1; Figure 4</w:t>
            </w:r>
          </w:p>
        </w:tc>
        <w:tc>
          <w:tcPr>
            <w:tcW w:type="dxa" w:w="1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Met</w:t>
            </w:r>
          </w:p>
        </w:tc>
      </w:tr>
      <w:tr>
        <w:tc>
          <w:tcPr>
            <w:tcW w:type="dxa" w:w="8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SRQ2</w:t>
            </w:r>
          </w:p>
        </w:tc>
        <w:tc>
          <w:tcPr>
            <w:tcW w:type="dxa" w:w="27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Guardians approve with verifiable signatures</w:t>
            </w:r>
          </w:p>
        </w:tc>
        <w:tc>
          <w:tcPr>
            <w:tcW w:type="dxa" w:w="2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Guardian Cryptographic Approval</w:t>
            </w:r>
          </w:p>
        </w:tc>
        <w:tc>
          <w:tcPr>
            <w:tcW w:type="dxa" w:w="23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Section 3; P2–P3; Table 5</w:t>
            </w:r>
          </w:p>
        </w:tc>
        <w:tc>
          <w:tcPr>
            <w:tcW w:type="dxa" w:w="1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Met (prototype key model)</w:t>
            </w:r>
          </w:p>
        </w:tc>
      </w:tr>
      <w:tr>
        <w:tc>
          <w:tcPr>
            <w:tcW w:type="dxa" w:w="8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SRQ3</w:t>
            </w:r>
          </w:p>
        </w:tc>
        <w:tc>
          <w:tcPr>
            <w:tcW w:type="dxa" w:w="27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Access only while consent is valid</w:t>
            </w:r>
          </w:p>
        </w:tc>
        <w:tc>
          <w:tcPr>
            <w:tcW w:type="dxa" w:w="2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Secure Patient Data Access</w:t>
            </w:r>
          </w:p>
        </w:tc>
        <w:tc>
          <w:tcPr>
            <w:tcW w:type="dxa" w:w="23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P4, N1, N2; Figure 7–Figure 10</w:t>
            </w:r>
          </w:p>
        </w:tc>
        <w:tc>
          <w:tcPr>
            <w:tcW w:type="dxa" w:w="1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Met</w:t>
            </w:r>
          </w:p>
        </w:tc>
      </w:tr>
      <w:tr>
        <w:tc>
          <w:tcPr>
            <w:tcW w:type="dxa" w:w="8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SRQ4</w:t>
            </w:r>
          </w:p>
        </w:tc>
        <w:tc>
          <w:tcPr>
            <w:tcW w:type="dxa" w:w="27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Access limited to authorised scope</w:t>
            </w:r>
          </w:p>
        </w:tc>
        <w:tc>
          <w:tcPr>
            <w:tcW w:type="dxa" w:w="2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Secure Patient Data Access</w:t>
            </w:r>
          </w:p>
        </w:tc>
        <w:tc>
          <w:tcPr>
            <w:tcW w:type="dxa" w:w="23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Section 4; N3; scope subset check</w:t>
            </w:r>
          </w:p>
        </w:tc>
        <w:tc>
          <w:tcPr>
            <w:tcW w:type="dxa" w:w="1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Met</w:t>
            </w:r>
          </w:p>
        </w:tc>
      </w:tr>
      <w:tr>
        <w:tc>
          <w:tcPr>
            <w:tcW w:type="dxa" w:w="8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SRQ5</w:t>
            </w:r>
          </w:p>
        </w:tc>
        <w:tc>
          <w:tcPr>
            <w:tcW w:type="dxa" w:w="27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Cryptographic verification before release</w:t>
            </w:r>
          </w:p>
        </w:tc>
        <w:tc>
          <w:tcPr>
            <w:tcW w:type="dxa" w:w="2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Secure Patient Data Access</w:t>
            </w:r>
          </w:p>
        </w:tc>
        <w:tc>
          <w:tcPr>
            <w:tcW w:type="dxa" w:w="23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Groth16 proof_mode in ledger; A3</w:t>
            </w:r>
          </w:p>
        </w:tc>
        <w:tc>
          <w:tcPr>
            <w:tcW w:type="dxa" w:w="1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Partly (Section 14)</w:t>
            </w:r>
          </w:p>
        </w:tc>
      </w:tr>
      <w:tr>
        <w:tc>
          <w:tcPr>
            <w:tcW w:type="dxa" w:w="8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SRQ6</w:t>
            </w:r>
          </w:p>
        </w:tc>
        <w:tc>
          <w:tcPr>
            <w:tcW w:type="dxa" w:w="27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Auditable, verifiable consent lifecycle</w:t>
            </w:r>
          </w:p>
        </w:tc>
        <w:tc>
          <w:tcPr>
            <w:tcW w:type="dxa" w:w="22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Auditor; verify_poc</w:t>
            </w:r>
          </w:p>
        </w:tc>
        <w:tc>
          <w:tcPr>
            <w:tcW w:type="dxa" w:w="23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Sections 7–9; P6; Table 4</w:t>
            </w:r>
          </w:p>
        </w:tc>
        <w:tc>
          <w:tcPr>
            <w:tcW w:type="dxa" w:w="13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6"/>
                <w:szCs w:val="16"/>
              </w:rPr>
              <w:t xml:space="preserve">Met</w:t>
            </w:r>
          </w:p>
        </w:tc>
      </w:tr>
    </w:tbl>
    <w:p>
      <w:pPr>
        <w:spacing w:after="120"/>
      </w:pPr>
    </w:p>
    <w:p>
      <w:pPr>
        <w:keepNext/>
        <w:spacing w:after="80" w:before="160"/>
      </w:pPr>
      <w:r>
        <w:rPr>
          <w:b/>
          <w:bCs/>
          <w:sz w:val="19"/>
          <w:szCs w:val="19"/>
        </w:rPr>
        <w:t xml:space="preserve">Table 11. </w:t>
      </w:r>
      <w:r>
        <w:rPr>
          <w:i/>
          <w:iCs/>
          <w:sz w:val="19"/>
          <w:szCs w:val="19"/>
        </w:rPr>
        <w:t xml:space="preserve">Framework components and their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HALAH framework component</w:t>
            </w:r>
          </w:p>
        </w:tc>
        <w:tc>
          <w:tcPr>
            <w:tcW w:type="dxa" w:w="360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Implementation</w:t>
            </w:r>
          </w:p>
        </w:tc>
        <w:tc>
          <w:tcPr>
            <w:tcW w:type="dxa" w:w="2760"/>
            <w:tcBorders>
              <w:top w:val="single" w:color="8EA9B8" w:sz="4"/>
              <w:left w:val="single" w:color="8EA9B8" w:sz="4"/>
              <w:bottom w:val="single" w:color="8EA9B8" w:sz="4"/>
              <w:right w:val="single" w:color="8EA9B8" w:sz="4"/>
            </w:tcBorders>
            <w:shd w:fill="0D3B4F" w:color="auto" w:val="clear"/>
            <w:tcMar>
              <w:top w:type="dxa" w:w="50"/>
              <w:left w:type="dxa" w:w="90"/>
              <w:bottom w:type="dxa" w:w="50"/>
              <w:right w:type="dxa" w:w="90"/>
            </w:tcMar>
          </w:tcPr>
          <w:p>
            <w:r>
              <w:rPr>
                <w:b/>
                <w:bCs/>
                <w:color w:val="FFFFFF"/>
                <w:sz w:val="18"/>
                <w:szCs w:val="18"/>
              </w:rPr>
              <w:t xml:space="preserve">Evidence</w:t>
            </w:r>
          </w:p>
        </w:tc>
      </w:tr>
      <w:tr>
        <w:tc>
          <w:tcPr>
            <w:tcW w:type="dxa" w:w="30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Consent object construction (C)</w:t>
            </w:r>
          </w:p>
        </w:tc>
        <w:tc>
          <w:tcPr>
            <w:tcW w:type="dxa" w:w="36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Create Smart Consent Contract</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Section 2, Table 2</w:t>
            </w:r>
          </w:p>
        </w:tc>
      </w:tr>
      <w:tr>
        <w:tc>
          <w:tcPr>
            <w:tcW w:type="dxa" w:w="30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Identity (VI)</w:t>
            </w:r>
          </w:p>
        </w:tc>
        <w:tc>
          <w:tcPr>
            <w:tcW w:type="dxa" w:w="36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DID checks and EIP-712 guardian signatures</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Section 3</w:t>
            </w:r>
          </w:p>
        </w:tc>
      </w:tr>
      <w:tr>
        <w:tc>
          <w:tcPr>
            <w:tcW w:type="dxa" w:w="30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Multi-party consent (A)</w:t>
            </w:r>
          </w:p>
        </w:tc>
        <w:tc>
          <w:tcPr>
            <w:tcW w:type="dxa" w:w="36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N-of-N guardian threshold (2 of 2 evaluated)</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Ledger 09:51:05 / 09:51:07</w:t>
            </w:r>
          </w:p>
        </w:tc>
      </w:tr>
      <w:tr>
        <w:tc>
          <w:tcPr>
            <w:tcW w:type="dxa" w:w="30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Consent activation</w:t>
            </w:r>
          </w:p>
        </w:tc>
        <w:tc>
          <w:tcPr>
            <w:tcW w:type="dxa" w:w="36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Soulbound token on Sepolia (ConsentSBTv3)</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Block 11,771,243</w:t>
            </w:r>
          </w:p>
        </w:tc>
      </w:tr>
      <w:tr>
        <w:tc>
          <w:tcPr>
            <w:tcW w:type="dxa" w:w="30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Purpose and scope (VP)</w:t>
            </w:r>
          </w:p>
        </w:tc>
        <w:tc>
          <w:tcPr>
            <w:tcW w:type="dxa" w:w="36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Permitted purposes; non-empty scope subset</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Section 4</w:t>
            </w:r>
          </w:p>
        </w:tc>
      </w:tr>
      <w:tr>
        <w:tc>
          <w:tcPr>
            <w:tcW w:type="dxa" w:w="30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Temporal validity (VT)</w:t>
            </w:r>
          </w:p>
        </w:tc>
        <w:tc>
          <w:tcPr>
            <w:tcW w:type="dxa" w:w="36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Local check; stored on-chain</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Table 3</w:t>
            </w:r>
          </w:p>
        </w:tc>
      </w:tr>
      <w:tr>
        <w:tc>
          <w:tcPr>
            <w:tcW w:type="dxa" w:w="30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Jurisdiction (VL)</w:t>
            </w:r>
          </w:p>
        </w:tc>
        <w:tc>
          <w:tcPr>
            <w:tcW w:type="dxa" w:w="36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Enforced in ALLOW; stored on-chain</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Section 5</w:t>
            </w:r>
          </w:p>
        </w:tc>
      </w:tr>
      <w:tr>
        <w:tc>
          <w:tcPr>
            <w:tcW w:type="dxa" w:w="30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Enforcement / revocation (E)</w:t>
            </w:r>
          </w:p>
        </w:tc>
        <w:tc>
          <w:tcPr>
            <w:tcW w:type="dxa" w:w="36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Local state and on-chain revoke()</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Block 11,771,307</w:t>
            </w:r>
          </w:p>
        </w:tc>
      </w:tr>
      <w:tr>
        <w:tc>
          <w:tcPr>
            <w:tcW w:type="dxa" w:w="30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Traceability and accountability</w:t>
            </w:r>
          </w:p>
        </w:tc>
        <w:tc>
          <w:tcPr>
            <w:tcW w:type="dxa" w:w="36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Auditor lifecycle, detailed records, ledger</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Sections 7–8</w:t>
            </w:r>
          </w:p>
        </w:tc>
      </w:tr>
      <w:tr>
        <w:tc>
          <w:tcPr>
            <w:tcW w:type="dxa" w:w="30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Ledger integrity</w:t>
            </w:r>
          </w:p>
        </w:tc>
        <w:tc>
          <w:tcPr>
            <w:tcW w:type="dxa" w:w="360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Independent verification of on-chain events</w:t>
            </w:r>
          </w:p>
        </w:tc>
        <w:tc>
          <w:tcPr>
            <w:tcW w:type="dxa" w:w="2760"/>
            <w:tcBorders>
              <w:top w:val="single" w:color="8EA9B8" w:sz="4"/>
              <w:left w:val="single" w:color="8EA9B8" w:sz="4"/>
              <w:bottom w:val="single" w:color="8EA9B8" w:sz="4"/>
              <w:right w:val="single" w:color="8EA9B8" w:sz="4"/>
            </w:tcBorders>
            <w:tcMar>
              <w:top w:type="dxa" w:w="50"/>
              <w:left w:type="dxa" w:w="90"/>
              <w:bottom w:type="dxa" w:w="50"/>
              <w:right w:type="dxa" w:w="90"/>
            </w:tcMar>
          </w:tcPr>
          <w:p>
            <w:r>
              <w:rPr>
                <w:sz w:val="18"/>
                <w:szCs w:val="18"/>
              </w:rPr>
              <w:t xml:space="preserve">Section 9</w:t>
            </w:r>
          </w:p>
        </w:tc>
      </w:tr>
    </w:tbl>
    <w:p>
      <w:pPr>
        <w:spacing w:after="120"/>
      </w:pPr>
    </w:p>
    <w:p>
      <w:pPr>
        <w:pStyle w:val="Heading1"/>
        <w:spacing w:after="140" w:before="320"/>
      </w:pPr>
      <w:r>
        <w:t xml:space="preserve">14. Discussion and Limitations</w:t>
      </w:r>
    </w:p>
    <w:p>
      <w:pPr>
        <w:spacing w:after="120" w:line="276"/>
        <w:jc w:val="both"/>
      </w:pPr>
      <w:r>
        <w:t xml:space="preserve">The evaluation shows that the HALAH workflow operates end-to-end on a public network and that its principal decision rules, including a fail-closed refusal and an on-chain revocation, behave as specified. It also exposes the boundary between what the prototype demonstrates and what a deployment would require:</w:t>
      </w:r>
    </w:p>
    <w:p>
      <w:pPr>
        <w:pStyle w:val="ListParagraph"/>
        <w:numPr>
          <w:ilvl w:val="0"/>
          <w:numId w:val="2"/>
        </w:numPr>
        <w:spacing w:after="60" w:line="276"/>
        <w:jc w:val="both"/>
      </w:pPr>
      <w:r>
        <w:rPr>
          <w:b/>
          <w:bCs/>
        </w:rPr>
        <w:t xml:space="preserve">Trusted operator.</w:t>
      </w:r>
      <w:r>
        <w:t xml:space="preserve"> One application server holds the owner key, derives the guardian keys, generates and verifies the ZK proof and keeps the ledger. The blockchain provides public, timestamped evidence of activation and revocation, not decentralised enforcement.</w:t>
      </w:r>
    </w:p>
    <w:p>
      <w:pPr>
        <w:pStyle w:val="ListParagraph"/>
        <w:numPr>
          <w:ilvl w:val="0"/>
          <w:numId w:val="2"/>
        </w:numPr>
        <w:spacing w:after="60" w:line="276"/>
        <w:jc w:val="both"/>
      </w:pPr>
      <w:r>
        <w:rPr>
          <w:b/>
          <w:bCs/>
        </w:rPr>
        <w:t xml:space="preserve">Guardian keys.</w:t>
      </w:r>
      <w:r>
        <w:t xml:space="preserve"> The EIP-712 message format is final, but the expected signer is derived from the guardian DID with a public constant, so anyone who knows a guardian DID could produce a valid approval. Production use requires a DID-to-address registry (DID documents or verifiable credentials) and wallet-held keys.</w:t>
      </w:r>
    </w:p>
    <w:p>
      <w:pPr>
        <w:pStyle w:val="ListParagraph"/>
        <w:numPr>
          <w:ilvl w:val="0"/>
          <w:numId w:val="2"/>
        </w:numPr>
        <w:spacing w:after="60" w:line="276"/>
        <w:jc w:val="both"/>
      </w:pPr>
      <w:r>
        <w:rPr>
          <w:b/>
          <w:bCs/>
        </w:rPr>
        <w:t xml:space="preserve">Requester authentication.</w:t>
      </w:r>
      <w:r>
        <w:t xml:space="preserve"> The doctor role and jurisdiction are self-declared in the interface. A signed request or verifiable credential is required before deployment.</w:t>
      </w:r>
    </w:p>
    <w:p>
      <w:pPr>
        <w:pStyle w:val="ListParagraph"/>
        <w:numPr>
          <w:ilvl w:val="0"/>
          <w:numId w:val="2"/>
        </w:numPr>
        <w:spacing w:after="60" w:line="276"/>
        <w:jc w:val="both"/>
      </w:pPr>
      <w:r>
        <w:rPr>
          <w:b/>
          <w:bCs/>
        </w:rPr>
        <w:t xml:space="preserve">Zero-knowledge proof.</w:t>
      </w:r>
      <w:r>
        <w:t xml:space="preserve"> The Groth16 circuit is integrated and verified, but prover and verifier are the same server, the commitment is not anchored on-chain and the expiry is public. The proof therefore adds no privacy guarantee yet; anchoring the commitment and moving proof generation to the requester is future work.</w:t>
      </w:r>
    </w:p>
    <w:p>
      <w:pPr>
        <w:pStyle w:val="ListParagraph"/>
        <w:numPr>
          <w:ilvl w:val="0"/>
          <w:numId w:val="2"/>
        </w:numPr>
        <w:spacing w:after="60" w:line="276"/>
        <w:jc w:val="both"/>
      </w:pPr>
      <w:r>
        <w:rPr>
          <w:b/>
          <w:bCs/>
        </w:rPr>
        <w:t xml:space="preserve">On-chain metadata.</w:t>
      </w:r>
      <w:r>
        <w:t xml:space="preserve"> No EMR content is stored on-chain, but the purpose (visible in calldata), jurisdiction, validity window, event timing and stable patient/requester pseudonyms are public. Under GDPR Art. 4(5) and the Australian Privacy Act such pseudonymous data is likely still personal information; salted per-consent identifiers are recommended.</w:t>
      </w:r>
    </w:p>
    <w:p>
      <w:pPr>
        <w:pStyle w:val="ListParagraph"/>
        <w:numPr>
          <w:ilvl w:val="0"/>
          <w:numId w:val="2"/>
        </w:numPr>
        <w:spacing w:after="60" w:line="276"/>
        <w:jc w:val="both"/>
      </w:pPr>
      <w:r>
        <w:rPr>
          <w:b/>
          <w:bCs/>
        </w:rPr>
        <w:t xml:space="preserve">Decision source and revocation.</w:t>
      </w:r>
      <w:r>
        <w:t xml:space="preserve"> Access decisions use the application's local state rather than querying </w:t>
      </w:r>
      <w:r>
        <w:rPr>
          <w:rFonts w:ascii="Consolas" w:cs="Consolas" w:eastAsia="Consolas" w:hAnsi="Consolas"/>
          <w:sz w:val="19"/>
          <w:szCs w:val="19"/>
        </w:rPr>
        <w:t xml:space="preserve">checkValid</w:t>
      </w:r>
      <w:r>
        <w:t xml:space="preserve"> at access time; revocation is relayed by the issuer and cannot recall data already released.</w:t>
      </w:r>
    </w:p>
    <w:p>
      <w:pPr>
        <w:pStyle w:val="ListParagraph"/>
        <w:numPr>
          <w:ilvl w:val="0"/>
          <w:numId w:val="2"/>
        </w:numPr>
        <w:spacing w:after="60" w:line="276"/>
        <w:jc w:val="both"/>
      </w:pPr>
      <w:r>
        <w:rPr>
          <w:b/>
          <w:bCs/>
        </w:rPr>
        <w:t xml:space="preserve">Ledger integrity.</w:t>
      </w:r>
      <w:r>
        <w:t xml:space="preserve"> Off-chain events carry independent digests rather than a hash chain; periodic anchoring of a Merkle root of the ledger would make them tamper-evident.</w:t>
      </w:r>
    </w:p>
    <w:p>
      <w:pPr>
        <w:pStyle w:val="ListParagraph"/>
        <w:numPr>
          <w:ilvl w:val="0"/>
          <w:numId w:val="2"/>
        </w:numPr>
        <w:spacing w:after="60" w:line="276"/>
        <w:jc w:val="both"/>
      </w:pPr>
      <w:r>
        <w:rPr>
          <w:b/>
          <w:bCs/>
        </w:rPr>
        <w:t xml:space="preserve">Scope of the evaluation.</w:t>
      </w:r>
      <w:r>
        <w:t xml:space="preserve"> One lifecycle on a testnet with synthetic Synthea data (three files partially corrupted and pending re-export), a fixed purpose, and N-of-N guardians. The results demonstrate functional correctness, not performance or scalability.</w:t>
      </w:r>
    </w:p>
    <w:p>
      <w:pPr>
        <w:pStyle w:val="Heading1"/>
        <w:spacing w:after="140" w:before="320"/>
      </w:pPr>
      <w:r>
        <w:t xml:space="preserve">15. Conclusion</w:t>
      </w:r>
    </w:p>
    <w:p>
      <w:pPr>
        <w:spacing w:after="120" w:line="276"/>
        <w:jc w:val="both"/>
      </w:pPr>
      <w:r>
        <w:t xml:space="preserve">Taken together, the subsystems demonstrate an end-to-end implementation of the HALAH authorisation workflow on Ethereum Sepolia. The patient defines the consent conditions; two guardians approve with verifiable signatures; the consent is anchored as a soulbound token; each access request is evaluated against every component of the consent tuple; an out-of-jurisdiction request is refused; the patient revokes the consent on-chain; and the recorded lifecycle is re-verified independently against the chain.</w:t>
      </w:r>
    </w:p>
    <w:p>
      <w:pPr>
        <w:spacing w:after="140" w:before="80"/>
        <w:jc w:val="center"/>
      </w:pPr>
      <m:oMath>
        <m:r>
          <m:t>C → MS → SBT_chain → Decision(VI ∧ VA ∧ VP ∧ VT ∧ VL) → EMR → Revoke_chain → Audit → Verify</m:t>
        </m:r>
      </m:oMath>
    </w:p>
    <w:p>
      <w:pPr>
        <w:spacing w:after="120" w:line="276"/>
        <w:jc w:val="both"/>
      </w:pPr>
      <w:r>
        <w:t xml:space="preserve">From a research-implementation perspective, the main contribution of version 1.2 is the continuity between consent specification, multi-party authorisation, public activation and revocation, full-tuple enforcement and independently verifiable audit evidence. The limitations identified in Section 14 define the next steps: wallet-held guardian keys with a DID registry, authenticated requesters, an on-chain commitment for the zero-knowledge proof, chain-queried access decisions and a hash-chained ledger.</w:t>
      </w:r>
    </w:p>
    <w:p>
      <w:pPr>
        <w:pStyle w:val="Heading1"/>
        <w:spacing w:after="140" w:before="320"/>
      </w:pPr>
      <w:r>
        <w:t xml:space="preserve">References</w:t>
      </w:r>
    </w:p>
    <w:p>
      <w:pPr>
        <w:spacing w:after="80"/>
        <w:ind w:left="360" w:hanging="360"/>
      </w:pPr>
      <w:r>
        <w:rPr>
          <w:sz w:val="19"/>
          <w:szCs w:val="19"/>
        </w:rPr>
        <w:t xml:space="preserve">Bloemen, R., Logvinov, L. and Evans, J. (2017) EIP-712: Typed structured data hashing and signing. Ethereum Improvement Proposals.</w:t>
      </w:r>
    </w:p>
    <w:p>
      <w:pPr>
        <w:spacing w:after="80"/>
        <w:ind w:left="360" w:hanging="360"/>
      </w:pPr>
      <w:r>
        <w:rPr>
          <w:sz w:val="19"/>
          <w:szCs w:val="19"/>
        </w:rPr>
        <w:t xml:space="preserve">Entriken, W., Shirley, D., Evans, J. and Sachs, N. (2018) ERC-721: Non-Fungible Token Standard. Ethereum Improvement Proposals.</w:t>
      </w:r>
    </w:p>
    <w:p>
      <w:pPr>
        <w:spacing w:after="80"/>
        <w:ind w:left="360" w:hanging="360"/>
      </w:pPr>
      <w:r>
        <w:rPr>
          <w:sz w:val="19"/>
          <w:szCs w:val="19"/>
        </w:rPr>
        <w:t xml:space="preserve">Cai, B. (2022) ERC-5484: Consensual Soulbound Tokens. Ethereum Improvement Proposals.</w:t>
      </w:r>
    </w:p>
    <w:p>
      <w:pPr>
        <w:spacing w:after="80"/>
        <w:ind w:left="360" w:hanging="360"/>
      </w:pPr>
      <w:r>
        <w:rPr>
          <w:sz w:val="19"/>
          <w:szCs w:val="19"/>
        </w:rPr>
        <w:t xml:space="preserve">Groth, J. (2016) 'On the size of pairing-based non-interactive arguments', EUROCRYPT 2016, LNCS 9666, pp. 305–326.</w:t>
      </w:r>
    </w:p>
    <w:p>
      <w:pPr>
        <w:spacing w:after="80"/>
        <w:ind w:left="360" w:hanging="360"/>
      </w:pPr>
      <w:r>
        <w:rPr>
          <w:sz w:val="19"/>
          <w:szCs w:val="19"/>
        </w:rPr>
        <w:t xml:space="preserve">Grassi, L. et al. (2021) 'Poseidon: A new hash function for zero-knowledge proof systems', USENIX Security 2021.</w:t>
      </w:r>
    </w:p>
    <w:p>
      <w:pPr>
        <w:spacing w:after="80"/>
        <w:ind w:left="360" w:hanging="360"/>
      </w:pPr>
      <w:r>
        <w:rPr>
          <w:sz w:val="19"/>
          <w:szCs w:val="19"/>
        </w:rPr>
        <w:t xml:space="preserve">Walonoski, J. et al. (2018) 'Synthea: An approach, method, and software mechanism for generating synthetic patients and the synthetic electronic health care record', JAMIA, 25(3), pp. 230–238.</w:t>
      </w:r>
    </w:p>
    <w:p>
      <w:pPr>
        <w:spacing w:after="80"/>
        <w:ind w:left="360" w:hanging="360"/>
      </w:pPr>
      <w:r>
        <w:rPr>
          <w:sz w:val="19"/>
          <w:szCs w:val="19"/>
        </w:rPr>
        <w:t xml:space="preserve">W3C (2022) Decentralized Identifiers (DIDs) v1.0. W3C Recommendation.</w:t>
      </w:r>
    </w:p>
    <w:p>
      <w:r>
        <w:br w:type="page"/>
      </w:r>
    </w:p>
    <w:p>
      <w:pPr>
        <w:pStyle w:val="Heading1"/>
        <w:spacing w:after="140" w:before="320"/>
      </w:pPr>
      <w:r>
        <w:t xml:space="preserve">Appendix A. Verification Links</w:t>
      </w:r>
    </w:p>
    <w:p>
      <w:pPr>
        <w:spacing w:after="120" w:line="276"/>
        <w:jc w:val="left"/>
      </w:pPr>
      <w:r>
        <w:t xml:space="preserve">Contract: </w:t>
      </w:r>
      <w:hyperlink w:history="1" r:id="rId_qum0sz39sh0gvm1t6xsq">
        <w:r>
          <w:rPr>
            <w:rStyle w:val="Hyperlink"/>
          </w:rPr>
          <w:t xml:space="preserve">https://sepolia.etherscan.io/address/0x0EC3617581DEC63A7f2bb162DC14d088916ADc73</w:t>
        </w:r>
      </w:hyperlink>
    </w:p>
    <w:p>
      <w:pPr>
        <w:spacing w:after="120" w:line="276"/>
        <w:jc w:val="left"/>
      </w:pPr>
      <w:r>
        <w:t xml:space="preserve">Mint of token #1: </w:t>
      </w:r>
      <w:hyperlink w:history="1" r:id="rIdhro8za36u5cfui7f1mbfx">
        <w:r>
          <w:rPr>
            <w:rStyle w:val="Hyperlink"/>
          </w:rPr>
          <w:t xml:space="preserve">https://sepolia.etherscan.io/tx/0x8be1b99e9b7054d427bdee0a0b5cc56ae99030a399f4b11d3629ed5d98daf13d</w:t>
        </w:r>
      </w:hyperlink>
    </w:p>
    <w:p>
      <w:pPr>
        <w:spacing w:after="120" w:line="276"/>
        <w:jc w:val="left"/>
      </w:pPr>
      <w:r>
        <w:t xml:space="preserve">Revocation of token #1: </w:t>
      </w:r>
      <w:hyperlink w:history="1" r:id="rIdijzj5kq4rzhk9mty0rl7w">
        <w:r>
          <w:rPr>
            <w:rStyle w:val="Hyperlink"/>
          </w:rPr>
          <w:t xml:space="preserve">https://sepolia.etherscan.io/tx/0x017efb9dc6acad9733fa05c19408c0166c9c0645e83b6ffdc41c4b3b85ddceaa</w:t>
        </w:r>
      </w:hyperlink>
    </w:p>
    <w:p>
      <w:pPr>
        <w:spacing w:after="120" w:line="276"/>
        <w:jc w:val="both"/>
      </w:pPr>
      <w:r>
        <w:t xml:space="preserve">Full ledger export: </w:t>
      </w:r>
      <w:r>
        <w:rPr>
          <w:rFonts w:ascii="Consolas" w:cs="Consolas" w:eastAsia="Consolas" w:hAnsi="Consolas"/>
          <w:sz w:val="19"/>
          <w:szCs w:val="19"/>
        </w:rPr>
        <w:t xml:space="preserve">evidence/sepolia_audit_ledger_2026-09-24.csv</w:t>
      </w:r>
      <w:r>
        <w:t xml:space="preserve">; deployment and run record: </w:t>
      </w:r>
      <w:r>
        <w:rPr>
          <w:rFonts w:ascii="Consolas" w:cs="Consolas" w:eastAsia="Consolas" w:hAnsi="Consolas"/>
          <w:sz w:val="19"/>
          <w:szCs w:val="19"/>
        </w:rPr>
        <w:t xml:space="preserve">evidence/sepolia_deploy_v3_2026-09-24.txt</w:t>
      </w:r>
      <w:r>
        <w:t xml:space="preserve">.</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HALAH Implementation v1.2 (Sepolia)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0D3B4F"/>
      <w:sz w:val="28"/>
      <w:szCs w:val="28"/>
    </w:rPr>
  </w:style>
  <w:style w:type="paragraph" w:styleId="Heading2">
    <w:name w:val="Heading 2"/>
    <w:basedOn w:val="Normal"/>
    <w:next w:val="Normal"/>
    <w:qFormat/>
    <w:pPr>
      <w:keepNext/>
      <w:spacing w:after="100" w:before="200"/>
      <w:outlineLvl w:val="1"/>
    </w:pPr>
    <w:rPr>
      <w:rFonts w:ascii="Arial" w:cs="Arial" w:eastAsia="Arial" w:hAnsi="Arial"/>
      <w:b/>
      <w:bCs/>
      <w:color w:val="1F6F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v9zjp0pd1e0dsgza0mao" Type="http://schemas.openxmlformats.org/officeDocument/2006/relationships/hyperlink" Target="https://sepolia.etherscan.io/address/0x0EC3617581DEC63A7f2bb162DC14d088916ADc73" TargetMode="External"/><Relationship Id="rIdhuwrwfvqv9oqikyojrlid" Type="http://schemas.openxmlformats.org/officeDocument/2006/relationships/hyperlink" Target="https://sepolia.etherscan.io/tx/0x8be1b99e9b7054d427bdee0a0b5cc56ae99030a399f4b11d3629ed5d98daf13d" TargetMode="External"/><Relationship Id="rIdwixhlenshuf3nfb6rsqli" Type="http://schemas.openxmlformats.org/officeDocument/2006/relationships/hyperlink" Target="https://sepolia.etherscan.io/tx/0x017efb9dc6acad9733fa05c19408c0166c9c0645e83b6ffdc41c4b3b85ddceaa" TargetMode="External"/><Relationship Id="rId_qum0sz39sh0gvm1t6xsq" Type="http://schemas.openxmlformats.org/officeDocument/2006/relationships/hyperlink" Target="https://sepolia.etherscan.io/address/0x0EC3617581DEC63A7f2bb162DC14d088916ADc73" TargetMode="External"/><Relationship Id="rIdhro8za36u5cfui7f1mbfx" Type="http://schemas.openxmlformats.org/officeDocument/2006/relationships/hyperlink" Target="https://sepolia.etherscan.io/tx/0x8be1b99e9b7054d427bdee0a0b5cc56ae99030a399f4b11d3629ed5d98daf13d" TargetMode="External"/><Relationship Id="rIdijzj5kq4rzhk9mty0rl7w" Type="http://schemas.openxmlformats.org/officeDocument/2006/relationships/hyperlink" Target="https://sepolia.etherscan.io/tx/0x017efb9dc6acad9733fa05c19408c0166c9c0645e83b6ffdc41c4b3b85ddceaa" TargetMode="External"/><Relationship Id="rId8" Type="http://schemas.openxmlformats.org/officeDocument/2006/relationships/image" Target="media/29a8d803374a279180f0fb7569fd71a96e4828cc.png"/><Relationship Id="rId9" Type="http://schemas.openxmlformats.org/officeDocument/2006/relationships/image" Target="media/0c260341434b1a3d96e8ec816e8fdf21bc280008.png"/><Relationship Id="rId10" Type="http://schemas.openxmlformats.org/officeDocument/2006/relationships/image" Target="media/e870385087f40ea533efd89b5ce442452aa25997.png"/><Relationship Id="rId11" Type="http://schemas.openxmlformats.org/officeDocument/2006/relationships/image" Target="media/3b43f208c34e619a9b1fcd7a8da9990014f117c8.png"/><Relationship Id="rId12" Type="http://schemas.openxmlformats.org/officeDocument/2006/relationships/image" Target="media/2c457950df74ec2eaa005838f859499748ecc10b.png"/><Relationship Id="rId13" Type="http://schemas.openxmlformats.org/officeDocument/2006/relationships/image" Target="media/dca988adf54061cfd18e3b65d04cc93b4c0821a5.png"/><Relationship Id="rId14" Type="http://schemas.openxmlformats.org/officeDocument/2006/relationships/image" Target="media/ced20419b26ad52dabc386ca8fa03e512cf67f8c.png"/><Relationship Id="rId15" Type="http://schemas.openxmlformats.org/officeDocument/2006/relationships/image" Target="media/31dcbc50059ae2791ce05a42c041185014378f3f.png"/><Relationship Id="rId16" Type="http://schemas.openxmlformats.org/officeDocument/2006/relationships/image" Target="media/8f7d48ee1d3a925ebd1d5709598063d3ff8e3925.png"/><Relationship Id="rId17" Type="http://schemas.openxmlformats.org/officeDocument/2006/relationships/image" Target="media/379af060121c595b8dab938b017503bf01d94543.png"/><Relationship Id="rId18" Type="http://schemas.openxmlformats.org/officeDocument/2006/relationships/image" Target="media/3a13ccfef28f9583bfb8ffa6fad6c0cd87ee4e3f.png"/><Relationship Id="rId19" Type="http://schemas.openxmlformats.org/officeDocument/2006/relationships/image" Target="media/c67c351664df141a74ad4841b37c3e4adf06cdc8.png"/><Relationship Id="rId20" Type="http://schemas.openxmlformats.org/officeDocument/2006/relationships/image" Target="media/0dab734b3591fc6e44f28d70c229863ac765dd6c.png"/><Relationship Id="rId21" Type="http://schemas.openxmlformats.org/officeDocument/2006/relationships/image" Target="media/77a7b903f3de550876bb41810cdf2d1e7c0ac7f2.png"/><Relationship Id="rId22" Type="http://schemas.openxmlformats.org/officeDocument/2006/relationships/image" Target="media/05da8f4effe706cf5aafdd89f16572da00d8acd2.png"/><Relationship Id="rId23" Type="http://schemas.openxmlformats.org/officeDocument/2006/relationships/image" Target="media/58570e6f5d0bd1d654dacfb8ebe11884d7e7bfa7.png"/><Relationship Id="rId24" Type="http://schemas.openxmlformats.org/officeDocument/2006/relationships/image" Target="media/29f70d6600aa4ddb3ce82994767322eb1518c20e.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HALAH Implementation v1.2 (Sepolia)</dc:title>
  <dc:creator>HALAH project team</dc:creator>
  <cp:lastModifiedBy>Un-named</cp:lastModifiedBy>
  <cp:revision>1</cp:revision>
  <dcterms:created xsi:type="dcterms:W3CDTF">2026-09-24T11:18:22.173Z</dcterms:created>
  <dcterms:modified xsi:type="dcterms:W3CDTF">2026-09-24T11:18:22.174Z</dcterms:modified>
</cp:coreProperties>
</file>

<file path=docProps/custom.xml><?xml version="1.0" encoding="utf-8"?>
<Properties xmlns="http://schemas.openxmlformats.org/officeDocument/2006/custom-properties" xmlns:vt="http://schemas.openxmlformats.org/officeDocument/2006/docPropsVTypes"/>
</file>