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35</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92</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142</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Three secondary studies [79, 80, 81] were also retained, but for background only. These three studies are not counted as primary evidence.</w:t>
      </w:r>
      <w:r>
        <w:rPr>
          <w:rFonts w:ascii="Cambria" w:cs="Cambria" w:eastAsia="Cambria" w:hAnsi="Cambria"/>
          <w:color w:val="000000"/>
          <w:sz w:val="24"/>
          <w:szCs w:val="24"/>
        </w:rPr>
        <w:t xml:space="preserv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000000"/>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850"/>
        <w:gridCol w:w="620"/>
        <w:gridCol w:w="3120"/>
        <w:gridCol w:w="1600"/>
        <w:gridCol w:w="135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8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8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w:t>
      </w:r>
      <w:r>
        <w:rPr>
          <w:rFonts w:ascii="Cambria" w:cs="Cambria" w:eastAsia="Cambria" w:hAnsi="Cambria"/>
          <w:color w:val="000000"/>
          <w:sz w:val="24"/>
          <w:szCs w:val="24"/>
        </w:rPr>
        <w:t xml:space="preserve">Following the synthesis rule ratified by the coding panel (D-166), 23 studies were classified as core and the remaining 21 as supporting. A study was classified as core when its full-text evidence contradicts, weakens or narrows the research gap. A study was also classified as core when it involves more than one authorising party (T3 graded Yes or Partial).</w:t>
      </w:r>
      <w:r>
        <w:rPr>
          <w:rFonts w:ascii="Cambria" w:cs="Cambria" w:eastAsia="Cambria" w:hAnsi="Cambria"/>
          <w:color w:val="000000"/>
          <w:sz w:val="24"/>
          <w:szCs w:val="24"/>
        </w:rPr>
        <w:t xml:space="preserve">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000000"/>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00"/>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w:t>
      </w:r>
      <w:r>
        <w:rPr>
          <w:rFonts w:ascii="Cambria" w:cs="Cambria" w:eastAsia="Cambria" w:hAnsi="Cambria"/>
          <w:color w:val="000000"/>
          <w:sz w:val="24"/>
          <w:szCs w:val="24"/>
        </w:rPr>
        <w:t xml:space="preserve">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44 included studies, T2 was graded Yes in only 10 studies and Partial in 34. That is, in more than three quarters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This is the only study among the 44 included studies in which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Req 5, which requires enforcement in the decision, is Yes in 8. Among the 25 analysed studies the corresponding counts are 8, 7 and 8, so that every study coded Yes on Req 5 belongs to the analysed set.</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w:t>
      </w:r>
      <w:r>
        <w:rPr>
          <w:rFonts w:ascii="Cambria" w:cs="Cambria" w:eastAsia="Cambria" w:hAnsi="Cambria"/>
          <w:color w:val="000000"/>
          <w:sz w:val="24"/>
          <w:szCs w:val="24"/>
        </w:rPr>
        <w:t xml:space="preserve">Two remaining studies among the 44 included studies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w:t>
      </w:r>
      <w:r>
        <w:rPr>
          <w:rFonts w:ascii="Cambria" w:cs="Cambria" w:eastAsia="Cambria" w:hAnsi="Cambria"/>
          <w:color w:val="000000"/>
          <w:sz w:val="24"/>
          <w:szCs w:val="24"/>
        </w:rPr>
        <w:t xml:space="preserve">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w:t>
      </w:r>
      <w:r>
        <w:rPr>
          <w:rFonts w:ascii="Cambria" w:cs="Cambria" w:eastAsia="Cambria" w:hAnsi="Cambria"/>
          <w:color w:val="000000"/>
          <w:sz w:val="24"/>
          <w:szCs w:val="24"/>
        </w:rPr>
        <w:t xml:space="preserve">The analysed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analysed studies, Req 2 by 7, Req 3 by 6, Req 4 by 10, Req 5 by 8 and Req 6 by 9. No requirement is unaddressed. However, none is met by a majority of the analysed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analysed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00"/>
          <w:sz w:val="24"/>
          <w:szCs w:val="24"/>
        </w:rPr>
        <w:t xml:space="preserve"> Across the corpus, the requirement that is most often satisfied is the representation of consent as an evaluable authorisation object (Req 1), which 14 studies satisfy fully and 30 satisfy in part. </w:t>
      </w:r>
      <w:r>
        <w:rPr>
          <w:rFonts w:ascii="Cambria" w:cs="Cambria" w:eastAsia="Cambria" w:hAnsi="Cambria"/>
          <w:color w:val="000000"/>
          <w:sz w:val="24"/>
          <w:szCs w:val="24"/>
        </w:rPr>
        <w:t xml:space="preserve">Policy- and context-aware enforcement (Req 4) is satisfied fully by 13 studies, in part by 25 and not at all by 6. Temporal validity and lifecycle control (Req 5) is satisfied fully by 8 studies, in part by 26 and not at all by 10.</w:t>
      </w:r>
      <w:r>
        <w:rPr>
          <w:rFonts w:ascii="Cambria" w:cs="Cambria" w:eastAsia="Cambria" w:hAnsi="Cambria"/>
          <w:color w:val="000000"/>
          <w:sz w:val="24"/>
          <w:szCs w:val="24"/>
        </w:rPr>
        <w:t xml:space="preserve">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000000"/>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00"/>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w:t>
      </w:r>
      <w:r>
        <w:rPr>
          <w:rFonts w:ascii="Cambria" w:cs="Cambria" w:eastAsia="Cambria" w:hAnsi="Cambria"/>
          <w:color w:val="000000"/>
          <w:sz w:val="24"/>
          <w:szCs w:val="24"/>
        </w:rPr>
        <w:t xml:space="preserve">A larger group of studies builds and measures a decision path without verifying a single authorisation decision [61, 35, 65, 72, 78, 36]. Sawant and Gomes [65] run the broadest measurement campaign in the corpus. They report no outcome for the access-control function that they formalise.</w:t>
      </w:r>
      <w:r>
        <w:rPr>
          <w:rFonts w:ascii="Cambria" w:cs="Cambria" w:eastAsia="Cambria" w:hAnsi="Cambria"/>
          <w:color w:val="000000"/>
          <w:sz w:val="24"/>
          <w:szCs w:val="24"/>
        </w:rPr>
        <w:t xml:space="preserve"> When the formal and empirical halves of Req 6 are combined, </w:t>
      </w:r>
      <w:r>
        <w:rPr>
          <w:rFonts w:ascii="Cambria" w:cs="Cambria" w:eastAsia="Cambria" w:hAnsi="Cambria"/>
          <w:color w:val="000000"/>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00"/>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7526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752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5334000" cy="77152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771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86be1e8b3adc79bdae602e0e0eeb3c738c4f87e6.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d910814a9f0f10351592810b41684941246d434e.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728d7314b75010a58aca72c5b0c6cb0cf5c01efb.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2026-09-30T08:50:04.890Z</dcterms:created>
  <dcterms:modified xsi:type="dcterms:W3CDTF">2026-09-30T08:50:04.890Z</dcterms:modified>
</cp:coreProperties>
</file>

<file path=docProps/custom.xml><?xml version="1.0" encoding="utf-8"?>
<Properties xmlns="http://schemas.openxmlformats.org/officeDocument/2006/custom-properties" xmlns:vt="http://schemas.openxmlformats.org/officeDocument/2006/docPropsVTypes"/>
</file>