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line="480" w:lineRule="auto"/>
        <w:jc w:val="center"/>
      </w:pPr>
      <w:r>
        <w:rPr>
          <w:b/>
          <w:bCs/>
          <w:sz w:val="40"/>
          <w:szCs w:val="40"/>
        </w:rPr>
        <w:t xml:space="preserve">A Trusted Authorization Framework for Multi-Party Patient Consent in Healthcare Data Sharing</w:t>
      </w:r>
    </w:p>
    <w:p>
      <w:pPr>
        <w:spacing w:after="80" w:before="400"/>
        <w:jc w:val="center"/>
      </w:pPr>
      <w:r>
        <w:rPr>
          <w:b/>
          <w:bCs/>
          <w:sz w:val="28"/>
          <w:szCs w:val="28"/>
        </w:rPr>
        <w:t xml:space="preserve">CA2 Progress Report</w:t>
      </w:r>
    </w:p>
    <w:p>
      <w:pPr>
        <w:spacing w:after="60"/>
        <w:jc w:val="center"/>
      </w:pPr>
      <w:r>
        <w:rPr>
          <w:b/>
          <w:bCs/>
          <w:i/>
          <w:iCs/>
          <w:sz w:val="24"/>
          <w:szCs w:val="24"/>
        </w:rPr>
        <w:t xml:space="preserve">Principl Supervisor: Professor Farookh Hussain</w:t>
      </w:r>
    </w:p>
    <w:p>
      <w:pPr>
        <w:spacing w:after="60"/>
        <w:jc w:val="center"/>
      </w:pPr>
      <w:r>
        <w:rPr>
          <w:b/>
          <w:bCs/>
          <w:i/>
          <w:iCs/>
          <w:sz w:val="24"/>
          <w:szCs w:val="24"/>
        </w:rPr>
        <w:t xml:space="preserve">Co-Supervisor: Dr. Firas Al-Doghman</w:t>
      </w:r>
    </w:p>
    <w:p>
      <w:pPr>
        <w:spacing w:after="60"/>
        <w:jc w:val="center"/>
      </w:pPr>
      <w:r>
        <w:rPr>
          <w:b/>
          <w:bCs/>
          <w:i/>
          <w:iCs/>
          <w:sz w:val="24"/>
          <w:szCs w:val="24"/>
        </w:rPr>
        <w:t xml:space="preserve">Presenter: Yasir Dhaifallah O Alyoubi</w:t>
      </w:r>
    </w:p>
    <w:p>
      <w:pPr>
        <w:spacing w:after="60"/>
        <w:jc w:val="center"/>
      </w:pPr>
      <w:r>
        <w:rPr>
          <w:b/>
          <w:bCs/>
          <w:i/>
          <w:iCs/>
          <w:sz w:val="24"/>
          <w:szCs w:val="24"/>
        </w:rPr>
        <w:t xml:space="preserve">STUDENT ID #:24724078</w:t>
      </w:r>
    </w:p>
    <w:p>
      <w:r>
        <w:br w:type="page"/>
      </w:r>
    </w:p>
    <w:p>
      <w:pPr>
        <w:spacing w:after="160"/>
      </w:pPr>
      <w:r>
        <w:rPr>
          <w:b/>
          <w:bCs/>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before="80"/>
      </w:pPr>
      <w:r>
        <w:rPr>
          <w:i/>
          <w:iCs/>
          <w:color w:val="888888"/>
          <w:sz w:val="16"/>
          <w:szCs w:val="16"/>
        </w:rPr>
        <w:t xml:space="preserve">(Right-click the table and choose Update Field in Word to refresh page numbers.)</w:t>
      </w:r>
    </w:p>
    <w:p>
      <w:r>
        <w:br w:type="page"/>
      </w:r>
    </w:p>
    <w:p>
      <w:pPr>
        <w:pStyle w:val="Heading1"/>
        <w:spacing w:after="180" w:before="340"/>
      </w:pPr>
      <w:r>
        <w:t xml:space="preserve">1. Introduction</w:t>
      </w:r>
    </w:p>
    <w:p>
      <w:pPr>
        <w:pStyle w:val="Heading2"/>
        <w:spacing w:after="120" w:before="240"/>
      </w:pPr>
      <w:r>
        <w:t xml:space="preserve">1.1 Research Context</w:t>
      </w:r>
    </w:p>
    <w:p>
      <w:pPr>
        <w:spacing w:after="160" w:line="300"/>
        <w:jc w:val="bot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60" w:line="300"/>
        <w:jc w:val="both"/>
      </w:pPr>
      <w: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[31, 14, 32].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pStyle w:val="Heading2"/>
        <w:spacing w:after="120" w:before="240"/>
      </w:pPr>
      <w:r>
        <w:t xml:space="preserve">1.2 Problem Statement</w:t>
      </w:r>
    </w:p>
    <w:p>
      <w:pPr>
        <w:spacing w:after="160" w:line="300"/>
        <w:jc w:val="bot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60" w:line="300"/>
        <w:jc w:val="both"/>
      </w:pPr>
      <w: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Heading2"/>
        <w:spacing w:after="120" w:before="240"/>
      </w:pPr>
      <w:r>
        <w:t xml:space="preserve">1.3 Research Motivation</w:t>
      </w:r>
    </w:p>
    <w:p>
      <w:pPr>
        <w:spacing w:after="160" w:line="300"/>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60" w:line="300"/>
        <w:jc w:val="both"/>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Heading1"/>
        <w:spacing w:after="180" w:before="340"/>
      </w:pPr>
      <w:r>
        <w:t xml:space="preserve">2. Systematic Literature Review</w:t>
      </w:r>
    </w:p>
    <w:p>
      <w:pPr>
        <w:pStyle w:val="Heading2"/>
        <w:spacing w:after="120" w:before="240"/>
      </w:pPr>
      <w:r>
        <w:t xml:space="preserve">2.1 Overview and Methodology</w:t>
      </w:r>
    </w:p>
    <w:p>
      <w:pPr>
        <w:spacing w:after="160" w:line="300"/>
        <w:jc w:val="bot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60" w:line="300"/>
        <w:jc w:val="both"/>
      </w:pPr>
      <w: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decentralised consent management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pStyle w:val="Heading2"/>
        <w:spacing w:after="120" w:before="240"/>
      </w:pPr>
      <w:r>
        <w:t xml:space="preserve">2.2 Synthesis of Findings</w:t>
      </w:r>
    </w:p>
    <w:p>
      <w:pPr>
        <w:spacing w:after="160" w:line="300"/>
        <w:jc w:val="bot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spacing w:after="160" w:line="300"/>
        <w:jc w:val="both"/>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Heading2"/>
        <w:spacing w:after="120" w:before="240"/>
      </w:pPr>
      <w:r>
        <w:t xml:space="preserve">2.3 Gap Identified in the Literature</w:t>
      </w:r>
    </w:p>
    <w:p>
      <w:pPr>
        <w:spacing w:after="160" w:line="300"/>
        <w:jc w:val="bot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spacing w:after="160" w:line="300"/>
        <w:jc w:val="both"/>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Heading1"/>
        <w:spacing w:after="180" w:before="340"/>
      </w:pPr>
      <w:r>
        <w:t xml:space="preserve">3. Research Gaps &amp; Questions</w:t>
      </w:r>
    </w:p>
    <w:p>
      <w:pPr>
        <w:pStyle w:val="Heading2"/>
        <w:spacing w:after="120" w:before="240"/>
      </w:pPr>
      <w:r>
        <w:t xml:space="preserve">3.1 Research Gaps</w:t>
      </w:r>
    </w:p>
    <w:p>
      <w:pPr>
        <w:spacing w:after="160" w:line="300"/>
        <w:jc w:val="both"/>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Heading2"/>
        <w:spacing w:after="120" w:before="240"/>
      </w:pPr>
      <w:r>
        <w:t xml:space="preserve">3.2 Main Research Question</w:t>
      </w:r>
    </w:p>
    <w:p>
      <w:pPr>
        <w:spacing w:after="160" w:line="300"/>
        <w:jc w:val="both"/>
      </w:pPr>
      <w:r>
        <w:t xml:space="preserve">How can a trust-oriented computing framework establish and enforce trustworthy multi-party consent for decentralised healthcare data sharing under identity, authority, and policy constraints?</w:t>
      </w:r>
    </w:p>
    <w:p>
      <w:pPr>
        <w:pStyle w:val="Heading2"/>
        <w:spacing w:after="120" w:before="240"/>
      </w:pPr>
      <w:r>
        <w:t xml:space="preserve">3.3 Sub-Research Questions</w:t>
      </w:r>
    </w:p>
    <w:p>
      <w:pPr>
        <w:pStyle w:val="ListParagraph"/>
        <w:numPr>
          <w:ilvl w:val="0"/>
          <w:numId w:val="1"/>
        </w:numPr>
        <w:spacing w:after="80" w:line="288"/>
        <w:jc w:val="both"/>
      </w:pPr>
      <w:r>
        <w:rPr>
          <w:b/>
          <w:bCs/>
        </w:rPr>
        <w:t xml:space="preserve">SRQ1:</w:t>
      </w:r>
      <w:r>
        <w:t xml:space="preserve"> How can patient consent be modelled as a trust-aware authorisation object that explicitly represents identity, authority requirements, policy constraints, and authorisation evidence?</w:t>
      </w:r>
    </w:p>
    <w:p>
      <w:pPr>
        <w:pStyle w:val="ListParagraph"/>
        <w:numPr>
          <w:ilvl w:val="0"/>
          <w:numId w:val="1"/>
        </w:numPr>
        <w:spacing w:after="80" w:line="288"/>
        <w:jc w:val="both"/>
      </w:pPr>
      <w:r>
        <w:rPr>
          <w:b/>
          <w:bCs/>
        </w:rPr>
        <w:t xml:space="preserve">SRQ2:</w:t>
      </w:r>
      <w:r>
        <w:t xml:space="preserve"> How can decentralised identities and verifiable credentials establish trustworthy participants while explicitly separating identity authentication from authorisation authority?</w:t>
      </w:r>
    </w:p>
    <w:p>
      <w:pPr>
        <w:pStyle w:val="ListParagraph"/>
        <w:numPr>
          <w:ilvl w:val="0"/>
          <w:numId w:val="1"/>
        </w:numPr>
        <w:spacing w:after="80" w:line="288"/>
        <w:jc w:val="both"/>
      </w:pPr>
      <w:r>
        <w:rPr>
          <w:b/>
          <w:bCs/>
        </w:rPr>
        <w:t xml:space="preserve">SRQ3:</w:t>
      </w:r>
      <w:r>
        <w:t xml:space="preserve"> How can multiple independently verified participants jointly establish a trustworthy consent decision without allowing a single participant to unilaterally authorise sensitive healthcare data access?</w:t>
      </w:r>
    </w:p>
    <w:p>
      <w:pPr>
        <w:pStyle w:val="ListParagraph"/>
        <w:numPr>
          <w:ilvl w:val="0"/>
          <w:numId w:val="1"/>
        </w:numPr>
        <w:spacing w:after="80" w:line="288"/>
        <w:jc w:val="both"/>
      </w:pPr>
      <w:r>
        <w:rPr>
          <w:b/>
          <w:bCs/>
        </w:rPr>
        <w:t xml:space="preserve">SRQ4:</w:t>
      </w:r>
      <w:r>
        <w:t xml:space="preserve"> How can policy, purpose, and data-scope constraints be incorporated into authorisation decisions so that valid identities and sufficient approvals cannot be used to obtain unauthorised healthcare data?</w:t>
      </w:r>
    </w:p>
    <w:p>
      <w:pPr>
        <w:pStyle w:val="ListParagraph"/>
        <w:numPr>
          <w:ilvl w:val="0"/>
          <w:numId w:val="1"/>
        </w:numPr>
        <w:spacing w:after="80" w:line="288"/>
        <w:jc w:val="both"/>
      </w:pPr>
      <w:r>
        <w:rPr>
          <w:b/>
          <w:bCs/>
        </w:rPr>
        <w:t xml:space="preserve">SRQ5:</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pPr>
        <w:pStyle w:val="ListParagraph"/>
        <w:numPr>
          <w:ilvl w:val="0"/>
          <w:numId w:val="1"/>
        </w:numPr>
        <w:spacing w:after="80" w:line="288"/>
        <w:jc w:val="both"/>
      </w:pPr>
      <w:r>
        <w:rPr>
          <w:b/>
          <w:bCs/>
        </w:rPr>
        <w:t xml:space="preserve">SRQ6:</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Heading1"/>
        <w:spacing w:after="180" w:before="340"/>
      </w:pPr>
      <w:r>
        <w:t xml:space="preserve">4. Research Objectives</w:t>
      </w:r>
    </w:p>
    <w:p>
      <w:pPr>
        <w:pStyle w:val="ListParagraph"/>
        <w:numPr>
          <w:ilvl w:val="0"/>
          <w:numId w:val="1"/>
        </w:numPr>
        <w:spacing w:after="80" w:line="288"/>
        <w:jc w:val="both"/>
      </w:pPr>
      <w:r>
        <w:rPr>
          <w:b/>
          <w:bCs/>
        </w:rPr>
        <w:t xml:space="preserve">RO1 — Trust-Centric Consent Model:</w:t>
      </w:r>
      <w:r>
        <w:t xml:space="preserve"> 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ListParagraph"/>
        <w:numPr>
          <w:ilvl w:val="0"/>
          <w:numId w:val="1"/>
        </w:numPr>
        <w:spacing w:after="80" w:line="288"/>
        <w:jc w:val="both"/>
      </w:pPr>
      <w:r>
        <w:rPr>
          <w:b/>
          <w:bCs/>
        </w:rPr>
        <w:t xml:space="preserve">RO2 — Decentralised Identity and Authority Trust:</w:t>
      </w:r>
      <w:r>
        <w:t xml:space="preserve"> 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ListParagraph"/>
        <w:numPr>
          <w:ilvl w:val="0"/>
          <w:numId w:val="1"/>
        </w:numPr>
        <w:spacing w:after="80" w:line="288"/>
        <w:jc w:val="both"/>
      </w:pPr>
      <w:r>
        <w:rPr>
          <w:b/>
          <w:bCs/>
        </w:rPr>
        <w:t xml:space="preserve">RO3 — Trustworthy Multi-Party Authorisation:</w:t>
      </w:r>
      <w:r>
        <w:t xml:space="preserve"> The third research objective is to develop a threshold-based multi-party authorisation mechanism through which multiple independently verified participants can jointly establish a trustworthy consent decision.</w:t>
      </w:r>
    </w:p>
    <w:p>
      <w:pPr>
        <w:pStyle w:val="ListParagraph"/>
        <w:numPr>
          <w:ilvl w:val="0"/>
          <w:numId w:val="1"/>
        </w:numPr>
        <w:spacing w:after="80" w:line="288"/>
        <w:jc w:val="both"/>
      </w:pPr>
      <w:r>
        <w:rPr>
          <w:b/>
          <w:bCs/>
        </w:rPr>
        <w:t xml:space="preserve">RO4 — Policy- and Context-Aware Access Control:</w:t>
      </w:r>
      <w:r>
        <w:t xml:space="preserve"> The fourth research objective is to develop a policy-aware authorisation mechanism that evaluates the purpose and data scope of a requested operation against the constraints defined by the consent.</w:t>
      </w:r>
    </w:p>
    <w:p>
      <w:pPr>
        <w:pStyle w:val="ListParagraph"/>
        <w:numPr>
          <w:ilvl w:val="0"/>
          <w:numId w:val="1"/>
        </w:numPr>
        <w:spacing w:after="80" w:line="288"/>
        <w:jc w:val="both"/>
      </w:pPr>
      <w:r>
        <w:rPr>
          <w:b/>
          <w:bCs/>
        </w:rPr>
        <w:t xml:space="preserve">RO5 — Temporal and Lifecycle Trust:</w:t>
      </w:r>
      <w:r>
        <w:t xml:space="preserve"> 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ListParagraph"/>
        <w:numPr>
          <w:ilvl w:val="0"/>
          <w:numId w:val="1"/>
        </w:numPr>
        <w:spacing w:after="80" w:line="288"/>
        <w:jc w:val="both"/>
      </w:pPr>
      <w:r>
        <w:rPr>
          <w:b/>
          <w:bCs/>
        </w:rPr>
        <w:t xml:space="preserve">RO6 — Formal Security Assurance and Empirical Validation:</w:t>
      </w:r>
      <w:r>
        <w:t xml:space="preserve"> The sixth research objective is to formally analyse and empirically evaluate whether the implemented framework satisfies its defined trust and authorisation properties under representative healthcare data-sharing scenarios.</w:t>
      </w:r>
    </w:p>
    <w:p>
      <w:pPr>
        <w:pStyle w:val="Heading1"/>
        <w:spacing w:after="180" w:before="340"/>
      </w:pPr>
      <w:r>
        <w:t xml:space="preserve">5. Research Architecture: MVC</w:t>
      </w:r>
    </w:p>
    <w:p>
      <w:pPr>
        <w:spacing w:after="160" w:line="300"/>
        <w:jc w:val="bot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spacing w:after="160" w:line="300"/>
        <w:jc w:val="both"/>
      </w:pPr>
      <w:r>
        <w:t xml:space="preserve">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spacing w:after="160" w:line="300"/>
        <w:jc w:val="both"/>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spacing w:after="160" w:line="300"/>
        <w:jc w:val="both"/>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keepNext w:val="false"/>
        <w:spacing w:after="60" w:before="120"/>
        <w:jc w:val="center"/>
      </w:pPr>
      <w:r>
        <w:drawing>
          <wp:inline distT="0" distB="0" distL="0" distR="0">
            <wp:extent cx="5715000" cy="3990975"/>
            <wp:effectExtent t="0" r="0" b="0" l="0"/>
            <wp:docPr id="1" name="fig3" descr="fig3"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90975"/>
                    </a:xfrm>
                    <a:prstGeom prst="rect">
                      <a:avLst/>
                    </a:prstGeom>
                  </pic:spPr>
                </pic:pic>
              </a:graphicData>
            </a:graphic>
          </wp:inline>
        </w:drawing>
      </w:r>
    </w:p>
    <w:p>
      <w:pPr>
        <w:keepNext w:val="false"/>
        <w:spacing w:after="60" w:before="120"/>
        <w:jc w:val="center"/>
      </w:pPr>
      <w:r>
        <w:drawing>
          <wp:inline distT="0" distB="0" distL="0" distR="0">
            <wp:extent cx="5715000" cy="1266825"/>
            <wp:effectExtent t="0" r="0" b="0" l="0"/>
            <wp:docPr id="1" name="fig4" descr="fig4"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266825"/>
                    </a:xfrm>
                    <a:prstGeom prst="rect">
                      <a:avLst/>
                    </a:prstGeom>
                  </pic:spPr>
                </pic:pic>
              </a:graphicData>
            </a:graphic>
          </wp:inline>
        </w:drawing>
      </w:r>
    </w:p>
    <w:p>
      <w:pPr>
        <w:pStyle w:val="Heading1"/>
        <w:spacing w:after="180" w:before="340"/>
      </w:pPr>
      <w:r>
        <w:t xml:space="preserve">6. The Proposed Solution for RQ1</w:t>
      </w:r>
    </w:p>
    <w:p>
      <w:pPr>
        <w:spacing w:after="160" w:before="60"/>
      </w:pPr>
      <w:r>
        <w:rPr>
          <w:b/>
          <w:bCs/>
          <w:sz w:val="24"/>
          <w:szCs w:val="24"/>
        </w:rPr>
        <w:t xml:space="preserve">Status: </w:t>
      </w:r>
      <w:r>
        <w:rPr>
          <w:b/>
          <w:bCs/>
          <w:color w:val="1F7A1F"/>
          <w:sz w:val="24"/>
          <w:szCs w:val="24"/>
        </w:rPr>
        <w:t xml:space="preserve">Done</w:t>
      </w:r>
    </w:p>
    <w:p>
      <w:pPr>
        <w:spacing w:after="160" w:line="300"/>
        <w:jc w:val="both"/>
      </w:pPr>
      <w: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spacing w:after="160" w:before="80"/>
        <w:jc w:val="center"/>
      </w:pPr>
      <w:r>
        <w:rPr>
          <w:rFonts w:ascii="Cambria Math" w:cs="Cambria Math" w:eastAsia="Cambria Math" w:hAnsi="Cambria Math"/>
          <w:i/>
          <w:iCs/>
          <w:sz w:val="22"/>
          <w:szCs w:val="22"/>
        </w:rPr>
        <w:t xml:space="preserve">C = (I, A, P, E)</w:t>
      </w:r>
    </w:p>
    <w:p>
      <w:pPr>
        <w:spacing w:after="160" w:line="300"/>
        <w:jc w:val="both"/>
      </w:pPr>
      <w:r>
        <w:t xml:space="preserve">where I represents patient and participant identity information, A represents authorisation requirements, P represents policy constraints, and E 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spacing w:after="160" w:line="300"/>
        <w:jc w:val="both"/>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spacing w:after="160" w:line="300"/>
        <w:jc w:val="both"/>
      </w:pPr>
      <w:r>
        <w:t xml:space="preserve">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keepNext w:val="false"/>
        <w:spacing w:after="60" w:before="120"/>
        <w:jc w:val="center"/>
      </w:pPr>
      <w:r>
        <w:drawing>
          <wp:inline distT="0" distB="0" distL="0" distR="0">
            <wp:extent cx="5334000" cy="3505200"/>
            <wp:effectExtent t="0" r="0" b="0" l="0"/>
            <wp:docPr id="1" name="alg1" descr="alg1" title="al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05200"/>
                    </a:xfrm>
                    <a:prstGeom prst="rect">
                      <a:avLst/>
                    </a:prstGeom>
                  </pic:spPr>
                </pic:pic>
              </a:graphicData>
            </a:graphic>
          </wp:inline>
        </w:drawing>
      </w:r>
    </w:p>
    <w:p>
      <w:pPr>
        <w:keepNext/>
        <w:spacing w:after="60" w:before="120"/>
        <w:jc w:val="center"/>
      </w:pPr>
      <w:r>
        <w:drawing>
          <wp:inline distT="0" distB="0" distL="0" distR="0">
            <wp:extent cx="5334000" cy="3943350"/>
            <wp:effectExtent t="0" r="0" b="0" l="0"/>
            <wp:docPr id="1" name="M1" descr="The patient subsystem after consent creation: four EMR modules, two designated guardians, jurisdiction AU, and the state PENDING_SIGNATURE." title="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943350"/>
                    </a:xfrm>
                    <a:prstGeom prst="rect">
                      <a:avLst/>
                    </a:prstGeom>
                  </pic:spPr>
                </pic:pic>
              </a:graphicData>
            </a:graphic>
          </wp:inline>
        </w:drawing>
      </w:r>
    </w:p>
    <w:p>
      <w:pPr>
        <w:spacing w:after="180"/>
        <w:jc w:val="center"/>
      </w:pPr>
      <w:r>
        <w:rPr>
          <w:i/>
          <w:iCs/>
          <w:sz w:val="19"/>
          <w:szCs w:val="19"/>
        </w:rPr>
        <w:t xml:space="preserve">The patient subsystem after consent creation: four EMR modules, two designated guardians, jurisdiction AU, and the state PENDING_SIGNATURE.</w:t>
      </w:r>
    </w:p>
    <w:p>
      <w:pPr>
        <w:spacing w:after="160" w:line="300"/>
        <w:jc w:val="both"/>
      </w:pPr>
      <w: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line="300"/>
        <w:jc w:val="both"/>
      </w:pPr>
      <w: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pStyle w:val="Heading1"/>
        <w:spacing w:after="180" w:before="340"/>
      </w:pPr>
      <w:r>
        <w:t xml:space="preserve">7. The Proposed Solution for RQ2</w:t>
      </w:r>
    </w:p>
    <w:p>
      <w:pPr>
        <w:spacing w:after="160" w:before="60"/>
      </w:pPr>
      <w:r>
        <w:rPr>
          <w:b/>
          <w:bCs/>
          <w:sz w:val="24"/>
          <w:szCs w:val="24"/>
        </w:rPr>
        <w:t xml:space="preserve">Status: </w:t>
      </w:r>
      <w:r>
        <w:rPr>
          <w:b/>
          <w:bCs/>
          <w:color w:val="1F7A1F"/>
          <w:sz w:val="24"/>
          <w:szCs w:val="24"/>
        </w:rPr>
        <w:t xml:space="preserve">Done</w:t>
      </w:r>
    </w:p>
    <w:p>
      <w:pPr>
        <w:spacing w:after="160" w:line="300"/>
        <w:jc w:val="both"/>
      </w:pPr>
      <w: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60" w:before="80"/>
        <w:jc w:val="center"/>
      </w:pPr>
      <w:r>
        <w:rPr>
          <w:rFonts w:ascii="Cambria Math" w:cs="Cambria Math" w:eastAsia="Cambria Math" w:hAnsi="Cambria Math"/>
          <w:i/>
          <w:iCs/>
          <w:sz w:val="22"/>
          <w:szCs w:val="22"/>
        </w:rPr>
        <w:t xml:space="preserve">Identity ≠ Authorisation.</w:t>
      </w:r>
    </w:p>
    <w:p>
      <w:pPr>
        <w:spacing w:after="160" w:line="300"/>
        <w:jc w:val="both"/>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w:t>
      </w:r>
    </w:p>
    <w:p>
      <w:pPr>
        <w:spacing w:after="160" w:before="80"/>
        <w:jc w:val="center"/>
      </w:pPr>
      <w:r>
        <w:rPr>
          <w:rFonts w:ascii="Cambria Math" w:cs="Cambria Math" w:eastAsia="Cambria Math" w:hAnsi="Cambria Math"/>
          <w:i/>
          <w:iCs/>
          <w:sz w:val="22"/>
          <w:szCs w:val="22"/>
        </w:rPr>
        <w:t xml:space="preserve">Identity(u) ∧ CredentialValidity(u) ∧ Authority(u, C) ⇒ V_I(u) = VALID.</w:t>
      </w:r>
    </w:p>
    <w:p>
      <w:pPr>
        <w:spacing w:after="160" w:line="300"/>
        <w:jc w:val="bot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spacing w:after="160" w:line="300"/>
        <w:jc w:val="both"/>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keepNext w:val="false"/>
        <w:spacing w:after="60" w:before="120"/>
        <w:jc w:val="center"/>
      </w:pPr>
      <w:r>
        <w:drawing>
          <wp:inline distT="0" distB="0" distL="0" distR="0">
            <wp:extent cx="5334000" cy="3981450"/>
            <wp:effectExtent t="0" r="0" b="0" l="0"/>
            <wp:docPr id="1" name="alg2" descr="alg2" title="al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981450"/>
                    </a:xfrm>
                    <a:prstGeom prst="rect">
                      <a:avLst/>
                    </a:prstGeom>
                  </pic:spPr>
                </pic:pic>
              </a:graphicData>
            </a:graphic>
          </wp:inline>
        </w:drawing>
      </w:r>
    </w:p>
    <w:p>
      <w:pPr>
        <w:keepNext/>
        <w:spacing w:after="60" w:before="120"/>
        <w:jc w:val="center"/>
      </w:pPr>
      <w:r>
        <w:drawing>
          <wp:inline distT="0" distB="0" distL="0" distR="0">
            <wp:extent cx="5143500" cy="1847850"/>
            <wp:effectExtent t="0" r="0" b="0" l="0"/>
            <wp:docPr id="1" name="n_guardA" descr="The guardian subsystem at the first approval: the EIP-712 signature of did:parent:A is verified and the multi-signature count is 1/2." title="n_gua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847850"/>
                    </a:xfrm>
                    <a:prstGeom prst="rect">
                      <a:avLst/>
                    </a:prstGeom>
                  </pic:spPr>
                </pic:pic>
              </a:graphicData>
            </a:graphic>
          </wp:inline>
        </w:drawing>
      </w:r>
    </w:p>
    <w:p>
      <w:pPr>
        <w:spacing w:after="180"/>
        <w:jc w:val="center"/>
      </w:pPr>
      <w:r>
        <w:rPr>
          <w:i/>
          <w:iCs/>
          <w:sz w:val="19"/>
          <w:szCs w:val="19"/>
        </w:rPr>
        <w:t xml:space="preserve">The guardian subsystem at the first approval: the EIP-712 signature of did:parent:A is verified and the multi-signature count is 1/2.</w:t>
      </w:r>
    </w:p>
    <w:p>
      <w:pPr>
        <w:spacing w:after="160" w:line="300"/>
        <w:jc w:val="both"/>
      </w:pPr>
      <w: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spacing w:after="160" w:line="300"/>
        <w:jc w:val="both"/>
      </w:pPr>
      <w: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pStyle w:val="Heading1"/>
        <w:spacing w:after="180" w:before="340"/>
      </w:pPr>
      <w:r>
        <w:t xml:space="preserve">8. The Proposed Solution for RQ3</w:t>
      </w:r>
    </w:p>
    <w:p>
      <w:pPr>
        <w:spacing w:after="160" w:before="60"/>
      </w:pPr>
      <w:r>
        <w:rPr>
          <w:b/>
          <w:bCs/>
          <w:sz w:val="24"/>
          <w:szCs w:val="24"/>
        </w:rPr>
        <w:t xml:space="preserve">Status: </w:t>
      </w:r>
      <w:r>
        <w:rPr>
          <w:b/>
          <w:bCs/>
          <w:color w:val="1F7A1F"/>
          <w:sz w:val="24"/>
          <w:szCs w:val="24"/>
        </w:rPr>
        <w:t xml:space="preserve">Done</w:t>
      </w:r>
    </w:p>
    <w:p>
      <w:pPr>
        <w:spacing w:after="160" w:line="300"/>
        <w:jc w:val="both"/>
      </w:pPr>
      <w: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A_v denote the set of valid approvals and let N denote the required authorisation threshold. The threshold condition is defined as</w:t>
      </w:r>
    </w:p>
    <w:p>
      <w:pPr>
        <w:spacing w:after="160" w:before="80"/>
        <w:jc w:val="center"/>
      </w:pPr>
      <w:r>
        <w:rPr>
          <w:rFonts w:ascii="Cambria Math" w:cs="Cambria Math" w:eastAsia="Cambria Math" w:hAnsi="Cambria Math"/>
          <w:i/>
          <w:iCs/>
          <w:sz w:val="22"/>
          <w:szCs w:val="22"/>
        </w:rPr>
        <w:t xml:space="preserve">V_A(C) = 1, |A_v| ≥ N; 0, |A_v| &lt; N.</w:t>
      </w:r>
    </w:p>
    <w:p>
      <w:pPr>
        <w:spacing w:after="160" w:line="300"/>
        <w:jc w:val="both"/>
      </w:pPr>
      <w:r>
        <w:t xml:space="preserve">Algorithm 3 explicitly distinguishes between invalid, duplicate, and valid approvals. This distinction is important because simply counting submitted signatures could incorrectly treat unauthorised or repeated approvals as independent evidence.</w:t>
      </w:r>
    </w:p>
    <w:p>
      <w:pPr>
        <w:spacing w:after="160" w:line="300"/>
        <w:jc w:val="both"/>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keepNext w:val="false"/>
        <w:spacing w:after="60" w:before="120"/>
        <w:jc w:val="center"/>
      </w:pPr>
      <w:r>
        <w:drawing>
          <wp:inline distT="0" distB="0" distL="0" distR="0">
            <wp:extent cx="5334000" cy="4676775"/>
            <wp:effectExtent t="0" r="0" b="0" l="0"/>
            <wp:docPr id="1" name="alg3" descr="alg3" title="al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676775"/>
                    </a:xfrm>
                    <a:prstGeom prst="rect">
                      <a:avLst/>
                    </a:prstGeom>
                  </pic:spPr>
                </pic:pic>
              </a:graphicData>
            </a:graphic>
          </wp:inline>
        </w:drawing>
      </w:r>
    </w:p>
    <w:p>
      <w:pPr>
        <w:keepNext/>
        <w:spacing w:after="60" w:before="120"/>
        <w:jc w:val="center"/>
      </w:pPr>
      <w:r>
        <w:drawing>
          <wp:inline distT="0" distB="0" distL="0" distR="0">
            <wp:extent cx="5334000" cy="3133725"/>
            <wp:effectExtent t="0" r="0" b="0" l="0"/>
            <wp:docPr id="1" name="M2" descr="The guardian subsystem at the moment of the second approval: the EIP-712 signature is verified, the 2/2 threshold is reached, the SBT is minted in the local ledger and the Sepolia anchoring starts in the background." title="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33725"/>
                    </a:xfrm>
                    <a:prstGeom prst="rect">
                      <a:avLst/>
                    </a:prstGeom>
                  </pic:spPr>
                </pic:pic>
              </a:graphicData>
            </a:graphic>
          </wp:inline>
        </w:drawing>
      </w:r>
    </w:p>
    <w:p>
      <w:pPr>
        <w:spacing w:after="180"/>
        <w:jc w:val="center"/>
      </w:pPr>
      <w:r>
        <w:rPr>
          <w:i/>
          <w:iCs/>
          <w:sz w:val="19"/>
          <w:szCs w:val="19"/>
        </w:rPr>
        <w:t xml:space="preserve">The guardian subsystem at the moment of the second approval: the EIP-712 signature is verified, the 2/2 threshold is reached, the SBT is minted in the local ledger and the Sepolia anchoring starts in the background.</w:t>
      </w:r>
    </w:p>
    <w:p>
      <w:pPr>
        <w:spacing w:after="160" w:line="300"/>
        <w:jc w:val="both"/>
      </w:pPr>
      <w:r>
        <w:t xml:space="preserve">For the demonstrated two-guardian configuration, the approval process can also be represented as:</w:t>
      </w:r>
    </w:p>
    <w:p>
      <w:pPr>
        <w:spacing w:after="160" w:before="80"/>
        <w:jc w:val="center"/>
      </w:pPr>
      <w:r>
        <w:rPr>
          <w:rFonts w:ascii="Cambria Math" w:cs="Cambria Math" w:eastAsia="Cambria Math" w:hAnsi="Cambria Math"/>
          <w:i/>
          <w:iCs/>
          <w:sz w:val="22"/>
          <w:szCs w:val="22"/>
        </w:rPr>
        <w:t xml:space="preserve">Σ g∈G Sign(g, C) ≥ |G| = 2</w:t>
      </w:r>
    </w:p>
    <w:p>
      <w:pPr>
        <w:spacing w:after="160" w:line="300"/>
        <w:jc w:val="both"/>
      </w:pPr>
      <w: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20"/>
        <w:jc w:val="center"/>
      </w:pPr>
      <w:r>
        <w:drawing>
          <wp:inline distT="0" distB="0" distL="0" distR="0">
            <wp:extent cx="5715000" cy="4181475"/>
            <wp:effectExtent t="0" r="0" b="0" l="0"/>
            <wp:docPr id="1" name="M3" descr="The anchoring transaction of the evaluated consent on Sepolia Etherscan: status Success, block 11,771,243, 'Mint 1 of MedicalConsent' to the pseudonymous patient address (function selector 0x1e1e7c76, mintConsentV3)." title="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181475"/>
                    </a:xfrm>
                    <a:prstGeom prst="rect">
                      <a:avLst/>
                    </a:prstGeom>
                  </pic:spPr>
                </pic:pic>
              </a:graphicData>
            </a:graphic>
          </wp:inline>
        </w:drawing>
      </w:r>
    </w:p>
    <w:p>
      <w:pPr>
        <w:spacing w:after="180"/>
        <w:jc w:val="center"/>
      </w:pPr>
      <w:r>
        <w:rPr>
          <w:i/>
          <w:iCs/>
          <w:sz w:val="19"/>
          <w:szCs w:val="19"/>
        </w:rPr>
        <w:t xml:space="preserve">The anchoring transaction of the evaluated consent on Sepolia Etherscan: status Success, block 11,771,243, 'Mint 1 of MedicalConsent' to the pseudonymous patient address (function selector 0x1e1e7c76, mintConsentV3).</w:t>
      </w:r>
    </w:p>
    <w:p>
      <w:pPr>
        <w:spacing w:after="160" w:line="300"/>
        <w:jc w:val="both"/>
      </w:pPr>
      <w: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at [Etherscan: mint transaction](https://sepolia.etherscan.io/tx/0x8be1b99e9b7054d427bdee0a0b5cc56ae99030a399f4b11d3629ed5d98daf13d). This provides an implementation-level demonstration that consent activation can be verified independently of the application.</w:t>
      </w:r>
    </w:p>
    <w:p>
      <w:pPr>
        <w:pStyle w:val="Heading1"/>
        <w:spacing w:after="180" w:before="340"/>
      </w:pPr>
      <w:r>
        <w:t xml:space="preserve">9. The Proposed Solution for RQ4</w:t>
      </w:r>
    </w:p>
    <w:p>
      <w:pPr>
        <w:spacing w:after="160" w:before="60"/>
      </w:pPr>
      <w:r>
        <w:rPr>
          <w:b/>
          <w:bCs/>
          <w:sz w:val="24"/>
          <w:szCs w:val="24"/>
        </w:rPr>
        <w:t xml:space="preserve">Status: </w:t>
      </w:r>
      <w:r>
        <w:rPr>
          <w:b/>
          <w:bCs/>
          <w:color w:val="B00000"/>
          <w:sz w:val="24"/>
          <w:szCs w:val="24"/>
        </w:rPr>
        <w:t xml:space="preserve">Not Yet</w:t>
      </w:r>
    </w:p>
    <w:p>
      <w:pPr>
        <w:spacing w:after="160" w:line="300"/>
        <w:jc w:val="both"/>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pStyle w:val="Heading1"/>
        <w:spacing w:after="180" w:before="340"/>
      </w:pPr>
      <w:r>
        <w:t xml:space="preserve">10. The Proposed Solution for RQ5</w:t>
      </w:r>
    </w:p>
    <w:p>
      <w:pPr>
        <w:spacing w:after="160" w:before="60"/>
      </w:pPr>
      <w:r>
        <w:rPr>
          <w:b/>
          <w:bCs/>
          <w:sz w:val="24"/>
          <w:szCs w:val="24"/>
        </w:rPr>
        <w:t xml:space="preserve">Status: </w:t>
      </w:r>
      <w:r>
        <w:rPr>
          <w:b/>
          <w:bCs/>
          <w:color w:val="B00000"/>
          <w:sz w:val="24"/>
          <w:szCs w:val="24"/>
        </w:rPr>
        <w:t xml:space="preserve">Not Yet</w:t>
      </w:r>
    </w:p>
    <w:p>
      <w:pPr>
        <w:spacing w:after="160" w:line="300"/>
        <w:jc w:val="both"/>
      </w:pPr>
      <w:r>
        <w:t xml:space="preserve">The objective is to ensure that an authorisation remains valid only within its permitted time interval and lifecycle state, and that expiration, revocation, and unauthorised state transitions are correctly enforced. It will investigate how temporal and lifecycle conditions can be incorporated into the authorisation decision without weakening the trust relationships established by the current stage mechanisms.</w:t>
      </w:r>
    </w:p>
    <w:p>
      <w:pPr>
        <w:pStyle w:val="Heading1"/>
        <w:spacing w:after="180" w:before="340"/>
      </w:pPr>
      <w:r>
        <w:t xml:space="preserve">11. The Proposed Solution for RQ6</w:t>
      </w:r>
    </w:p>
    <w:p>
      <w:pPr>
        <w:spacing w:after="160" w:before="60"/>
      </w:pPr>
      <w:r>
        <w:rPr>
          <w:b/>
          <w:bCs/>
          <w:sz w:val="24"/>
          <w:szCs w:val="24"/>
        </w:rPr>
        <w:t xml:space="preserve">Status: </w:t>
      </w:r>
      <w:r>
        <w:rPr>
          <w:b/>
          <w:bCs/>
          <w:color w:val="946000"/>
          <w:sz w:val="24"/>
          <w:szCs w:val="24"/>
        </w:rPr>
        <w:t xml:space="preserve">Partially completed (for RQ1, RQ2, RQ3)</w:t>
      </w:r>
    </w:p>
    <w:p>
      <w:pPr>
        <w:keepNext/>
        <w:spacing w:after="60" w:before="120"/>
        <w:jc w:val="center"/>
      </w:pPr>
      <w:r>
        <w:drawing>
          <wp:inline distT="0" distB="0" distL="0" distR="0">
            <wp:extent cx="5334000" cy="4200525"/>
            <wp:effectExtent t="0" r="0" b="0" l="0"/>
            <wp:docPr id="1" name="g_doc_au" descr="The doctor subsystem with requester jurisdiction AU: the decision matrix reports PASS on every evaluated check, ALLOW = PASS, and the consent state is ACTIVE." title="g_doc_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200525"/>
                    </a:xfrm>
                    <a:prstGeom prst="rect">
                      <a:avLst/>
                    </a:prstGeom>
                  </pic:spPr>
                </pic:pic>
              </a:graphicData>
            </a:graphic>
          </wp:inline>
        </w:drawing>
      </w:r>
    </w:p>
    <w:p>
      <w:pPr>
        <w:spacing w:after="180"/>
        <w:jc w:val="center"/>
      </w:pPr>
      <w:r>
        <w:rPr>
          <w:i/>
          <w:iCs/>
          <w:sz w:val="19"/>
          <w:szCs w:val="19"/>
        </w:rPr>
        <w:t xml:space="preserve">The doctor subsystem with requester jurisdiction AU: the decision matrix reports PASS on every evaluated check, ALLOW = PASS, and the consent state is ACTIVE.</w:t>
      </w:r>
    </w:p>
    <w:p>
      <w:pPr>
        <w:spacing w:after="160" w:line="300"/>
        <w:jc w:val="both"/>
      </w:pPr>
      <w: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w:t>
      </w:r>
    </w:p>
    <w:p>
      <w:pPr>
        <w:keepNext/>
        <w:spacing w:after="60" w:before="120"/>
        <w:jc w:val="center"/>
      </w:pPr>
      <w:r>
        <w:drawing>
          <wp:inline distT="0" distB="0" distL="0" distR="0">
            <wp:extent cx="5334000" cy="6229350"/>
            <wp:effectExtent t="0" r="0" b="0" l="0"/>
            <wp:docPr id="1" name="M4" descr="The doctor subsystem after verification: access granted and the authorised medical records displayed per EMR module; the Observation module's Download CSV control is visible." title="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6229350"/>
                    </a:xfrm>
                    <a:prstGeom prst="rect">
                      <a:avLst/>
                    </a:prstGeom>
                  </pic:spPr>
                </pic:pic>
              </a:graphicData>
            </a:graphic>
          </wp:inline>
        </w:drawing>
      </w:r>
    </w:p>
    <w:p>
      <w:pPr>
        <w:spacing w:after="180"/>
        <w:jc w:val="center"/>
      </w:pPr>
      <w:r>
        <w:rPr>
          <w:i/>
          <w:iCs/>
          <w:sz w:val="19"/>
          <w:szCs w:val="19"/>
        </w:rPr>
        <w:t xml:space="preserve">The doctor subsystem after verification: access granted and the authorised medical records displayed per EMR module; the Observation module's Download CSV control is visible.</w:t>
      </w:r>
    </w:p>
    <w:p>
      <w:pPr>
        <w:keepNext/>
        <w:spacing w:after="60" w:before="120"/>
        <w:jc w:val="center"/>
      </w:pPr>
      <w:r>
        <w:drawing>
          <wp:inline distT="0" distB="0" distL="0" distR="0">
            <wp:extent cx="5715000" cy="3343275"/>
            <wp:effectExtent t="0" r="0" b="0" l="0"/>
            <wp:docPr id="1" name="M7" descr="The auditor subsystem with the evaluated consent selected: aggregate indicators and the Detailed Audit Records, in which the on-chain events carry their transaction hashes and block numbers." title="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43275"/>
                    </a:xfrm>
                    <a:prstGeom prst="rect">
                      <a:avLst/>
                    </a:prstGeom>
                  </pic:spPr>
                </pic:pic>
              </a:graphicData>
            </a:graphic>
          </wp:inline>
        </w:drawing>
      </w:r>
    </w:p>
    <w:p>
      <w:pPr>
        <w:spacing w:after="180"/>
        <w:jc w:val="center"/>
      </w:pPr>
      <w:r>
        <w:rPr>
          <w:i/>
          <w:iCs/>
          <w:sz w:val="19"/>
          <w:szCs w:val="19"/>
        </w:rPr>
        <w:t xml:space="preserve">The auditor subsystem with the evaluated consent selected: aggregate indicators and the Detailed Audit Records, in which the on-chain events carry their transaction hashes and block numbers.</w:t>
      </w:r>
    </w:p>
    <w:p>
      <w:pPr>
        <w:spacing w:after="160" w:line="300"/>
        <w:jc w:val="both"/>
      </w:pPr>
      <w:r>
        <w:t xml:space="preserve">As shown in the figure above, the system first provides aggregate indicators including: Total Events = 60 Consent Events = 8 Access Requests = 9 On-chain Anchors = 5. 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the nine access requests comprise the granted, refused and reproduced requests of the two lifecycles together with three granted requests recorded for the earlier trial consents.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keepNext/>
        <w:spacing w:after="60" w:before="120"/>
        <w:jc w:val="center"/>
      </w:pPr>
      <w:r>
        <w:drawing>
          <wp:inline distT="0" distB="0" distL="0" distR="0">
            <wp:extent cx="5334000" cy="1057275"/>
            <wp:effectExtent t="0" r="0" b="0" l="0"/>
            <wp:docPr id="1" name="M8" descr="The final verdict of the independent verification: RESULT: ALL CHECKS PASSED." title="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057275"/>
                    </a:xfrm>
                    <a:prstGeom prst="rect">
                      <a:avLst/>
                    </a:prstGeom>
                  </pic:spPr>
                </pic:pic>
              </a:graphicData>
            </a:graphic>
          </wp:inline>
        </w:drawing>
      </w:r>
    </w:p>
    <w:p>
      <w:pPr>
        <w:spacing w:after="180"/>
        <w:jc w:val="center"/>
      </w:pPr>
      <w:r>
        <w:rPr>
          <w:i/>
          <w:iCs/>
          <w:sz w:val="19"/>
          <w:szCs w:val="19"/>
        </w:rPr>
        <w:t xml:space="preserve">The final verdict of the independent verification: RESULT: ALL CHECKS PASSED.</w:t>
      </w:r>
    </w:p>
    <w:p>
      <w:pPr>
        <w:spacing w:after="160" w:line="300"/>
        <w:jc w:val="both"/>
      </w:pPr>
      <w: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pStyle w:val="Heading1"/>
        <w:spacing w:after="180" w:before="340"/>
      </w:pPr>
      <w:r>
        <w:t xml:space="preserve">12. Publications Summary</w:t>
      </w:r>
    </w:p>
    <w:p>
      <w:pPr>
        <w:pStyle w:val="ListParagraph"/>
        <w:numPr>
          <w:ilvl w:val="0"/>
          <w:numId w:val="1"/>
        </w:numPr>
        <w:spacing w:after="80" w:line="288"/>
        <w:jc w:val="both"/>
      </w:pPr>
      <w:r>
        <w:t xml:space="preserve">Trust-Centric Consent Framework (Model architecture and multi-party authorisation policies) / Elsevier/IEEE — Status: Almost Ready</w:t>
      </w:r>
    </w:p>
    <w:p>
      <w:pPr>
        <w:pStyle w:val="ListParagraph"/>
        <w:numPr>
          <w:ilvl w:val="0"/>
          <w:numId w:val="1"/>
        </w:numPr>
        <w:spacing w:after="80" w:line="288"/>
        <w:jc w:val="both"/>
      </w:pPr>
      <w:r>
        <w:t xml:space="preserve">HALAH Prototype &amp; Validation (Decentralised implementation and performance evaluation) / Systems / Security Conference — Status: In Progress</w:t>
      </w:r>
    </w:p>
    <w:p>
      <w:pPr>
        <w:pStyle w:val="ListParagraph"/>
        <w:numPr>
          <w:ilvl w:val="0"/>
          <w:numId w:val="1"/>
        </w:numPr>
        <w:spacing w:after="80" w:line="288"/>
        <w:jc w:val="both"/>
      </w:pPr>
      <w:r>
        <w:t xml:space="preserve">Formal Security &amp; Lifecycle Analysis (Verification of temporal constraints and state transitions) / Specialized Workshop / Journal — Status: Planned</w:t>
      </w:r>
    </w:p>
    <w:p>
      <w:pPr>
        <w:pStyle w:val="Heading1"/>
        <w:spacing w:after="180" w:before="340"/>
      </w:pPr>
      <w:r>
        <w:t xml:space="preserve">13. Research Plan</w:t>
      </w:r>
    </w:p>
    <w:p>
      <w:pPr>
        <w:spacing w:after="160" w:line="300"/>
        <w:jc w:val="bot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in which RO1, RO2, and RO3 have been implemented and initially validated through the HALAH prototype. RO4 represents the current transition towards policy-aware access control.</w:t>
      </w:r>
    </w:p>
    <w:p>
      <w:pPr>
        <w:spacing w:after="160" w:line="300"/>
        <w:jc w:val="both"/>
      </w:pPr>
      <w: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pStyle w:val="ListParagraph"/>
        <w:numPr>
          <w:ilvl w:val="0"/>
          <w:numId w:val="1"/>
        </w:numPr>
        <w:spacing w:after="80" w:line="288"/>
        <w:jc w:val="both"/>
      </w:pPr>
      <w:r>
        <w:t xml:space="preserve">Temporal and Lifecycle Trust (Dynamic Consent States): Extend the consent model to incorporate validity periods, dynamic expiration, immediate revocation, and controlled lifecycle transitions. Evaluate access decisions under varying temporal and consent-state constraints. — A robust, dynamic consent management mechanism capable of validating whether an authorisation remains active at the precise point of access.</w:t>
      </w:r>
    </w:p>
    <w:p>
      <w:pPr>
        <w:pStyle w:val="ListParagraph"/>
        <w:numPr>
          <w:ilvl w:val="0"/>
          <w:numId w:val="1"/>
        </w:numPr>
        <w:spacing w:after="80" w:line="288"/>
        <w:jc w:val="both"/>
      </w:pPr>
      <w:r>
        <w:t xml:space="preserve">Formal Security Assurance (Properties &amp; Verification): Formally define critical security properties and analyse system behaviour under adverse conditions, including invalid identities, insufficient multi-party approvals, policy violations, expired/revoked states, and illegal transitions. — A rigorous formal security model and verification proof establishing explicit security guarantees for the trust-oriented authorisation framework.</w:t>
      </w:r>
    </w:p>
    <w:p>
      <w:pPr>
        <w:pStyle w:val="ListParagraph"/>
        <w:numPr>
          <w:ilvl w:val="0"/>
          <w:numId w:val="1"/>
        </w:numPr>
        <w:spacing w:after="80" w:line="288"/>
        <w:jc w:val="both"/>
      </w:pPr>
      <w:r>
        <w:t xml:space="preserve">Comprehensive Empirical Validation (HALAH Prototype Scenarios): Scale and extend HALAH prototype experiments using representative positive and negative healthcare data-sharing scenarios. Measure and compare observed system runtime performance, overhead, and enforcement accuracy. — Empirical evidence and benchmark datasets demonstrating that the implementation consistently and efficiently enforces the proposed authorisation model.</w:t>
      </w:r>
    </w:p>
    <w:p>
      <w:pPr>
        <w:pStyle w:val="ListParagraph"/>
        <w:numPr>
          <w:ilvl w:val="0"/>
          <w:numId w:val="1"/>
        </w:numPr>
        <w:spacing w:after="80" w:line="288"/>
        <w:jc w:val="both"/>
      </w:pPr>
      <w:r>
        <w:t xml:space="preserve">Integrated Framework Evaluation (Synthesis &amp; End-to-End): Integrate temporal, lifecycle, formal verification, and empirical modules into a unified, cohesive framework. Evaluate cross-component interactions, scalability bottlenecks, and end-to-end feasibility in real-world settings. — A fully integrated, validated Trust Computing framework providing secure, multi-party patient consent and decentralised healthcare data sharing.</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A7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e97f4cfbb485b0c8ab4c968e1239fcbc901468.png"/><Relationship Id="rId9" Type="http://schemas.openxmlformats.org/officeDocument/2006/relationships/image" Target="media/441fc7bddeb451aac46384a251ec5dd02fe55bc6.png"/><Relationship Id="rId10" Type="http://schemas.openxmlformats.org/officeDocument/2006/relationships/image" Target="media/356299df035b82829551e82264672935f816f77f.png"/><Relationship Id="rId11" Type="http://schemas.openxmlformats.org/officeDocument/2006/relationships/image" Target="media/3b43f208c34e619a9b1fcd7a8da9990014f117c8.png"/><Relationship Id="rId12" Type="http://schemas.openxmlformats.org/officeDocument/2006/relationships/image" Target="media/48941ce17a32570017f2b563ec08f6d33da7cb56.png"/><Relationship Id="rId13" Type="http://schemas.openxmlformats.org/officeDocument/2006/relationships/image" Target="media/86a2658ddba90ee4c38a66206a6a68c15d95f581.png"/><Relationship Id="rId14" Type="http://schemas.openxmlformats.org/officeDocument/2006/relationships/image" Target="media/104272b7dc8de32147db376ac5713167bd507223.png"/><Relationship Id="rId15" Type="http://schemas.openxmlformats.org/officeDocument/2006/relationships/image" Target="media/b042baccd1b6ddb409d02825dcbf0a0b42cf8600.png"/><Relationship Id="rId16" Type="http://schemas.openxmlformats.org/officeDocument/2006/relationships/image" Target="media/dca988adf54061cfd18e3b65d04cc93b4c0821a5.png"/><Relationship Id="rId17" Type="http://schemas.openxmlformats.org/officeDocument/2006/relationships/image" Target="media/ced20419b26ad52dabc386ca8fa03e512cf67f8c.png"/><Relationship Id="rId18" Type="http://schemas.openxmlformats.org/officeDocument/2006/relationships/image" Target="media/31dcbc50059ae2791ce05a42c041185014378f3f.png"/><Relationship Id="rId19" Type="http://schemas.openxmlformats.org/officeDocument/2006/relationships/image" Target="media/05da8f4effe706cf5aafdd89f16572da00d8acd2.png"/><Relationship Id="rId20" Type="http://schemas.openxmlformats.org/officeDocument/2006/relationships/image" Target="media/6b7e22f48fdfc9e07041ced9d20ba658e28a949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Yasir Dhaifallah O Alyoubi</dc:creator>
  <cp:lastModifiedBy>Un-named</cp:lastModifiedBy>
  <cp:revision>1</cp:revision>
  <dcterms:created xsi:type="dcterms:W3CDTF">2026-09-24T14:18:57.480Z</dcterms:created>
  <dcterms:modified xsi:type="dcterms:W3CDTF">2026-09-24T14:18:57.480Z</dcterms:modified>
</cp:coreProperties>
</file>

<file path=docProps/custom.xml><?xml version="1.0" encoding="utf-8"?>
<Properties xmlns="http://schemas.openxmlformats.org/officeDocument/2006/custom-properties" xmlns:vt="http://schemas.openxmlformats.org/officeDocument/2006/docPropsVTypes"/>
</file>