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28</w:t>
      </w:r>
    </w:p>
    <w:p>
      <w:pPr>
        <w:tabs>
          <w:tab w:val="right" w:pos="9128" w:leader="dot"/>
        </w:tabs>
        <w:spacing w:after="100"/>
      </w:pPr>
      <w:r>
        <w:rPr>
          <w:rFonts w:ascii="Times New Roman" w:cs="Times New Roman" w:eastAsia="Times New Roman" w:hAnsi="Times New Roman"/>
          <w:sz w:val="22"/>
          <w:szCs w:val="22"/>
        </w:rPr>
        <w:t xml:space="preserve">7. The Proposed Solution for RO2	32</w:t>
      </w:r>
    </w:p>
    <w:p>
      <w:pPr>
        <w:tabs>
          <w:tab w:val="right" w:pos="9128" w:leader="dot"/>
        </w:tabs>
        <w:spacing w:after="100"/>
      </w:pPr>
      <w:r>
        <w:rPr>
          <w:rFonts w:ascii="Times New Roman" w:cs="Times New Roman" w:eastAsia="Times New Roman" w:hAnsi="Times New Roman"/>
          <w:sz w:val="22"/>
          <w:szCs w:val="22"/>
        </w:rPr>
        <w:t xml:space="preserve">8. The Proposed Solution for RO3	35</w:t>
      </w:r>
    </w:p>
    <w:p>
      <w:pPr>
        <w:tabs>
          <w:tab w:val="right" w:pos="9128" w:leader="dot"/>
        </w:tabs>
        <w:spacing w:after="100"/>
      </w:pPr>
      <w:r>
        <w:rPr>
          <w:rFonts w:ascii="Times New Roman" w:cs="Times New Roman" w:eastAsia="Times New Roman" w:hAnsi="Times New Roman"/>
          <w:sz w:val="22"/>
          <w:szCs w:val="22"/>
        </w:rPr>
        <w:t xml:space="preserve">9. The Proposed Solution for RO4	40</w:t>
      </w:r>
    </w:p>
    <w:p>
      <w:pPr>
        <w:tabs>
          <w:tab w:val="right" w:pos="9128" w:leader="dot"/>
        </w:tabs>
        <w:spacing w:after="100"/>
      </w:pPr>
      <w:r>
        <w:rPr>
          <w:rFonts w:ascii="Times New Roman" w:cs="Times New Roman" w:eastAsia="Times New Roman" w:hAnsi="Times New Roman"/>
          <w:sz w:val="22"/>
          <w:szCs w:val="22"/>
        </w:rPr>
        <w:t xml:space="preserve">10. The Proposed Solution for RO5	44</w:t>
      </w:r>
    </w:p>
    <w:p>
      <w:pPr>
        <w:tabs>
          <w:tab w:val="right" w:pos="9128" w:leader="dot"/>
        </w:tabs>
        <w:spacing w:after="100"/>
      </w:pPr>
      <w:r>
        <w:rPr>
          <w:rFonts w:ascii="Times New Roman" w:cs="Times New Roman" w:eastAsia="Times New Roman" w:hAnsi="Times New Roman"/>
          <w:sz w:val="22"/>
          <w:szCs w:val="22"/>
        </w:rPr>
        <w:t xml:space="preserve">11. The Proposed Solution for RO6	47</w:t>
      </w:r>
    </w:p>
    <w:p>
      <w:pPr>
        <w:tabs>
          <w:tab w:val="right" w:pos="9128" w:leader="dot"/>
        </w:tabs>
        <w:spacing w:after="100"/>
      </w:pPr>
      <w:r>
        <w:rPr>
          <w:rFonts w:ascii="Times New Roman" w:cs="Times New Roman" w:eastAsia="Times New Roman" w:hAnsi="Times New Roman"/>
          <w:sz w:val="22"/>
          <w:szCs w:val="22"/>
        </w:rPr>
        <w:t xml:space="preserve">12. Publications Summary	60</w:t>
      </w:r>
    </w:p>
    <w:p>
      <w:pPr>
        <w:tabs>
          <w:tab w:val="right" w:pos="9128" w:leader="dot"/>
        </w:tabs>
        <w:spacing w:after="100"/>
      </w:pPr>
      <w:r>
        <w:rPr>
          <w:rFonts w:ascii="Times New Roman" w:cs="Times New Roman" w:eastAsia="Times New Roman" w:hAnsi="Times New Roman"/>
          <w:sz w:val="22"/>
          <w:szCs w:val="22"/>
        </w:rPr>
        <w:t xml:space="preserve">13. Research Plan	61</w:t>
      </w:r>
    </w:p>
    <w:p>
      <w:pPr>
        <w:tabs>
          <w:tab w:val="right" w:pos="9128" w:leader="dot"/>
        </w:tabs>
        <w:spacing w:after="100"/>
      </w:pPr>
      <w:r>
        <w:rPr>
          <w:rFonts w:ascii="Times New Roman" w:cs="Times New Roman" w:eastAsia="Times New Roman" w:hAnsi="Times New Roman"/>
          <w:sz w:val="22"/>
          <w:szCs w:val="22"/>
        </w:rPr>
        <w:t xml:space="preserve">References	63</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color w:val="FF0000"/>
          <w:sz w:val="22"/>
          <w:szCs w:val="22"/>
        </w:rPr>
        <w:t xml:space="preserve">We screened, coded, and assessed every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color w:val="FF0000"/>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color w:val="FF0000"/>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color w:val="FF0000"/>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color w:val="FF0000"/>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color w:val="FF0000"/>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w:t>
            </w:r>
          </w:p>
        </w:tc>
      </w:tr>
    </w:tbl>
    <w:p>
      <w:pPr>
        <w:spacing w:after="160"/>
      </w:pP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Soohoo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Soohoo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or as conditions fixed at encryption time [64, 65].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color w:val="FF0000"/>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color w:val="FF0000"/>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color w:val="FF0000"/>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color w:val="FF0000"/>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color w:val="FF0000"/>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Time is enforced on the credential rather than on the consent, so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S19 Soohoo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The multi-party systems carry no purpose or data-scope condition, whereas the proved schemes omit policy, temporal validity, and lifecycle. Table 4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[58]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[61]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color w:val="FF0000"/>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DID and VC verification separates identity from authority and is expressed as V</w:t>
            </w:r>
            <w:r>
              <w:rPr>
                <w:rFonts w:ascii="Times New Roman" w:cs="Times New Roman" w:eastAsia="Times New Roman" w:hAnsi="Times New Roman"/>
                <w:b w:val="false"/>
                <w:bCs w:val="false"/>
                <w:color w:val="FF0000"/>
                <w:sz w:val="17"/>
                <w:szCs w:val="17"/>
                <w:vertAlign w:val="subscript"/>
              </w:rPr>
              <w:t xml:space="preserve">I</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N-of-N approval by the guardian set G with EIP-712 guardian signatures,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through Algorithm 4, together with the jurisdiction condition V</w:t>
            </w:r>
            <w:r>
              <w:rPr>
                <w:rFonts w:ascii="Times New Roman" w:cs="Times New Roman" w:eastAsia="Times New Roman" w:hAnsi="Times New Roman"/>
                <w:b w:val="false"/>
                <w:bCs w:val="false"/>
                <w:color w:val="FF0000"/>
                <w:sz w:val="17"/>
                <w:szCs w:val="17"/>
                <w:vertAlign w:val="subscript"/>
              </w:rPr>
              <w:t xml:space="preserve">L</w:t>
            </w:r>
            <w:r>
              <w:rPr>
                <w:rFonts w:ascii="Times New Roman" w:cs="Times New Roman" w:eastAsia="Times New Roman" w:hAnsi="Times New Roman"/>
                <w:b w:val="false"/>
                <w:bCs w:val="false"/>
                <w:color w:val="FF0000"/>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validity window V</w:t>
            </w:r>
            <w:r>
              <w:rPr>
                <w:rFonts w:ascii="Times New Roman" w:cs="Times New Roman" w:eastAsia="Times New Roman" w:hAnsi="Times New Roman"/>
                <w:b w:val="false"/>
                <w:bCs w:val="false"/>
                <w:color w:val="FF0000"/>
                <w:sz w:val="17"/>
                <w:szCs w:val="17"/>
                <w:vertAlign w:val="subscript"/>
              </w:rPr>
              <w:t xml:space="preserve">T</w:t>
            </w:r>
            <w:r>
              <w:rPr>
                <w:rFonts w:ascii="Times New Roman" w:cs="Times New Roman" w:eastAsia="Times New Roman" w:hAnsi="Times New Roman"/>
                <w:b w:val="false"/>
                <w:bCs w:val="false"/>
                <w:color w:val="FF0000"/>
                <w:sz w:val="17"/>
                <w:szCs w:val="17"/>
              </w:rPr>
              <w:t xml:space="preserve">, revocation, the lifecycle states, and the on-chain revocation on Sepolia.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[62, 63, 67]. Once the permission has been created and stored, subsequent access control may depend predominantly on the existence of the consent record and the successful authentication of the requester.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or data-scope condition [23, 25, 26].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requires the Groth16 ZK proof to verify,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For a guardian approval, the authority in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membership of G, and each member of G is counted once.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a registration-time co-consent [27, 52], an institution-side admission gate [61], a custodial M-of-N signature [25], or a key-share reconstruction [50,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If a guardian or proxy is specified, the system validates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The SBT, a soulbound ERC-721 token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The public anchoring of the evaluated consent in block 11,771,243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color w:val="00B0F0"/>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color w:val="00B0F0"/>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color w:val="00B0F0"/>
          <w:sz w:val="18"/>
          <w:szCs w:val="18"/>
        </w:rPr>
        <w:t xml:space="preserve">T. L. Nguyen, L. Nguyen, T. Hoang, D. Bandara, Q. Wang, Q. Lu, et al. Blockchain-empowered trustworthy data sharing: Fundamentals, applications, and challenges. ACM Computing Surveys, 57(8):1–36,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color w:val="00B0F0"/>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color w:val="00B0F0"/>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color w:val="00B0F0"/>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color w:val="00B0F0"/>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color w:val="00B0F0"/>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color w:val="00B0F0"/>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color w:val="00B0F0"/>
          <w:sz w:val="18"/>
          <w:szCs w:val="18"/>
        </w:rPr>
        <w:t xml:space="preserve">A. M. Tawfik, A. Al-Ahwal, A. S. Tag Eldien, and H. H. Zayed. Blockchain-based access control and privacy preservation in healthcare: A comprehensive survey. Cluster Computing, 28(8):529,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color w:val="00B0F0"/>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color w:val="00B0F0"/>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color w:val="00B0F0"/>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color w:val="00B0F0"/>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color w:val="00B0F0"/>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color w:val="00B0F0"/>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color w:val="00B0F0"/>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color w:val="00B0F0"/>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color w:val="00B0F0"/>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color w:val="00B0F0"/>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color w:val="00B0F0"/>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color w:val="00B0F0"/>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color w:val="00B0F0"/>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color w:val="00B0F0"/>
          <w:sz w:val="18"/>
          <w:szCs w:val="18"/>
        </w:rPr>
        <w:t xml:space="preserve">A. Punia, P. Gulia, N. S. Gill, D. Kaushik, N. Alduaiji, P. K. Shukla, et al. An access control system for cloud-based healthcare systems driven by blockchain. Journal of Cloud Computing, 14(1),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color w:val="00B0F0"/>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color w:val="00B0F0"/>
          <w:sz w:val="18"/>
          <w:szCs w:val="18"/>
        </w:rPr>
        <w:t xml:space="preserve">K. Ekholm, A. Augustinsson, J. Sundström, C. Johansen, M. Storgärds, L. Ljöstad, et al. Implementing electronic informed consent in rare disease genomics. Scientific Reports, 15:44419,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color w:val="00B0F0"/>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color w:val="00B0F0"/>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color w:val="00B0F0"/>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color w:val="00B0F0"/>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color w:val="00B0F0"/>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color w:val="00B0F0"/>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color w:val="00B0F0"/>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color w:val="00B0F0"/>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color w:val="00B0F0"/>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color w:val="00B0F0"/>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color w:val="00B0F0"/>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color w:val="00B0F0"/>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color w:val="00B0F0"/>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color w:val="00B0F0"/>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color w:val="00B0F0"/>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color w:val="00B0F0"/>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color w:val="00B0F0"/>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color w:val="00B0F0"/>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color w:val="00B0F0"/>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color w:val="00B0F0"/>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color w:val="00B0F0"/>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color w:val="00B0F0"/>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color w:val="00B0F0"/>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color w:val="00B0F0"/>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color w:val="00B0F0"/>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color w:val="00B0F0"/>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color w:val="00B0F0"/>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color w:val="00B0F0"/>
          <w:sz w:val="18"/>
          <w:szCs w:val="18"/>
        </w:rPr>
        <w:t xml:space="preserve">S. Phuyal, M. Bhandari, R. Bista, and J. C. Ferreira. A blockchain-based architecture for dynamic and auditable patient consent in the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color w:val="00B0F0"/>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color w:val="00B0F0"/>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color w:val="00B0F0"/>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color w:val="00B0F0"/>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color w:val="00B0F0"/>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color w:val="00B0F0"/>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color w:val="00B0F0"/>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color w:val="00B0F0"/>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color w:val="00B0F0"/>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color w:val="00B0F0"/>
          <w:sz w:val="18"/>
          <w:szCs w:val="18"/>
        </w:rPr>
        <w:t xml:space="preserve">M. Shanmugham and C. Senthilkumar. Blockchain enabled self-sovereign identity and consent framework for secure healthcare data access. In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color w:val="00B0F0"/>
          <w:sz w:val="18"/>
          <w:szCs w:val="18"/>
        </w:rPr>
        <w:t xml:space="preserve">N. 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2026-10-04T05:12:25.452Z</dcterms:created>
  <dcterms:modified xsi:type="dcterms:W3CDTF">2026-10-04T05:12:25.452Z</dcterms:modified>
</cp:coreProperties>
</file>

<file path=docProps/custom.xml><?xml version="1.0" encoding="utf-8"?>
<Properties xmlns="http://schemas.openxmlformats.org/officeDocument/2006/custom-properties" xmlns:vt="http://schemas.openxmlformats.org/officeDocument/2006/docPropsVTypes"/>
</file>