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the quality evaluation questions.</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w:t>
            </w:r>
          </w:p>
        </w:tc>
      </w:tr>
    </w:tbl>
    <w:p>
      <w:pPr/>
      <w:r>
        <w:rPr>
          <w:color w:val="FF0000"/>
        </w:rPr>
      </w:r>
    </w:p>
    <w:p>
      <w:pPr>
        <w:pStyle w:val="3"/>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The study concerns healthcare data (IC1).</w:t>
      </w:r>
    </w:p>
    <w:p>
      <w:pPr/>
      <w:r>
        <w:rPr>
          <w:color w:val="FF0000"/>
        </w:rPr>
        <w:t>2. The study concerns consent, authorisation, access control, trust or governance relevant to data access (IC2).</w:t>
      </w:r>
    </w:p>
    <w:p>
      <w:pPr/>
      <w:r>
        <w:rPr>
          <w:color w:val="FF0000"/>
        </w:rPr>
        <w:t>3. The study presents a mechanism, model, system or evaluation relevant to a review question (IC3).</w:t>
      </w:r>
    </w:p>
    <w:p>
      <w:pPr/>
      <w:r>
        <w:rPr>
          <w:color w:val="FF0000"/>
        </w:rPr>
        <w:t>4. The study is a peer-reviewed English paper with full text available (IC4 to IC7).</w:t>
      </w:r>
    </w:p>
    <w:p>
      <w:pPr/>
      <w:r>
        <w:rPr>
          <w:color w:val="FF0000"/>
        </w:rPr>
        <w:t>5. The study was published between 2020 and 2026.</w:t>
      </w:r>
    </w:p>
    <w:p>
      <w:pPr/>
      <w:r>
        <w:rPr>
          <w:color w:val="FF0000"/>
        </w:rPr>
        <w:t>Exclusion criteria. The records are excluded if:</w:t>
      </w:r>
    </w:p>
    <w:p>
      <w:pPr/>
      <w:r>
        <w:rPr>
          <w:color w:val="FF0000"/>
        </w:rPr>
        <w:t>1. They are outside healthcare or outside the authorisation scope.</w:t>
      </w:r>
    </w:p>
    <w:p>
      <w:pPr/>
      <w:r>
        <w:rPr>
          <w:color w:val="FF0000"/>
        </w:rPr>
        <w:t>2. They treat authentication alone or mention consent only superficially.</w:t>
      </w:r>
    </w:p>
    <w:p>
      <w:pPr/>
      <w:r>
        <w:rPr>
          <w:color w:val="FF0000"/>
        </w:rPr>
        <w:t>3. They are not peer-reviewed.</w:t>
      </w:r>
    </w:p>
    <w:p>
      <w:pPr/>
      <w:r>
        <w:rPr>
          <w:color w:val="FF0000"/>
        </w:rPr>
        <w:t>4. They are duplicate publications of the same study.</w:t>
      </w:r>
    </w:p>
    <w:p>
      <w:pPr/>
      <w:r>
        <w:rPr>
          <w:color w:val="FF0000"/>
        </w:rPr>
        <w:t>5. They are secondary reviews.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rPr>
          <w:color w:val="FF0000"/>
        </w:rP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w:t>
            </w:r>
          </w:p>
        </w:tc>
      </w:tr>
    </w:tbl>
    <w:p>
      <w:pPr/>
      <w:r>
        <w:rPr>
          <w:color w:val="FF0000"/>
        </w:rPr>
      </w:r>
    </w:p>
    <w:p>
      <w:pPr>
        <w:pStyle w:val="3"/>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2.11.</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2.10 summarises the description, the issues and limitations, and the requirement grades of the studies in this stream.</w:t>
      </w:r>
    </w:p>
    <w:p>
      <w:pPr>
        <w:keepNext/>
        <w:spacing w:before="160" w:after="160"/>
        <w:jc w:val="center"/>
      </w:pPr>
      <w:r>
        <w:rPr>
          <w:color w:val="FF0000"/>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bl>
    <w:p>
      <w:pPr/>
      <w:r>
        <w:rPr>
          <w:color w:val="FF0000"/>
        </w:r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color w:val="FF0000"/>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color w:val="FF0000"/>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color w:val="FF0000"/>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2.11.</w:t>
      </w:r>
    </w:p>
    <w:p>
      <w:pPr/>
      <w:r>
        <w:rPr>
          <w:color w:val="FF0000"/>
        </w:rP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color w:val="FF0000"/>
        </w:rPr>
        <w:t>•</w:t>
        <w:tab/>
      </w:r>
      <w:r>
        <w:rPr>
          <w:i/>
          <w:color w:val="FF0000"/>
          <w:u w:val="single"/>
        </w:rPr>
        <w:t>Inability to represent consent as an evaluable authorisation object (Req 1):</w:t>
      </w:r>
      <w:r>
        <w:rPr>
          <w:color w:val="FF0000"/>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color w:val="FF0000"/>
        </w:rPr>
        <w:t>•</w:t>
        <w:tab/>
      </w:r>
      <w:r>
        <w:rPr>
          <w:i/>
          <w:color w:val="FF0000"/>
          <w:u w:val="single"/>
        </w:rPr>
        <w:t>Inability to verify authority separately from identity (Req 2):</w:t>
      </w:r>
      <w:r>
        <w:rPr>
          <w:color w:val="FF0000"/>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rPr>
          <w:color w:val="FF0000"/>
        </w:rPr>
        <w:t>•</w:t>
        <w:tab/>
      </w:r>
      <w:r>
        <w:rPr>
          <w:i/>
          <w:color w:val="FF0000"/>
          <w:u w:val="single"/>
        </w:rPr>
        <w:t>Absence of multi-party approval as a standing condition of every access decision (Req 3):</w:t>
      </w:r>
      <w:r>
        <w:rPr>
          <w:color w:val="FF0000"/>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rPr>
          <w:color w:val="FF0000"/>
        </w:rPr>
        <w:t>•</w:t>
        <w:tab/>
      </w:r>
      <w:r>
        <w:rPr>
          <w:i/>
          <w:color w:val="FF0000"/>
          <w:u w:val="single"/>
        </w:rPr>
        <w:t>Inability to bind purpose and data scope to the same decision as identity, authority and approval (Req 4):</w:t>
      </w:r>
      <w:r>
        <w:rPr>
          <w:color w:val="FF0000"/>
        </w:rP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color w:val="FF0000"/>
        </w:rPr>
        <w:t>•</w:t>
        <w:tab/>
      </w:r>
      <w:r>
        <w:rPr>
          <w:i/>
          <w:color w:val="FF0000"/>
          <w:u w:val="single"/>
        </w:rPr>
        <w:t>Absence of temporal and lifecycle evaluation at the time of each access request (Req 5):</w:t>
      </w:r>
      <w:r>
        <w:rPr>
          <w:color w:val="FF0000"/>
        </w:rP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rPr>
          <w:color w:val="FF0000"/>
        </w:rPr>
        <w:t>•</w:t>
        <w:tab/>
      </w:r>
      <w:r>
        <w:rPr>
          <w:i/>
          <w:color w:val="FF0000"/>
          <w:u w:val="single"/>
        </w:rPr>
        <w:t>Absence of formal and empirical assurance of the complete decision (Req 6):</w:t>
      </w:r>
      <w:r>
        <w:rPr>
          <w:color w:val="FF0000"/>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color w:val="FF0000"/>
        </w:rP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