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400" w:after="120"/>
        <w:jc w:val="center"/>
      </w:pPr>
      <w:r>
        <w:rPr>
          <w:b w:val="0"/>
          <w:smallCaps w:val="0"/>
          <w:sz w:val="32"/>
        </w:rPr>
        <w:t>A Study on</w:t>
      </w:r>
    </w:p>
    <w:p>
      <w:pPr>
        <w:spacing w:before="0" w:after="960"/>
        <w:jc w:val="center"/>
      </w:pPr>
      <w:r>
        <w:rPr>
          <w:b/>
          <w:smallCaps w:val="0"/>
          <w:sz w:val="40"/>
        </w:rPr>
        <w:t>Multi-Party Consent Management System</w:t>
      </w:r>
    </w:p>
    <w:p>
      <w:pPr>
        <w:spacing w:before="480" w:after="120"/>
        <w:jc w:val="center"/>
      </w:pPr>
      <w:r>
        <w:rPr>
          <w:b w:val="0"/>
          <w:smallCaps w:val="0"/>
          <w:sz w:val="24"/>
        </w:rPr>
        <w:t>A thesis submitted in fulfilment of the requirements for the degree of</w:t>
      </w:r>
    </w:p>
    <w:p>
      <w:pPr>
        <w:spacing w:before="0" w:after="120"/>
        <w:jc w:val="center"/>
      </w:pPr>
      <w:r>
        <w:rPr>
          <w:b/>
          <w:smallCaps w:val="0"/>
          <w:sz w:val="28"/>
        </w:rPr>
        <w:t>Doctor of Philosophy</w:t>
      </w:r>
    </w:p>
    <w:p>
      <w:pPr>
        <w:spacing w:before="0" w:after="120"/>
        <w:jc w:val="center"/>
      </w:pPr>
      <w:r>
        <w:rPr>
          <w:b w:val="0"/>
          <w:smallCaps w:val="0"/>
          <w:sz w:val="24"/>
        </w:rPr>
        <w:t>in</w:t>
      </w:r>
    </w:p>
    <w:p>
      <w:pPr>
        <w:spacing w:before="0" w:after="720"/>
        <w:jc w:val="center"/>
      </w:pPr>
      <w:r>
        <w:rPr>
          <w:b/>
          <w:smallCaps w:val="0"/>
          <w:sz w:val="28"/>
        </w:rPr>
        <w:t>Computer Science</w:t>
      </w:r>
    </w:p>
    <w:p>
      <w:pPr>
        <w:spacing w:before="0" w:after="120"/>
        <w:jc w:val="center"/>
      </w:pPr>
      <w:r>
        <w:rPr>
          <w:b w:val="0"/>
          <w:smallCaps w:val="0"/>
          <w:sz w:val="24"/>
        </w:rPr>
        <w:t>by</w:t>
      </w:r>
    </w:p>
    <w:p>
      <w:pPr>
        <w:spacing w:before="0" w:after="720"/>
        <w:jc w:val="center"/>
      </w:pPr>
      <w:r>
        <w:rPr>
          <w:b/>
          <w:smallCaps w:val="0"/>
          <w:sz w:val="28"/>
        </w:rPr>
        <w:t>Yasir Dhaifallah O Alyoubi</w:t>
      </w:r>
    </w:p>
    <w:p>
      <w:pPr>
        <w:spacing w:before="0" w:after="120"/>
        <w:jc w:val="center"/>
      </w:pPr>
      <w:r>
        <w:rPr>
          <w:b w:val="0"/>
          <w:smallCaps w:val="0"/>
          <w:sz w:val="24"/>
        </w:rPr>
        <w:t>Supervisor: Professor Farookh Hussain</w:t>
      </w:r>
    </w:p>
    <w:p>
      <w:pPr>
        <w:spacing w:before="0" w:after="960"/>
        <w:jc w:val="center"/>
      </w:pPr>
      <w:r>
        <w:rPr>
          <w:b w:val="0"/>
          <w:smallCaps w:val="0"/>
          <w:sz w:val="24"/>
        </w:rPr>
        <w:t>Co-supervisor: Dr Firas Al-Doghman</w:t>
      </w:r>
    </w:p>
    <w:p>
      <w:pPr>
        <w:spacing w:before="0" w:after="120"/>
        <w:jc w:val="center"/>
      </w:pPr>
      <w:r>
        <w:rPr>
          <w:b w:val="0"/>
          <w:smallCaps w:val="0"/>
          <w:sz w:val="24"/>
        </w:rPr>
        <w:t>School of Computer Science</w:t>
      </w:r>
    </w:p>
    <w:p>
      <w:pPr>
        <w:spacing w:before="0" w:after="120"/>
        <w:jc w:val="center"/>
      </w:pPr>
      <w:r>
        <w:rPr>
          <w:b w:val="0"/>
          <w:smallCaps w:val="0"/>
          <w:sz w:val="24"/>
        </w:rPr>
        <w:t>Faculty of Engineering and Information Technology</w:t>
      </w:r>
    </w:p>
    <w:p>
      <w:pPr>
        <w:spacing w:before="0" w:after="120"/>
        <w:jc w:val="center"/>
      </w:pPr>
      <w:r>
        <w:rPr>
          <w:b w:val="0"/>
          <w:smallCaps w:val="0"/>
          <w:sz w:val="24"/>
        </w:rPr>
        <w:t>University of Technology Sydney</w:t>
      </w:r>
    </w:p>
    <w:p>
      <w:pPr>
        <w:spacing w:before="0" w:after="720"/>
        <w:jc w:val="center"/>
      </w:pPr>
      <w:r>
        <w:rPr>
          <w:b w:val="0"/>
          <w:smallCaps w:val="0"/>
          <w:sz w:val="24"/>
        </w:rPr>
        <w:t>NSW, Australia</w:t>
      </w:r>
    </w:p>
    <w:p>
      <w:pPr>
        <w:spacing w:before="0" w:after="120"/>
        <w:jc w:val="center"/>
      </w:pPr>
      <w:r>
        <w:rPr>
          <w:b w:val="0"/>
          <w:smallCaps w:val="0"/>
          <w:sz w:val="24"/>
        </w:rPr>
        <w:t>July 2027</w:t>
      </w:r>
    </w:p>
    <w:p>
      <w:pPr>
        <w:sectPr>
          <w:headerReference w:type="default" r:id="rId40"/>
          <w:headerReference w:type="even" r:id="rId41"/>
          <w:footerReference w:type="default" r:id="rId34"/>
          <w:footerReference w:type="even" r:id="rId42"/>
          <w:pgSz w:w="11906" w:h="16838"/>
          <w:pgMar w:top="1417" w:right="1701" w:bottom="1417" w:left="1701" w:header="737" w:footer="737" w:gutter="0"/>
          <w:cols w:space="720"/>
          <w:docGrid w:linePitch="360"/>
        </w:sectPr>
      </w:pPr>
    </w:p>
    <w:p>
      <w:pPr>
        <w:pStyle w:val="1"/>
        <w:jc w:val="center"/>
      </w:pPr>
      <w:r>
        <w:t>Certificate of Original Authorship</w:t>
      </w:r>
    </w:p>
    <w:p>
      <w:pPr/>
      <w:r>
        <w:t>I, Yasir Dhaifallah O Alyoubi, declare that this thesis, submitted in fulfilment of the requirements for the award of Doctor of Philosophy, in the School of Computer Science, Faculty of Engineering and Information Technology at the University of Technology Sydney, Australia, is wholly my own work unless otherwise referenced or acknowledged. In addition, I certify that all information sources and literature used are indicated in the thesis. This document has not been submitted for qualifications at any other academic institution. This research is supported by the Australian Government Research Training Program.</w:t>
      </w:r>
    </w:p>
    <w:p>
      <w:pPr/>
      <w:r>
        <w:t>Signature of Candidate: Yasir Dhaifallah O Alyoubi</w:t>
      </w:r>
    </w:p>
    <w:p>
      <w:pPr/>
      <w:r>
        <w:t>Date:</w:t>
      </w:r>
    </w:p>
    <w:p>
      <w:r>
        <w:br w:type="page"/>
      </w:r>
    </w:p>
    <w:p>
      <w:pPr>
        <w:pStyle w:val="1"/>
        <w:jc w:val="center"/>
      </w:pPr>
      <w:r>
        <w:t>Dedication</w:t>
      </w:r>
    </w:p>
    <w:p>
      <w:pPr>
        <w:spacing w:before="2400" w:after="120"/>
        <w:jc w:val="center"/>
      </w:pPr>
      <w:r>
        <w:rPr>
          <w:b w:val="0"/>
          <w:smallCaps w:val="0"/>
          <w:sz w:val="28"/>
        </w:rPr>
        <w:t>To my family</w:t>
      </w:r>
    </w:p>
    <w:p>
      <w:r>
        <w:br w:type="page"/>
      </w:r>
    </w:p>
    <w:p>
      <w:pPr>
        <w:pStyle w:val="1"/>
        <w:jc w:val="center"/>
      </w:pPr>
      <w:r>
        <w:t>Acknowledgments</w:t>
      </w:r>
    </w:p>
    <w:p>
      <w:pPr/>
      <w:r>
        <w:t>All praise is due to Allah, Lord of the worlds, who gave me the strength, the patience and the means to reach this point. Every step of this journey was by His grace, and I thank Him first and last.</w:t>
      </w:r>
    </w:p>
    <w:p>
      <w:pPr/>
      <w:r>
        <w:t>A thesis is never the work of one person, and when it is finished it is right to look back and thank those who made it possible. My deepest gratitude goes to my supervisor, Professor Farookh Hussain. He accepted me as his student, guided my research from its first idea to its last chapter, corrected me with patience when I was wrong, and encouraged me when I doubted myself. He was more than a supervisor to me; he was a mentor and an elder brother, and his door was always open. Without his support I could not have completed this work.</w:t>
      </w:r>
    </w:p>
    <w:p>
      <w:pPr/>
      <w:r>
        <w:t>I also thank my co-supervisor, Dr Firas Al-Doghman, for his guidance, his careful reading of my work and his advice at every stage of this research.</w:t>
      </w:r>
    </w:p>
    <w:p>
      <w:pPr/>
      <w:r>
        <w:t>I thank the University of Technology Sydney for giving me the opportunity to study here, for the scholarship that made this research possible, and for the environment, the resources and the people that made it a second home.</w:t>
      </w:r>
    </w:p>
    <w:p>
      <w:pPr/>
      <w:r>
        <w:t>Finally, I thank my family. My parents, whose prayers and sacrifices have been with me all my life. My wife, who stood beside me through every long day and night of this journey and carried more than her share so that I could study. My children, who gave me the reason to keep going. And my brothers and sisters, whose support never failed. This thesis is for all of them.</w:t>
      </w:r>
    </w:p>
    <w:p>
      <w:r>
        <w:br w:type="page"/>
      </w:r>
    </w:p>
    <w:p>
      <w:pPr>
        <w:pStyle w:val="1"/>
        <w:jc w:val="center"/>
      </w:pPr>
      <w:r>
        <w:t>Publications</w:t>
      </w:r>
    </w:p>
    <w:p>
      <w:pPr/>
      <w:r>
        <w:t>Conference publications</w:t>
      </w:r>
    </w:p>
    <w:p>
      <w:pPr/>
      <w:r>
        <w:t>1- 'A Blockchain-Based Framework for Evaluating User Identity Trustworthiness in Real Estate', 2025 IEEE International Conference on E-Business Engineering (ICEBE), 2025. (Published)</w:t>
      </w:r>
    </w:p>
    <w:p>
      <w:pPr/>
      <w:r>
        <w:t>2- 'Blockchain-Based Reputation Borrowing Model to Address the Cold Start Problem for New Users in Real Estate', 2025 IEEE International Conference on E-Business Engineering (ICEBE), 2025. (Published)</w:t>
      </w:r>
    </w:p>
    <w:p>
      <w:pPr/>
      <w:r>
        <w:t>3- 'A Smart Contract-Governed Lifecycle Protocol for Reputation Borrowing in Blockchain-Based Real Estate Platforms', ICEBE 2026. (Accepted)</w:t>
      </w:r>
    </w:p>
    <w:p>
      <w:pPr/>
      <w:r>
        <w:t>4- 'A Trusted Multi-Party Consent Governance Framework for Decentralized Multi-Stakeholder Data Sharing', BWCCA 2026. (Accepted)</w:t>
      </w:r>
    </w:p>
    <w:p>
      <w:pPr/>
      <w:r>
        <w:t>5- 'Blockchain-Based Reputation Provenance Tracing for Newcomer Bootstrapping in Real Estate', BWCCA 2026. (Accepted)</w:t>
      </w:r>
    </w:p>
    <w:p>
      <w:r>
        <w:br w:type="page"/>
      </w:r>
    </w:p>
    <w:p>
      <w:pPr>
        <w:pStyle w:val="1"/>
        <w:jc w:val="center"/>
      </w:pPr>
      <w:r>
        <w:t>Table of Contents</w:t>
      </w:r>
    </w:p>
    <w:p>
      <w:r>
        <w:fldChar w:fldCharType="begin"/>
      </w:r>
      <w:r>
        <w:instrText xml:space="preserve"> TOC \o "1-3" \h \z \u </w:instrText>
      </w:r>
      <w:r>
        <w:fldChar w:fldCharType="separate"/>
      </w:r>
    </w:p>
    <w:p>
      <w:pPr>
        <w:tabs>
          <w:tab w:pos="8504" w:val="right" w:leader="dot"/>
        </w:tabs>
        <w:spacing w:after="120" w:before="160"/>
        <w:ind w:left="0"/>
        <w:jc w:val="left"/>
      </w:pPr>
      <w:r>
        <w:rPr>
          <w:rFonts w:ascii="Palatino Linotype" w:hAnsi="Palatino Linotype"/>
          <w:b/>
          <w:sz w:val="22"/>
        </w:rPr>
        <w:t>Certificate of Original Authorship</w:t>
        <w:tab/>
        <w:t>i</w:t>
      </w:r>
    </w:p>
    <w:p>
      <w:pPr>
        <w:tabs>
          <w:tab w:pos="8504" w:val="right" w:leader="dot"/>
        </w:tabs>
        <w:spacing w:after="120" w:before="160"/>
        <w:ind w:left="0"/>
        <w:jc w:val="left"/>
      </w:pPr>
      <w:r>
        <w:rPr>
          <w:rFonts w:ascii="Palatino Linotype" w:hAnsi="Palatino Linotype"/>
          <w:b/>
          <w:sz w:val="22"/>
        </w:rPr>
        <w:t>Dedication</w:t>
        <w:tab/>
        <w:t>ii</w:t>
      </w:r>
    </w:p>
    <w:p>
      <w:pPr>
        <w:tabs>
          <w:tab w:pos="8504" w:val="right" w:leader="dot"/>
        </w:tabs>
        <w:spacing w:after="120" w:before="160"/>
        <w:ind w:left="0"/>
        <w:jc w:val="left"/>
      </w:pPr>
      <w:r>
        <w:rPr>
          <w:rFonts w:ascii="Palatino Linotype" w:hAnsi="Palatino Linotype"/>
          <w:b/>
          <w:sz w:val="22"/>
        </w:rPr>
        <w:t>Acknowledgments</w:t>
        <w:tab/>
        <w:t>iii</w:t>
      </w:r>
    </w:p>
    <w:p>
      <w:pPr>
        <w:tabs>
          <w:tab w:pos="8504" w:val="right" w:leader="dot"/>
        </w:tabs>
        <w:spacing w:after="120" w:before="160"/>
        <w:ind w:left="0"/>
        <w:jc w:val="left"/>
      </w:pPr>
      <w:r>
        <w:rPr>
          <w:rFonts w:ascii="Palatino Linotype" w:hAnsi="Palatino Linotype"/>
          <w:b/>
          <w:sz w:val="22"/>
        </w:rPr>
        <w:t>Publications</w:t>
        <w:tab/>
        <w:t>iv</w:t>
      </w:r>
    </w:p>
    <w:p>
      <w:pPr>
        <w:tabs>
          <w:tab w:pos="8504" w:val="right" w:leader="dot"/>
        </w:tabs>
        <w:spacing w:after="120" w:before="160"/>
        <w:ind w:left="0"/>
        <w:jc w:val="left"/>
      </w:pPr>
      <w:r>
        <w:rPr>
          <w:rFonts w:ascii="Palatino Linotype" w:hAnsi="Palatino Linotype"/>
          <w:b/>
          <w:sz w:val="22"/>
        </w:rPr>
        <w:t>Table of Contents</w:t>
        <w:tab/>
        <w:t>v</w:t>
      </w:r>
    </w:p>
    <w:p>
      <w:pPr>
        <w:tabs>
          <w:tab w:pos="8504" w:val="right" w:leader="dot"/>
        </w:tabs>
        <w:spacing w:after="120" w:before="160"/>
        <w:ind w:left="0"/>
        <w:jc w:val="left"/>
      </w:pPr>
      <w:r>
        <w:rPr>
          <w:rFonts w:ascii="Palatino Linotype" w:hAnsi="Palatino Linotype"/>
          <w:b/>
          <w:sz w:val="22"/>
        </w:rPr>
        <w:t>List of Figures</w:t>
        <w:tab/>
        <w:t>viii</w:t>
      </w:r>
    </w:p>
    <w:p>
      <w:pPr>
        <w:tabs>
          <w:tab w:pos="8504" w:val="right" w:leader="dot"/>
        </w:tabs>
        <w:spacing w:after="120" w:before="160"/>
        <w:ind w:left="0"/>
        <w:jc w:val="left"/>
      </w:pPr>
      <w:r>
        <w:rPr>
          <w:rFonts w:ascii="Palatino Linotype" w:hAnsi="Palatino Linotype"/>
          <w:b/>
          <w:sz w:val="22"/>
        </w:rPr>
        <w:t>List of Tables</w:t>
        <w:tab/>
        <w:t>ix</w:t>
      </w:r>
    </w:p>
    <w:p>
      <w:pPr>
        <w:tabs>
          <w:tab w:pos="8504" w:val="right" w:leader="dot"/>
        </w:tabs>
        <w:spacing w:after="120" w:before="160"/>
        <w:ind w:left="0"/>
        <w:jc w:val="left"/>
      </w:pPr>
      <w:r>
        <w:rPr>
          <w:rFonts w:ascii="Palatino Linotype" w:hAnsi="Palatino Linotype"/>
          <w:b/>
          <w:sz w:val="22"/>
        </w:rPr>
        <w:t>Abstract</w:t>
        <w:tab/>
        <w:t>x</w:t>
      </w:r>
    </w:p>
    <w:p>
      <w:pPr>
        <w:tabs>
          <w:tab w:pos="8504" w:val="right" w:leader="dot"/>
        </w:tabs>
        <w:spacing w:after="120" w:before="160"/>
        <w:ind w:left="0"/>
        <w:jc w:val="left"/>
      </w:pPr>
      <w:r>
        <w:rPr>
          <w:rFonts w:ascii="Palatino Linotype" w:hAnsi="Palatino Linotype"/>
          <w:b/>
          <w:sz w:val="22"/>
        </w:rPr>
        <w:t>1 Introduction</w:t>
        <w:tab/>
        <w:t>1</w:t>
      </w:r>
    </w:p>
    <w:p>
      <w:pPr>
        <w:tabs>
          <w:tab w:pos="8504" w:val="right" w:leader="dot"/>
        </w:tabs>
        <w:spacing w:after="40" w:before="0"/>
        <w:ind w:left="454"/>
        <w:jc w:val="left"/>
      </w:pPr>
      <w:r>
        <w:rPr>
          <w:rFonts w:ascii="Palatino Linotype" w:hAnsi="Palatino Linotype"/>
          <w:b w:val="0"/>
          <w:sz w:val="22"/>
        </w:rPr>
        <w:t>1.1 Introduction</w:t>
        <w:tab/>
        <w:t>1</w:t>
      </w:r>
    </w:p>
    <w:p>
      <w:pPr>
        <w:tabs>
          <w:tab w:pos="8504" w:val="right" w:leader="dot"/>
        </w:tabs>
        <w:spacing w:after="40" w:before="0"/>
        <w:ind w:left="454"/>
        <w:jc w:val="left"/>
      </w:pPr>
      <w:r>
        <w:rPr>
          <w:rFonts w:ascii="Palatino Linotype" w:hAnsi="Palatino Linotype"/>
          <w:b w:val="0"/>
          <w:sz w:val="22"/>
        </w:rPr>
        <w:t>1.2 Statement of the Problem</w:t>
        <w:tab/>
        <w:t>1</w:t>
      </w:r>
    </w:p>
    <w:p>
      <w:pPr>
        <w:tabs>
          <w:tab w:pos="8504" w:val="right" w:leader="dot"/>
        </w:tabs>
        <w:spacing w:after="40" w:before="0"/>
        <w:ind w:left="454"/>
        <w:jc w:val="left"/>
      </w:pPr>
      <w:r>
        <w:rPr>
          <w:rFonts w:ascii="Palatino Linotype" w:hAnsi="Palatino Linotype"/>
          <w:b w:val="0"/>
          <w:sz w:val="22"/>
        </w:rPr>
        <w:t>1.3 Research Motivation</w:t>
        <w:tab/>
        <w:t>2</w:t>
      </w:r>
    </w:p>
    <w:p>
      <w:pPr>
        <w:tabs>
          <w:tab w:pos="8504" w:val="right" w:leader="dot"/>
        </w:tabs>
        <w:spacing w:after="40" w:before="0"/>
        <w:ind w:left="454"/>
        <w:jc w:val="left"/>
      </w:pPr>
      <w:r>
        <w:rPr>
          <w:rFonts w:ascii="Palatino Linotype" w:hAnsi="Palatino Linotype"/>
          <w:b w:val="0"/>
          <w:sz w:val="22"/>
        </w:rPr>
        <w:t>1.4 Decentralised Identity Technology</w:t>
        <w:tab/>
        <w:t>3</w:t>
      </w:r>
    </w:p>
    <w:p>
      <w:pPr>
        <w:tabs>
          <w:tab w:pos="8504" w:val="right" w:leader="dot"/>
        </w:tabs>
        <w:spacing w:after="40" w:before="0"/>
        <w:ind w:left="1020"/>
        <w:jc w:val="left"/>
      </w:pPr>
      <w:r>
        <w:rPr>
          <w:rFonts w:ascii="Palatino Linotype" w:hAnsi="Palatino Linotype"/>
          <w:b w:val="0"/>
          <w:sz w:val="22"/>
        </w:rPr>
        <w:t>1.4.1 Decentralised Identifiers (DIDs)</w:t>
        <w:tab/>
        <w:t>4</w:t>
      </w:r>
    </w:p>
    <w:p>
      <w:pPr>
        <w:tabs>
          <w:tab w:pos="8504" w:val="right" w:leader="dot"/>
        </w:tabs>
        <w:spacing w:after="40" w:before="0"/>
        <w:ind w:left="1020"/>
        <w:jc w:val="left"/>
      </w:pPr>
      <w:r>
        <w:rPr>
          <w:rFonts w:ascii="Palatino Linotype" w:hAnsi="Palatino Linotype"/>
          <w:b w:val="0"/>
          <w:sz w:val="22"/>
        </w:rPr>
        <w:t>1.4.2 Verifiable Credentials (VCs)</w:t>
        <w:tab/>
        <w:t>4</w:t>
      </w:r>
    </w:p>
    <w:p>
      <w:pPr>
        <w:tabs>
          <w:tab w:pos="8504" w:val="right" w:leader="dot"/>
        </w:tabs>
        <w:spacing w:after="40" w:before="0"/>
        <w:ind w:left="1020"/>
        <w:jc w:val="left"/>
      </w:pPr>
      <w:r>
        <w:rPr>
          <w:rFonts w:ascii="Palatino Linotype" w:hAnsi="Palatino Linotype"/>
          <w:b w:val="0"/>
          <w:sz w:val="22"/>
        </w:rPr>
        <w:t>1.4.3 Trusted Issuers and Credential Verification</w:t>
        <w:tab/>
        <w:t>4</w:t>
      </w:r>
    </w:p>
    <w:p>
      <w:pPr>
        <w:tabs>
          <w:tab w:pos="8504" w:val="right" w:leader="dot"/>
        </w:tabs>
        <w:spacing w:after="40" w:before="0"/>
        <w:ind w:left="454"/>
        <w:jc w:val="left"/>
      </w:pPr>
      <w:r>
        <w:rPr>
          <w:rFonts w:ascii="Palatino Linotype" w:hAnsi="Palatino Linotype"/>
          <w:b w:val="0"/>
          <w:sz w:val="22"/>
        </w:rPr>
        <w:t>1.5 Multi-Party Authorisation</w:t>
        <w:tab/>
        <w:t>4</w:t>
      </w:r>
    </w:p>
    <w:p>
      <w:pPr>
        <w:tabs>
          <w:tab w:pos="8504" w:val="right" w:leader="dot"/>
        </w:tabs>
        <w:spacing w:after="40" w:before="0"/>
        <w:ind w:left="454"/>
        <w:jc w:val="left"/>
      </w:pPr>
      <w:r>
        <w:rPr>
          <w:rFonts w:ascii="Palatino Linotype" w:hAnsi="Palatino Linotype"/>
          <w:b w:val="0"/>
          <w:sz w:val="22"/>
        </w:rPr>
        <w:t>1.6 The Relationship between Multi-Party Authorisation and Patient Consent</w:t>
        <w:tab/>
        <w:t>5</w:t>
      </w:r>
    </w:p>
    <w:p>
      <w:pPr>
        <w:tabs>
          <w:tab w:pos="8504" w:val="right" w:leader="dot"/>
        </w:tabs>
        <w:spacing w:after="40" w:before="0"/>
        <w:ind w:left="454"/>
        <w:jc w:val="left"/>
      </w:pPr>
      <w:r>
        <w:rPr>
          <w:rFonts w:ascii="Palatino Linotype" w:hAnsi="Palatino Linotype"/>
          <w:b w:val="0"/>
          <w:sz w:val="22"/>
        </w:rPr>
        <w:t>1.7 Purpose of Using Multi-Party Authorisation in Consent Management</w:t>
        <w:tab/>
        <w:t>5</w:t>
      </w:r>
    </w:p>
    <w:p>
      <w:pPr>
        <w:tabs>
          <w:tab w:pos="8504" w:val="right" w:leader="dot"/>
        </w:tabs>
        <w:spacing w:after="40" w:before="0"/>
        <w:ind w:left="454"/>
        <w:jc w:val="left"/>
      </w:pPr>
      <w:r>
        <w:rPr>
          <w:rFonts w:ascii="Palatino Linotype" w:hAnsi="Palatino Linotype"/>
          <w:b w:val="0"/>
          <w:sz w:val="22"/>
        </w:rPr>
        <w:t>1.8 Authorisation Evidence and Auditability</w:t>
        <w:tab/>
        <w:t>5</w:t>
      </w:r>
    </w:p>
    <w:p>
      <w:pPr>
        <w:tabs>
          <w:tab w:pos="8504" w:val="right" w:leader="dot"/>
        </w:tabs>
        <w:spacing w:after="40" w:before="0"/>
        <w:ind w:left="1020"/>
        <w:jc w:val="left"/>
      </w:pPr>
      <w:r>
        <w:rPr>
          <w:rFonts w:ascii="Palatino Linotype" w:hAnsi="Palatino Linotype"/>
          <w:b w:val="0"/>
          <w:sz w:val="22"/>
        </w:rPr>
        <w:t>1.8.1 The Audit Ledger</w:t>
        <w:tab/>
        <w:t>5</w:t>
      </w:r>
    </w:p>
    <w:p>
      <w:pPr>
        <w:tabs>
          <w:tab w:pos="8504" w:val="right" w:leader="dot"/>
        </w:tabs>
        <w:spacing w:after="40" w:before="0"/>
        <w:ind w:left="454"/>
        <w:jc w:val="left"/>
      </w:pPr>
      <w:r>
        <w:rPr>
          <w:rFonts w:ascii="Palatino Linotype" w:hAnsi="Palatino Linotype"/>
          <w:b w:val="0"/>
          <w:sz w:val="22"/>
        </w:rPr>
        <w:t>1.9 Consent Management Systems</w:t>
        <w:tab/>
        <w:t>6</w:t>
      </w:r>
    </w:p>
    <w:p>
      <w:pPr>
        <w:tabs>
          <w:tab w:pos="8504" w:val="right" w:leader="dot"/>
        </w:tabs>
        <w:spacing w:after="40" w:before="0"/>
        <w:ind w:left="454"/>
        <w:jc w:val="left"/>
      </w:pPr>
      <w:r>
        <w:rPr>
          <w:rFonts w:ascii="Palatino Linotype" w:hAnsi="Palatino Linotype"/>
          <w:b w:val="0"/>
          <w:sz w:val="22"/>
        </w:rPr>
        <w:t>1.10 Challenges Faced by Current Consent Management Systems</w:t>
        <w:tab/>
        <w:t>6</w:t>
      </w:r>
    </w:p>
    <w:p>
      <w:pPr>
        <w:tabs>
          <w:tab w:pos="8504" w:val="right" w:leader="dot"/>
        </w:tabs>
        <w:spacing w:after="40" w:before="0"/>
        <w:ind w:left="454"/>
        <w:jc w:val="left"/>
      </w:pPr>
      <w:r>
        <w:rPr>
          <w:rFonts w:ascii="Palatino Linotype" w:hAnsi="Palatino Linotype"/>
          <w:b w:val="0"/>
          <w:sz w:val="22"/>
        </w:rPr>
        <w:t>1.11 Research Contribution</w:t>
        <w:tab/>
        <w:t>6</w:t>
      </w:r>
    </w:p>
    <w:p>
      <w:pPr>
        <w:tabs>
          <w:tab w:pos="8504" w:val="right" w:leader="dot"/>
        </w:tabs>
        <w:spacing w:after="40" w:before="0"/>
        <w:ind w:left="1020"/>
        <w:jc w:val="left"/>
      </w:pPr>
      <w:r>
        <w:rPr>
          <w:rFonts w:ascii="Palatino Linotype" w:hAnsi="Palatino Linotype"/>
          <w:b w:val="0"/>
          <w:sz w:val="22"/>
        </w:rPr>
        <w:t>1.11.1 Scientific Contribution</w:t>
        <w:tab/>
        <w:t>6</w:t>
      </w:r>
    </w:p>
    <w:p>
      <w:pPr>
        <w:tabs>
          <w:tab w:pos="8504" w:val="right" w:leader="dot"/>
        </w:tabs>
        <w:spacing w:after="40" w:before="0"/>
        <w:ind w:left="1020"/>
        <w:jc w:val="left"/>
      </w:pPr>
      <w:r>
        <w:rPr>
          <w:rFonts w:ascii="Palatino Linotype" w:hAnsi="Palatino Linotype"/>
          <w:b w:val="0"/>
          <w:sz w:val="22"/>
        </w:rPr>
        <w:t>1.11.2 Social Contribution</w:t>
        <w:tab/>
        <w:t>7</w:t>
      </w:r>
    </w:p>
    <w:p>
      <w:pPr>
        <w:tabs>
          <w:tab w:pos="8504" w:val="right" w:leader="dot"/>
        </w:tabs>
        <w:spacing w:after="40" w:before="0"/>
        <w:ind w:left="454"/>
        <w:jc w:val="left"/>
      </w:pPr>
      <w:r>
        <w:rPr>
          <w:rFonts w:ascii="Palatino Linotype" w:hAnsi="Palatino Linotype"/>
          <w:b w:val="0"/>
          <w:sz w:val="22"/>
        </w:rPr>
        <w:t>1.12 Thesis Plan</w:t>
        <w:tab/>
        <w:t>7</w:t>
      </w:r>
    </w:p>
    <w:p>
      <w:pPr>
        <w:tabs>
          <w:tab w:pos="8504" w:val="right" w:leader="dot"/>
        </w:tabs>
        <w:spacing w:after="40" w:before="0"/>
        <w:ind w:left="454"/>
        <w:jc w:val="left"/>
      </w:pPr>
      <w:r>
        <w:rPr>
          <w:rFonts w:ascii="Palatino Linotype" w:hAnsi="Palatino Linotype"/>
          <w:b w:val="0"/>
          <w:sz w:val="22"/>
        </w:rPr>
        <w:t>1.13 Conclusion</w:t>
        <w:tab/>
        <w:t>7</w:t>
      </w:r>
    </w:p>
    <w:p>
      <w:pPr>
        <w:tabs>
          <w:tab w:pos="8504" w:val="right" w:leader="dot"/>
        </w:tabs>
        <w:spacing w:after="120" w:before="160"/>
        <w:ind w:left="0"/>
        <w:jc w:val="left"/>
      </w:pPr>
      <w:r>
        <w:rPr>
          <w:rFonts w:ascii="Palatino Linotype" w:hAnsi="Palatino Linotype"/>
          <w:b/>
          <w:sz w:val="22"/>
        </w:rPr>
        <w:t>2 A Systematic Literature Review</w:t>
        <w:tab/>
        <w:t>9</w:t>
      </w:r>
    </w:p>
    <w:p>
      <w:pPr>
        <w:tabs>
          <w:tab w:pos="8504" w:val="right" w:leader="dot"/>
        </w:tabs>
        <w:spacing w:after="40" w:before="0"/>
        <w:ind w:left="454"/>
        <w:jc w:val="left"/>
      </w:pPr>
      <w:r>
        <w:rPr>
          <w:rFonts w:ascii="Palatino Linotype" w:hAnsi="Palatino Linotype"/>
          <w:b w:val="0"/>
          <w:sz w:val="22"/>
        </w:rPr>
        <w:t>2.1 Introduction</w:t>
        <w:tab/>
        <w:t>9</w:t>
      </w:r>
    </w:p>
    <w:p>
      <w:pPr>
        <w:tabs>
          <w:tab w:pos="8504" w:val="right" w:leader="dot"/>
        </w:tabs>
        <w:spacing w:after="40" w:before="0"/>
        <w:ind w:left="454"/>
        <w:jc w:val="left"/>
      </w:pPr>
      <w:r>
        <w:rPr>
          <w:rFonts w:ascii="Palatino Linotype" w:hAnsi="Palatino Linotype"/>
          <w:b w:val="0"/>
          <w:sz w:val="22"/>
        </w:rPr>
        <w:t>2.2 Key Requirements for Trustworthy Multi-Party Consent Authorisation</w:t>
        <w:tab/>
        <w:t>9</w:t>
      </w:r>
    </w:p>
    <w:p>
      <w:pPr>
        <w:tabs>
          <w:tab w:pos="8504" w:val="right" w:leader="dot"/>
        </w:tabs>
        <w:spacing w:after="40" w:before="0"/>
        <w:ind w:left="1020"/>
        <w:jc w:val="left"/>
      </w:pPr>
      <w:r>
        <w:rPr>
          <w:rFonts w:ascii="Palatino Linotype" w:hAnsi="Palatino Linotype"/>
          <w:b w:val="0"/>
          <w:sz w:val="22"/>
        </w:rPr>
        <w:t>2.2.1 Req 1: Representation of consent as an evaluable authorisation object</w:t>
        <w:tab/>
        <w:t>10</w:t>
      </w:r>
    </w:p>
    <w:p>
      <w:pPr>
        <w:tabs>
          <w:tab w:pos="8504" w:val="right" w:leader="dot"/>
        </w:tabs>
        <w:spacing w:after="40" w:before="0"/>
        <w:ind w:left="1020"/>
        <w:jc w:val="left"/>
      </w:pPr>
      <w:r>
        <w:rPr>
          <w:rFonts w:ascii="Palatino Linotype" w:hAnsi="Palatino Linotype"/>
          <w:b w:val="0"/>
          <w:sz w:val="22"/>
        </w:rPr>
        <w:t>2.2.2 Req 2: Decentralised verification of identity and authority</w:t>
        <w:tab/>
        <w:t>10</w:t>
      </w:r>
    </w:p>
    <w:p>
      <w:pPr>
        <w:tabs>
          <w:tab w:pos="8504" w:val="right" w:leader="dot"/>
        </w:tabs>
        <w:spacing w:after="40" w:before="0"/>
        <w:ind w:left="1020"/>
        <w:jc w:val="left"/>
      </w:pPr>
      <w:r>
        <w:rPr>
          <w:rFonts w:ascii="Palatino Linotype" w:hAnsi="Palatino Linotype"/>
          <w:b w:val="0"/>
          <w:sz w:val="22"/>
        </w:rPr>
        <w:t>2.2.3 Req 3: Multi-party authorisation through a verifiable threshold</w:t>
        <w:tab/>
        <w:t>10</w:t>
      </w:r>
    </w:p>
    <w:p>
      <w:pPr>
        <w:tabs>
          <w:tab w:pos="8504" w:val="right" w:leader="dot"/>
        </w:tabs>
        <w:spacing w:after="40" w:before="0"/>
        <w:ind w:left="1020"/>
        <w:jc w:val="left"/>
      </w:pPr>
      <w:r>
        <w:rPr>
          <w:rFonts w:ascii="Palatino Linotype" w:hAnsi="Palatino Linotype"/>
          <w:b w:val="0"/>
          <w:sz w:val="22"/>
        </w:rPr>
        <w:t>2.2.4 Req 4: Policy- and context-aware enforcement at the time of access</w:t>
        <w:tab/>
        <w:t>10</w:t>
      </w:r>
    </w:p>
    <w:p>
      <w:pPr>
        <w:tabs>
          <w:tab w:pos="8504" w:val="right" w:leader="dot"/>
        </w:tabs>
        <w:spacing w:after="40" w:before="0"/>
        <w:ind w:left="1020"/>
        <w:jc w:val="left"/>
      </w:pPr>
      <w:r>
        <w:rPr>
          <w:rFonts w:ascii="Palatino Linotype" w:hAnsi="Palatino Linotype"/>
          <w:b w:val="0"/>
          <w:sz w:val="22"/>
        </w:rPr>
        <w:t>2.2.5 Req 5: Temporal validity and lifecycle control of consent</w:t>
        <w:tab/>
        <w:t>10</w:t>
      </w:r>
    </w:p>
    <w:p>
      <w:pPr>
        <w:tabs>
          <w:tab w:pos="8504" w:val="right" w:leader="dot"/>
        </w:tabs>
        <w:spacing w:after="40" w:before="0"/>
        <w:ind w:left="1020"/>
        <w:jc w:val="left"/>
      </w:pPr>
      <w:r>
        <w:rPr>
          <w:rFonts w:ascii="Palatino Linotype" w:hAnsi="Palatino Linotype"/>
          <w:b w:val="0"/>
          <w:sz w:val="22"/>
        </w:rPr>
        <w:t>2.2.6 Req 6: Verifiable auditability and security assurance</w:t>
        <w:tab/>
        <w:t>10</w:t>
      </w:r>
    </w:p>
    <w:p>
      <w:pPr>
        <w:tabs>
          <w:tab w:pos="8504" w:val="right" w:leader="dot"/>
        </w:tabs>
        <w:spacing w:after="40" w:before="0"/>
        <w:ind w:left="454"/>
        <w:jc w:val="left"/>
      </w:pPr>
      <w:r>
        <w:rPr>
          <w:rFonts w:ascii="Palatino Linotype" w:hAnsi="Palatino Linotype"/>
          <w:b w:val="0"/>
          <w:sz w:val="22"/>
        </w:rPr>
        <w:t>2.3 Process Adopted for Shortlisting the Papers for SLR</w:t>
        <w:tab/>
        <w:t>11</w:t>
      </w:r>
    </w:p>
    <w:p>
      <w:pPr>
        <w:tabs>
          <w:tab w:pos="8504" w:val="right" w:leader="dot"/>
        </w:tabs>
        <w:spacing w:after="40" w:before="0"/>
        <w:ind w:left="1020"/>
        <w:jc w:val="left"/>
      </w:pPr>
      <w:r>
        <w:rPr>
          <w:rFonts w:ascii="Palatino Linotype" w:hAnsi="Palatino Linotype"/>
          <w:b w:val="0"/>
          <w:sz w:val="22"/>
        </w:rPr>
        <w:t>2.3.1 Step 1: Criteria for Searching the Literature</w:t>
        <w:tab/>
        <w:t>11</w:t>
      </w:r>
    </w:p>
    <w:p>
      <w:pPr>
        <w:tabs>
          <w:tab w:pos="8504" w:val="right" w:leader="dot"/>
        </w:tabs>
        <w:spacing w:after="40" w:before="0"/>
        <w:ind w:left="1020"/>
        <w:jc w:val="left"/>
      </w:pPr>
      <w:r>
        <w:rPr>
          <w:rFonts w:ascii="Palatino Linotype" w:hAnsi="Palatino Linotype"/>
          <w:b w:val="0"/>
          <w:sz w:val="22"/>
        </w:rPr>
        <w:t>2.3.2 Step 2: Inclusion and Exclusion Criteria</w:t>
        <w:tab/>
        <w:t>12</w:t>
      </w:r>
    </w:p>
    <w:p>
      <w:pPr>
        <w:tabs>
          <w:tab w:pos="8504" w:val="right" w:leader="dot"/>
        </w:tabs>
        <w:spacing w:after="40" w:before="0"/>
        <w:ind w:left="1020"/>
        <w:jc w:val="left"/>
      </w:pPr>
      <w:r>
        <w:rPr>
          <w:rFonts w:ascii="Palatino Linotype" w:hAnsi="Palatino Linotype"/>
          <w:b w:val="0"/>
          <w:sz w:val="22"/>
        </w:rPr>
        <w:t>2.3.3 Step 3: Quality Evaluation</w:t>
        <w:tab/>
        <w:t>13</w:t>
      </w:r>
    </w:p>
    <w:p>
      <w:pPr>
        <w:tabs>
          <w:tab w:pos="8504" w:val="right" w:leader="dot"/>
        </w:tabs>
        <w:spacing w:after="40" w:before="0"/>
        <w:ind w:left="1020"/>
        <w:jc w:val="left"/>
      </w:pPr>
      <w:r>
        <w:rPr>
          <w:rFonts w:ascii="Palatino Linotype" w:hAnsi="Palatino Linotype"/>
          <w:b w:val="0"/>
          <w:sz w:val="22"/>
        </w:rPr>
        <w:t>2.3.4 Step 4: Shortlisted Papers for SLR and Categorising Them into Broad Areas</w:t>
        <w:tab/>
        <w:t>14</w:t>
      </w:r>
    </w:p>
    <w:p>
      <w:pPr>
        <w:tabs>
          <w:tab w:pos="8504" w:val="right" w:leader="dot"/>
        </w:tabs>
        <w:spacing w:after="40" w:before="0"/>
        <w:ind w:left="454"/>
        <w:jc w:val="left"/>
      </w:pPr>
      <w:r>
        <w:rPr>
          <w:rFonts w:ascii="Palatino Linotype" w:hAnsi="Palatino Linotype"/>
          <w:b w:val="0"/>
          <w:sz w:val="22"/>
        </w:rPr>
        <w:t>2.4 Summary of Papers Shortlisted in the SLR</w:t>
        <w:tab/>
        <w:t>15</w:t>
      </w:r>
    </w:p>
    <w:p>
      <w:pPr>
        <w:tabs>
          <w:tab w:pos="8504" w:val="right" w:leader="dot"/>
        </w:tabs>
        <w:spacing w:after="40" w:before="0"/>
        <w:ind w:left="1020"/>
        <w:jc w:val="left"/>
      </w:pPr>
      <w:r>
        <w:rPr>
          <w:rFonts w:ascii="Palatino Linotype" w:hAnsi="Palatino Linotype"/>
          <w:b w:val="0"/>
          <w:sz w:val="22"/>
        </w:rPr>
        <w:t>2.4.1 Consent representation and blockchain-based consent governance (Req 1)</w:t>
        <w:tab/>
        <w:t>16</w:t>
      </w:r>
    </w:p>
    <w:p>
      <w:pPr>
        <w:tabs>
          <w:tab w:pos="8504" w:val="right" w:leader="dot"/>
        </w:tabs>
        <w:spacing w:after="40" w:before="0"/>
        <w:ind w:left="1020"/>
        <w:jc w:val="left"/>
      </w:pPr>
      <w:r>
        <w:rPr>
          <w:rFonts w:ascii="Palatino Linotype" w:hAnsi="Palatino Linotype"/>
          <w:b w:val="0"/>
          <w:sz w:val="22"/>
        </w:rPr>
        <w:t>2.4.2 Decentralised identity and authority trust (Req 2)</w:t>
        <w:tab/>
        <w:t>16</w:t>
      </w:r>
    </w:p>
    <w:p>
      <w:pPr>
        <w:tabs>
          <w:tab w:pos="8504" w:val="right" w:leader="dot"/>
        </w:tabs>
        <w:spacing w:after="40" w:before="0"/>
        <w:ind w:left="1020"/>
        <w:jc w:val="left"/>
      </w:pPr>
      <w:r>
        <w:rPr>
          <w:rFonts w:ascii="Palatino Linotype" w:hAnsi="Palatino Linotype"/>
          <w:b w:val="0"/>
          <w:sz w:val="22"/>
        </w:rPr>
        <w:t>2.4.3 Multi-party authorisation and collaborative consent (Req 3)</w:t>
        <w:tab/>
        <w:t>17</w:t>
      </w:r>
    </w:p>
    <w:p>
      <w:pPr>
        <w:tabs>
          <w:tab w:pos="8504" w:val="right" w:leader="dot"/>
        </w:tabs>
        <w:spacing w:after="40" w:before="0"/>
        <w:ind w:left="1020"/>
        <w:jc w:val="left"/>
      </w:pPr>
      <w:r>
        <w:rPr>
          <w:rFonts w:ascii="Palatino Linotype" w:hAnsi="Palatino Linotype"/>
          <w:b w:val="0"/>
          <w:sz w:val="22"/>
        </w:rPr>
        <w:t>2.4.4 Policy- and context-aware access control (Req 4)</w:t>
        <w:tab/>
        <w:t>18</w:t>
      </w:r>
    </w:p>
    <w:p>
      <w:pPr>
        <w:tabs>
          <w:tab w:pos="8504" w:val="right" w:leader="dot"/>
        </w:tabs>
        <w:spacing w:after="40" w:before="0"/>
        <w:ind w:left="1020"/>
        <w:jc w:val="left"/>
      </w:pPr>
      <w:r>
        <w:rPr>
          <w:rFonts w:ascii="Palatino Linotype" w:hAnsi="Palatino Linotype"/>
          <w:b w:val="0"/>
          <w:sz w:val="22"/>
        </w:rPr>
        <w:t>2.4.5 Temporal validity and consent lifecycle (Req 5)</w:t>
        <w:tab/>
        <w:t>19</w:t>
      </w:r>
    </w:p>
    <w:p>
      <w:pPr>
        <w:tabs>
          <w:tab w:pos="8504" w:val="right" w:leader="dot"/>
        </w:tabs>
        <w:spacing w:after="40" w:before="0"/>
        <w:ind w:left="1020"/>
        <w:jc w:val="left"/>
      </w:pPr>
      <w:r>
        <w:rPr>
          <w:rFonts w:ascii="Palatino Linotype" w:hAnsi="Palatino Linotype"/>
          <w:b w:val="0"/>
          <w:sz w:val="22"/>
        </w:rPr>
        <w:t>2.4.6 Formal security assurance and empirical validation (Req 6)</w:t>
        <w:tab/>
        <w:t>20</w:t>
      </w:r>
    </w:p>
    <w:p>
      <w:pPr>
        <w:tabs>
          <w:tab w:pos="8504" w:val="right" w:leader="dot"/>
        </w:tabs>
        <w:spacing w:after="40" w:before="0"/>
        <w:ind w:left="1020"/>
        <w:jc w:val="left"/>
      </w:pPr>
      <w:r>
        <w:rPr>
          <w:rFonts w:ascii="Palatino Linotype" w:hAnsi="Palatino Linotype"/>
          <w:b w:val="0"/>
          <w:sz w:val="22"/>
        </w:rPr>
        <w:t>2.4.7 Research Gaps in the Existing Studies from the Requirement Perspective</w:t>
        <w:tab/>
        <w:t>21</w:t>
      </w:r>
    </w:p>
    <w:p>
      <w:pPr>
        <w:tabs>
          <w:tab w:pos="8504" w:val="right" w:leader="dot"/>
        </w:tabs>
        <w:spacing w:after="40" w:before="0"/>
        <w:ind w:left="454"/>
        <w:jc w:val="left"/>
      </w:pPr>
      <w:r>
        <w:rPr>
          <w:rFonts w:ascii="Palatino Linotype" w:hAnsi="Palatino Linotype"/>
          <w:b w:val="0"/>
          <w:sz w:val="22"/>
        </w:rPr>
        <w:t>2.5 Trust-Oriented Multi-Party Consent Authorisation Framework</w:t>
        <w:tab/>
        <w:t>25</w:t>
      </w:r>
    </w:p>
    <w:p>
      <w:pPr>
        <w:tabs>
          <w:tab w:pos="8504" w:val="right" w:leader="dot"/>
        </w:tabs>
        <w:spacing w:after="40" w:before="0"/>
        <w:ind w:left="1020"/>
        <w:jc w:val="left"/>
      </w:pPr>
      <w:r>
        <w:rPr>
          <w:rFonts w:ascii="Palatino Linotype" w:hAnsi="Palatino Linotype"/>
          <w:b w:val="0"/>
          <w:sz w:val="22"/>
        </w:rPr>
        <w:t>2.5.1 Representation of Consent as an Evaluable Authorisation Object (Req 1)</w:t>
        <w:tab/>
        <w:t>26</w:t>
      </w:r>
    </w:p>
    <w:p>
      <w:pPr>
        <w:tabs>
          <w:tab w:pos="8504" w:val="right" w:leader="dot"/>
        </w:tabs>
        <w:spacing w:after="40" w:before="0"/>
        <w:ind w:left="1020"/>
        <w:jc w:val="left"/>
      </w:pPr>
      <w:r>
        <w:rPr>
          <w:rFonts w:ascii="Palatino Linotype" w:hAnsi="Palatino Linotype"/>
          <w:b w:val="0"/>
          <w:sz w:val="22"/>
        </w:rPr>
        <w:t>2.5.2 Decentralised Verification of Identity and Authority (Req 2)</w:t>
        <w:tab/>
        <w:t>26</w:t>
      </w:r>
    </w:p>
    <w:p>
      <w:pPr>
        <w:tabs>
          <w:tab w:pos="8504" w:val="right" w:leader="dot"/>
        </w:tabs>
        <w:spacing w:after="40" w:before="0"/>
        <w:ind w:left="1020"/>
        <w:jc w:val="left"/>
      </w:pPr>
      <w:r>
        <w:rPr>
          <w:rFonts w:ascii="Palatino Linotype" w:hAnsi="Palatino Linotype"/>
          <w:b w:val="0"/>
          <w:sz w:val="22"/>
        </w:rPr>
        <w:t>2.5.3 Multi-Party Authorisation through a Verifiable Threshold (Req 3)</w:t>
        <w:tab/>
        <w:t>26</w:t>
      </w:r>
    </w:p>
    <w:p>
      <w:pPr>
        <w:tabs>
          <w:tab w:pos="8504" w:val="right" w:leader="dot"/>
        </w:tabs>
        <w:spacing w:after="40" w:before="0"/>
        <w:ind w:left="1020"/>
        <w:jc w:val="left"/>
      </w:pPr>
      <w:r>
        <w:rPr>
          <w:rFonts w:ascii="Palatino Linotype" w:hAnsi="Palatino Linotype"/>
          <w:b w:val="0"/>
          <w:sz w:val="22"/>
        </w:rPr>
        <w:t>2.5.4 Policy- and Context-Aware Enforcement at the Time of Access (Req 4)</w:t>
        <w:tab/>
        <w:t>26</w:t>
      </w:r>
    </w:p>
    <w:p>
      <w:pPr>
        <w:tabs>
          <w:tab w:pos="8504" w:val="right" w:leader="dot"/>
        </w:tabs>
        <w:spacing w:after="40" w:before="0"/>
        <w:ind w:left="1020"/>
        <w:jc w:val="left"/>
      </w:pPr>
      <w:r>
        <w:rPr>
          <w:rFonts w:ascii="Palatino Linotype" w:hAnsi="Palatino Linotype"/>
          <w:b w:val="0"/>
          <w:sz w:val="22"/>
        </w:rPr>
        <w:t>2.5.5 Temporal Validity and Lifecycle Control of Consent (Req 5)</w:t>
        <w:tab/>
        <w:t>26</w:t>
      </w:r>
    </w:p>
    <w:p>
      <w:pPr>
        <w:tabs>
          <w:tab w:pos="8504" w:val="right" w:leader="dot"/>
        </w:tabs>
        <w:spacing w:after="40" w:before="0"/>
        <w:ind w:left="1020"/>
        <w:jc w:val="left"/>
      </w:pPr>
      <w:r>
        <w:rPr>
          <w:rFonts w:ascii="Palatino Linotype" w:hAnsi="Palatino Linotype"/>
          <w:b w:val="0"/>
          <w:sz w:val="22"/>
        </w:rPr>
        <w:t>2.5.6 Verifiable Auditability and Security Assurance (Req 6)</w:t>
        <w:tab/>
        <w:t>26</w:t>
      </w:r>
    </w:p>
    <w:p>
      <w:pPr>
        <w:tabs>
          <w:tab w:pos="8504" w:val="right" w:leader="dot"/>
        </w:tabs>
        <w:spacing w:after="40" w:before="0"/>
        <w:ind w:left="454"/>
        <w:jc w:val="left"/>
      </w:pPr>
      <w:r>
        <w:rPr>
          <w:rFonts w:ascii="Palatino Linotype" w:hAnsi="Palatino Linotype"/>
          <w:b w:val="0"/>
          <w:sz w:val="22"/>
        </w:rPr>
        <w:t>2.6 Conclusion</w:t>
        <w:tab/>
        <w:t>26</w:t>
      </w:r>
    </w:p>
    <w:p>
      <w:pPr>
        <w:tabs>
          <w:tab w:pos="8504" w:val="right" w:leader="dot"/>
        </w:tabs>
        <w:spacing w:after="120" w:before="160"/>
        <w:ind w:left="0"/>
        <w:jc w:val="left"/>
      </w:pPr>
      <w:r>
        <w:rPr>
          <w:rFonts w:ascii="Palatino Linotype" w:hAnsi="Palatino Linotype"/>
          <w:b/>
          <w:sz w:val="22"/>
        </w:rPr>
        <w:t>3 Research Questions and Objectives</w:t>
        <w:tab/>
        <w:t>28</w:t>
      </w:r>
    </w:p>
    <w:p>
      <w:pPr>
        <w:tabs>
          <w:tab w:pos="8504" w:val="right" w:leader="dot"/>
        </w:tabs>
        <w:spacing w:after="40" w:before="0"/>
        <w:ind w:left="454"/>
        <w:jc w:val="left"/>
      </w:pPr>
      <w:r>
        <w:rPr>
          <w:rFonts w:ascii="Palatino Linotype" w:hAnsi="Palatino Linotype"/>
          <w:b w:val="0"/>
          <w:sz w:val="22"/>
        </w:rPr>
        <w:t>3.1 Introduction</w:t>
        <w:tab/>
        <w:t>28</w:t>
      </w:r>
    </w:p>
    <w:p>
      <w:pPr>
        <w:tabs>
          <w:tab w:pos="8504" w:val="right" w:leader="dot"/>
        </w:tabs>
        <w:spacing w:after="40" w:before="0"/>
        <w:ind w:left="454"/>
        <w:jc w:val="left"/>
      </w:pPr>
      <w:r>
        <w:rPr>
          <w:rFonts w:ascii="Palatino Linotype" w:hAnsi="Palatino Linotype"/>
          <w:b w:val="0"/>
          <w:sz w:val="22"/>
        </w:rPr>
        <w:t>3.2 Gaps in the Literature</w:t>
        <w:tab/>
        <w:t>28</w:t>
      </w:r>
    </w:p>
    <w:p>
      <w:pPr>
        <w:tabs>
          <w:tab w:pos="8504" w:val="right" w:leader="dot"/>
        </w:tabs>
        <w:spacing w:after="40" w:before="0"/>
        <w:ind w:left="454"/>
        <w:jc w:val="left"/>
      </w:pPr>
      <w:r>
        <w:rPr>
          <w:rFonts w:ascii="Palatino Linotype" w:hAnsi="Palatino Linotype"/>
          <w:b w:val="0"/>
          <w:sz w:val="22"/>
        </w:rPr>
        <w:t>3.3 Key Definitions</w:t>
        <w:tab/>
        <w:t>28</w:t>
      </w:r>
    </w:p>
    <w:p>
      <w:pPr>
        <w:tabs>
          <w:tab w:pos="8504" w:val="right" w:leader="dot"/>
        </w:tabs>
        <w:spacing w:after="40" w:before="0"/>
        <w:ind w:left="454"/>
        <w:jc w:val="left"/>
      </w:pPr>
      <w:r>
        <w:rPr>
          <w:rFonts w:ascii="Palatino Linotype" w:hAnsi="Palatino Linotype"/>
          <w:b w:val="0"/>
          <w:sz w:val="22"/>
        </w:rPr>
        <w:t>3.4 Research Questions</w:t>
        <w:tab/>
        <w:t>29</w:t>
      </w:r>
    </w:p>
    <w:p>
      <w:pPr>
        <w:tabs>
          <w:tab w:pos="8504" w:val="right" w:leader="dot"/>
        </w:tabs>
        <w:spacing w:after="40" w:before="0"/>
        <w:ind w:left="1020"/>
        <w:jc w:val="left"/>
      </w:pPr>
      <w:r>
        <w:rPr>
          <w:rFonts w:ascii="Palatino Linotype" w:hAnsi="Palatino Linotype"/>
          <w:b w:val="0"/>
          <w:sz w:val="22"/>
        </w:rPr>
        <w:t>3.4.1 Research Questions as an Integrated Problem</w:t>
        <w:tab/>
        <w:t>30</w:t>
      </w:r>
    </w:p>
    <w:p>
      <w:pPr>
        <w:tabs>
          <w:tab w:pos="8504" w:val="right" w:leader="dot"/>
        </w:tabs>
        <w:spacing w:after="40" w:before="0"/>
        <w:ind w:left="454"/>
        <w:jc w:val="left"/>
      </w:pPr>
      <w:r>
        <w:rPr>
          <w:rFonts w:ascii="Palatino Linotype" w:hAnsi="Palatino Linotype"/>
          <w:b w:val="0"/>
          <w:sz w:val="22"/>
        </w:rPr>
        <w:t>3.5 Research Objectives</w:t>
        <w:tab/>
        <w:t>30</w:t>
      </w:r>
    </w:p>
    <w:p>
      <w:pPr>
        <w:tabs>
          <w:tab w:pos="8504" w:val="right" w:leader="dot"/>
        </w:tabs>
        <w:spacing w:after="40" w:before="0"/>
        <w:ind w:left="1020"/>
        <w:jc w:val="left"/>
      </w:pPr>
      <w:r>
        <w:rPr>
          <w:rFonts w:ascii="Palatino Linotype" w:hAnsi="Palatino Linotype"/>
          <w:b w:val="0"/>
          <w:sz w:val="22"/>
        </w:rPr>
        <w:t>3.5.1 RO1: Trust-Centric Consent Model</w:t>
        <w:tab/>
        <w:t>30</w:t>
      </w:r>
    </w:p>
    <w:p>
      <w:pPr>
        <w:tabs>
          <w:tab w:pos="8504" w:val="right" w:leader="dot"/>
        </w:tabs>
        <w:spacing w:after="40" w:before="0"/>
        <w:ind w:left="1020"/>
        <w:jc w:val="left"/>
      </w:pPr>
      <w:r>
        <w:rPr>
          <w:rFonts w:ascii="Palatino Linotype" w:hAnsi="Palatino Linotype"/>
          <w:b w:val="0"/>
          <w:sz w:val="22"/>
        </w:rPr>
        <w:t>3.5.2 RO2: Decentralised Identity and Authority Trust</w:t>
        <w:tab/>
        <w:t>31</w:t>
      </w:r>
    </w:p>
    <w:p>
      <w:pPr>
        <w:tabs>
          <w:tab w:pos="8504" w:val="right" w:leader="dot"/>
        </w:tabs>
        <w:spacing w:after="40" w:before="0"/>
        <w:ind w:left="1020"/>
        <w:jc w:val="left"/>
      </w:pPr>
      <w:r>
        <w:rPr>
          <w:rFonts w:ascii="Palatino Linotype" w:hAnsi="Palatino Linotype"/>
          <w:b w:val="0"/>
          <w:sz w:val="22"/>
        </w:rPr>
        <w:t>3.5.3 RO3: Trustworthy Multi-Party Authorisation</w:t>
        <w:tab/>
        <w:t>31</w:t>
      </w:r>
    </w:p>
    <w:p>
      <w:pPr>
        <w:tabs>
          <w:tab w:pos="8504" w:val="right" w:leader="dot"/>
        </w:tabs>
        <w:spacing w:after="40" w:before="0"/>
        <w:ind w:left="1020"/>
        <w:jc w:val="left"/>
      </w:pPr>
      <w:r>
        <w:rPr>
          <w:rFonts w:ascii="Palatino Linotype" w:hAnsi="Palatino Linotype"/>
          <w:b w:val="0"/>
          <w:sz w:val="22"/>
        </w:rPr>
        <w:t>3.5.4 RO4: Policy- and Context-Aware Access Control</w:t>
        <w:tab/>
        <w:t>31</w:t>
      </w:r>
    </w:p>
    <w:p>
      <w:pPr>
        <w:tabs>
          <w:tab w:pos="8504" w:val="right" w:leader="dot"/>
        </w:tabs>
        <w:spacing w:after="40" w:before="0"/>
        <w:ind w:left="1020"/>
        <w:jc w:val="left"/>
      </w:pPr>
      <w:r>
        <w:rPr>
          <w:rFonts w:ascii="Palatino Linotype" w:hAnsi="Palatino Linotype"/>
          <w:b w:val="0"/>
          <w:sz w:val="22"/>
        </w:rPr>
        <w:t>3.5.5 RO5: Temporal and Lifecycle Trust</w:t>
        <w:tab/>
        <w:t>31</w:t>
      </w:r>
    </w:p>
    <w:p>
      <w:pPr>
        <w:tabs>
          <w:tab w:pos="8504" w:val="right" w:leader="dot"/>
        </w:tabs>
        <w:spacing w:after="40" w:before="0"/>
        <w:ind w:left="1020"/>
        <w:jc w:val="left"/>
      </w:pPr>
      <w:r>
        <w:rPr>
          <w:rFonts w:ascii="Palatino Linotype" w:hAnsi="Palatino Linotype"/>
          <w:b w:val="0"/>
          <w:sz w:val="22"/>
        </w:rPr>
        <w:t>3.5.6 RO6: Formal Security Assurance and Empirical Validation</w:t>
        <w:tab/>
        <w:t>32</w:t>
      </w:r>
    </w:p>
    <w:p>
      <w:pPr>
        <w:tabs>
          <w:tab w:pos="8504" w:val="right" w:leader="dot"/>
        </w:tabs>
        <w:spacing w:after="40" w:before="0"/>
        <w:ind w:left="1020"/>
        <w:jc w:val="left"/>
      </w:pPr>
      <w:r>
        <w:rPr>
          <w:rFonts w:ascii="Palatino Linotype" w:hAnsi="Palatino Linotype"/>
          <w:b w:val="0"/>
          <w:sz w:val="22"/>
        </w:rPr>
        <w:t>3.5.7 Relationship Between Research Questions and Objectives</w:t>
        <w:tab/>
        <w:t>32</w:t>
      </w:r>
    </w:p>
    <w:p>
      <w:pPr>
        <w:tabs>
          <w:tab w:pos="8504" w:val="right" w:leader="dot"/>
        </w:tabs>
        <w:spacing w:after="40" w:before="0"/>
        <w:ind w:left="454"/>
        <w:jc w:val="left"/>
      </w:pPr>
      <w:r>
        <w:rPr>
          <w:rFonts w:ascii="Palatino Linotype" w:hAnsi="Palatino Linotype"/>
          <w:b w:val="0"/>
          <w:sz w:val="22"/>
        </w:rPr>
        <w:t>3.6 Conclusion</w:t>
        <w:tab/>
        <w:t>33</w:t>
      </w:r>
    </w:p>
    <w:p>
      <w:pPr>
        <w:tabs>
          <w:tab w:pos="8504" w:val="right" w:leader="dot"/>
        </w:tabs>
        <w:spacing w:after="120" w:before="160"/>
        <w:ind w:left="0"/>
        <w:jc w:val="left"/>
      </w:pPr>
      <w:r>
        <w:rPr>
          <w:rFonts w:ascii="Palatino Linotype" w:hAnsi="Palatino Linotype"/>
          <w:b/>
          <w:sz w:val="22"/>
        </w:rPr>
        <w:t>4 Research Methodology and Solution Overview</w:t>
        <w:tab/>
        <w:t>34</w:t>
      </w:r>
    </w:p>
    <w:p>
      <w:pPr>
        <w:tabs>
          <w:tab w:pos="8504" w:val="right" w:leader="dot"/>
        </w:tabs>
        <w:spacing w:after="40" w:before="0"/>
        <w:ind w:left="454"/>
        <w:jc w:val="left"/>
      </w:pPr>
      <w:r>
        <w:rPr>
          <w:rFonts w:ascii="Palatino Linotype" w:hAnsi="Palatino Linotype"/>
          <w:b w:val="0"/>
          <w:sz w:val="22"/>
        </w:rPr>
        <w:t>4.1 Introduction</w:t>
        <w:tab/>
        <w:t>34</w:t>
      </w:r>
    </w:p>
    <w:p>
      <w:pPr>
        <w:tabs>
          <w:tab w:pos="8504" w:val="right" w:leader="dot"/>
        </w:tabs>
        <w:spacing w:after="40" w:before="0"/>
        <w:ind w:left="454"/>
        <w:jc w:val="left"/>
      </w:pPr>
      <w:r>
        <w:rPr>
          <w:rFonts w:ascii="Palatino Linotype" w:hAnsi="Palatino Linotype"/>
          <w:b w:val="0"/>
          <w:sz w:val="22"/>
        </w:rPr>
        <w:t>4.2 Key Definitions</w:t>
        <w:tab/>
        <w:t>34</w:t>
      </w:r>
    </w:p>
    <w:p>
      <w:pPr>
        <w:tabs>
          <w:tab w:pos="8504" w:val="right" w:leader="dot"/>
        </w:tabs>
        <w:spacing w:after="40" w:before="0"/>
        <w:ind w:left="454"/>
        <w:jc w:val="left"/>
      </w:pPr>
      <w:r>
        <w:rPr>
          <w:rFonts w:ascii="Palatino Linotype" w:hAnsi="Palatino Linotype"/>
          <w:b w:val="0"/>
          <w:sz w:val="22"/>
        </w:rPr>
        <w:t>4.3 Selected Research Methodology</w:t>
        <w:tab/>
        <w:t>35</w:t>
      </w:r>
    </w:p>
    <w:p>
      <w:pPr>
        <w:tabs>
          <w:tab w:pos="8504" w:val="right" w:leader="dot"/>
        </w:tabs>
        <w:spacing w:after="40" w:before="0"/>
        <w:ind w:left="454"/>
        <w:jc w:val="left"/>
      </w:pPr>
      <w:r>
        <w:rPr>
          <w:rFonts w:ascii="Palatino Linotype" w:hAnsi="Palatino Linotype"/>
          <w:b w:val="0"/>
          <w:sz w:val="22"/>
        </w:rPr>
        <w:t>4.4 Solution Overview</w:t>
        <w:tab/>
        <w:t>35</w:t>
      </w:r>
    </w:p>
    <w:p>
      <w:pPr>
        <w:tabs>
          <w:tab w:pos="8504" w:val="right" w:leader="dot"/>
        </w:tabs>
        <w:spacing w:after="40" w:before="0"/>
        <w:ind w:left="454"/>
        <w:jc w:val="left"/>
      </w:pPr>
      <w:r>
        <w:rPr>
          <w:rFonts w:ascii="Palatino Linotype" w:hAnsi="Palatino Linotype"/>
          <w:b w:val="0"/>
          <w:sz w:val="22"/>
        </w:rPr>
        <w:t>4.5 Overview of Solution for RQ1</w:t>
        <w:tab/>
        <w:t>37</w:t>
      </w:r>
    </w:p>
    <w:p>
      <w:pPr>
        <w:tabs>
          <w:tab w:pos="8504" w:val="right" w:leader="dot"/>
        </w:tabs>
        <w:spacing w:after="40" w:before="0"/>
        <w:ind w:left="454"/>
        <w:jc w:val="left"/>
      </w:pPr>
      <w:r>
        <w:rPr>
          <w:rFonts w:ascii="Palatino Linotype" w:hAnsi="Palatino Linotype"/>
          <w:b w:val="0"/>
          <w:sz w:val="22"/>
        </w:rPr>
        <w:t>4.6 Overview of Solution for RQ2</w:t>
        <w:tab/>
        <w:t>38</w:t>
      </w:r>
    </w:p>
    <w:p>
      <w:pPr>
        <w:tabs>
          <w:tab w:pos="8504" w:val="right" w:leader="dot"/>
        </w:tabs>
        <w:spacing w:after="40" w:before="0"/>
        <w:ind w:left="454"/>
        <w:jc w:val="left"/>
      </w:pPr>
      <w:r>
        <w:rPr>
          <w:rFonts w:ascii="Palatino Linotype" w:hAnsi="Palatino Linotype"/>
          <w:b w:val="0"/>
          <w:sz w:val="22"/>
        </w:rPr>
        <w:t>4.7 Overview of Solution for RQ3</w:t>
        <w:tab/>
        <w:t>38</w:t>
      </w:r>
    </w:p>
    <w:p>
      <w:pPr>
        <w:tabs>
          <w:tab w:pos="8504" w:val="right" w:leader="dot"/>
        </w:tabs>
        <w:spacing w:after="40" w:before="0"/>
        <w:ind w:left="454"/>
        <w:jc w:val="left"/>
      </w:pPr>
      <w:r>
        <w:rPr>
          <w:rFonts w:ascii="Palatino Linotype" w:hAnsi="Palatino Linotype"/>
          <w:b w:val="0"/>
          <w:sz w:val="22"/>
        </w:rPr>
        <w:t>4.8 Overview of Solution for RQ4</w:t>
        <w:tab/>
        <w:t>38</w:t>
      </w:r>
    </w:p>
    <w:p>
      <w:pPr>
        <w:tabs>
          <w:tab w:pos="8504" w:val="right" w:leader="dot"/>
        </w:tabs>
        <w:spacing w:after="40" w:before="0"/>
        <w:ind w:left="454"/>
        <w:jc w:val="left"/>
      </w:pPr>
      <w:r>
        <w:rPr>
          <w:rFonts w:ascii="Palatino Linotype" w:hAnsi="Palatino Linotype"/>
          <w:b w:val="0"/>
          <w:sz w:val="22"/>
        </w:rPr>
        <w:t>4.9 Overview of Solution for RQ5</w:t>
        <w:tab/>
        <w:t>38</w:t>
      </w:r>
    </w:p>
    <w:p>
      <w:pPr>
        <w:tabs>
          <w:tab w:pos="8504" w:val="right" w:leader="dot"/>
        </w:tabs>
        <w:spacing w:after="40" w:before="0"/>
        <w:ind w:left="454"/>
        <w:jc w:val="left"/>
      </w:pPr>
      <w:r>
        <w:rPr>
          <w:rFonts w:ascii="Palatino Linotype" w:hAnsi="Palatino Linotype"/>
          <w:b w:val="0"/>
          <w:sz w:val="22"/>
        </w:rPr>
        <w:t>4.10 Overview of Solution for RQ6</w:t>
        <w:tab/>
        <w:t>39</w:t>
      </w:r>
    </w:p>
    <w:p>
      <w:pPr>
        <w:tabs>
          <w:tab w:pos="8504" w:val="right" w:leader="dot"/>
        </w:tabs>
        <w:spacing w:after="40" w:before="0"/>
        <w:ind w:left="1020"/>
        <w:jc w:val="left"/>
      </w:pPr>
      <w:r>
        <w:rPr>
          <w:rFonts w:ascii="Palatino Linotype" w:hAnsi="Palatino Linotype"/>
          <w:b w:val="0"/>
          <w:sz w:val="22"/>
        </w:rPr>
        <w:t>4.10.1 Testing and Verification of the Solution</w:t>
        <w:tab/>
        <w:t>39</w:t>
      </w:r>
    </w:p>
    <w:p>
      <w:pPr>
        <w:tabs>
          <w:tab w:pos="8504" w:val="right" w:leader="dot"/>
        </w:tabs>
        <w:spacing w:after="40" w:before="0"/>
        <w:ind w:left="454"/>
        <w:jc w:val="left"/>
      </w:pPr>
      <w:r>
        <w:rPr>
          <w:rFonts w:ascii="Palatino Linotype" w:hAnsi="Palatino Linotype"/>
          <w:b w:val="0"/>
          <w:sz w:val="22"/>
        </w:rPr>
        <w:t>4.11 Conclusion</w:t>
        <w:tab/>
        <w:t>39</w:t>
      </w:r>
    </w:p>
    <w:p>
      <w:pPr>
        <w:tabs>
          <w:tab w:pos="8504" w:val="right" w:leader="dot"/>
        </w:tabs>
        <w:spacing w:after="120" w:before="160"/>
        <w:ind w:left="0"/>
        <w:jc w:val="left"/>
      </w:pPr>
      <w:r>
        <w:rPr>
          <w:rFonts w:ascii="Palatino Linotype" w:hAnsi="Palatino Linotype"/>
          <w:b/>
          <w:sz w:val="22"/>
        </w:rPr>
        <w:t>5 Research Architecture and Trust-Centric Consent Model</w:t>
        <w:tab/>
        <w:t>41</w:t>
      </w:r>
    </w:p>
    <w:p>
      <w:pPr>
        <w:tabs>
          <w:tab w:pos="8504" w:val="right" w:leader="dot"/>
        </w:tabs>
        <w:spacing w:after="40" w:before="0"/>
        <w:ind w:left="454"/>
        <w:jc w:val="left"/>
      </w:pPr>
      <w:r>
        <w:rPr>
          <w:rFonts w:ascii="Palatino Linotype" w:hAnsi="Palatino Linotype"/>
          <w:b w:val="0"/>
          <w:sz w:val="22"/>
        </w:rPr>
        <w:t>5.1 Introduction</w:t>
        <w:tab/>
        <w:t>41</w:t>
      </w:r>
    </w:p>
    <w:p>
      <w:pPr>
        <w:tabs>
          <w:tab w:pos="8504" w:val="right" w:leader="dot"/>
        </w:tabs>
        <w:spacing w:after="40" w:before="0"/>
        <w:ind w:left="454"/>
        <w:jc w:val="left"/>
      </w:pPr>
      <w:r>
        <w:rPr>
          <w:rFonts w:ascii="Palatino Linotype" w:hAnsi="Palatino Linotype"/>
          <w:b w:val="0"/>
          <w:sz w:val="22"/>
        </w:rPr>
        <w:t>5.2 Layered Architecture and Component Decomposition</w:t>
        <w:tab/>
        <w:t>41</w:t>
      </w:r>
    </w:p>
    <w:p>
      <w:pPr>
        <w:tabs>
          <w:tab w:pos="8504" w:val="right" w:leader="dot"/>
        </w:tabs>
        <w:spacing w:after="40" w:before="0"/>
        <w:ind w:left="454"/>
        <w:jc w:val="left"/>
      </w:pPr>
      <w:r>
        <w:rPr>
          <w:rFonts w:ascii="Palatino Linotype" w:hAnsi="Palatino Linotype"/>
          <w:b w:val="0"/>
          <w:sz w:val="22"/>
        </w:rPr>
        <w:t>5.3 Trust Evaluation and Architectural Boundaries</w:t>
        <w:tab/>
        <w:t>43</w:t>
      </w:r>
    </w:p>
    <w:p>
      <w:pPr>
        <w:tabs>
          <w:tab w:pos="8504" w:val="right" w:leader="dot"/>
        </w:tabs>
        <w:spacing w:after="40" w:before="0"/>
        <w:ind w:left="454"/>
        <w:jc w:val="left"/>
      </w:pPr>
      <w:r>
        <w:rPr>
          <w:rFonts w:ascii="Palatino Linotype" w:hAnsi="Palatino Linotype"/>
          <w:b w:val="0"/>
          <w:sz w:val="22"/>
        </w:rPr>
        <w:t>5.4 MVC Architecture and the Research Objectives</w:t>
        <w:tab/>
        <w:t>46</w:t>
      </w:r>
    </w:p>
    <w:p>
      <w:pPr>
        <w:tabs>
          <w:tab w:pos="8504" w:val="right" w:leader="dot"/>
        </w:tabs>
        <w:spacing w:after="40" w:before="0"/>
        <w:ind w:left="454"/>
        <w:jc w:val="left"/>
      </w:pPr>
      <w:r>
        <w:rPr>
          <w:rFonts w:ascii="Palatino Linotype" w:hAnsi="Palatino Linotype"/>
          <w:b w:val="0"/>
          <w:sz w:val="22"/>
        </w:rPr>
        <w:t>5.5 Trust-Centric Consent Model</w:t>
        <w:tab/>
        <w:t>47</w:t>
      </w:r>
    </w:p>
    <w:p>
      <w:pPr>
        <w:tabs>
          <w:tab w:pos="8504" w:val="right" w:leader="dot"/>
        </w:tabs>
        <w:spacing w:after="40" w:before="0"/>
        <w:ind w:left="1020"/>
        <w:jc w:val="left"/>
      </w:pPr>
      <w:r>
        <w:rPr>
          <w:rFonts w:ascii="Palatino Linotype" w:hAnsi="Palatino Linotype"/>
          <w:b w:val="0"/>
          <w:sz w:val="22"/>
        </w:rPr>
        <w:t>5.5.1 Consent Creation Workflow</w:t>
        <w:tab/>
        <w:t>48</w:t>
      </w:r>
    </w:p>
    <w:p>
      <w:pPr>
        <w:tabs>
          <w:tab w:pos="8504" w:val="right" w:leader="dot"/>
        </w:tabs>
        <w:spacing w:after="40" w:before="0"/>
        <w:ind w:left="1020"/>
        <w:jc w:val="left"/>
      </w:pPr>
      <w:r>
        <w:rPr>
          <w:rFonts w:ascii="Palatino Linotype" w:hAnsi="Palatino Linotype"/>
          <w:b w:val="0"/>
          <w:sz w:val="22"/>
        </w:rPr>
        <w:t>5.5.2 Structure of the Consent Object</w:t>
        <w:tab/>
        <w:t>49</w:t>
      </w:r>
    </w:p>
    <w:p>
      <w:pPr>
        <w:tabs>
          <w:tab w:pos="8504" w:val="right" w:leader="dot"/>
        </w:tabs>
        <w:spacing w:after="40" w:before="0"/>
        <w:ind w:left="1020"/>
        <w:jc w:val="left"/>
      </w:pPr>
      <w:r>
        <w:rPr>
          <w:rFonts w:ascii="Palatino Linotype" w:hAnsi="Palatino Linotype"/>
          <w:b w:val="0"/>
          <w:sz w:val="22"/>
        </w:rPr>
        <w:t>5.5.3 Trust-Aware Consent Creation Procedure and Algorithm</w:t>
        <w:tab/>
        <w:t>49</w:t>
      </w:r>
    </w:p>
    <w:p>
      <w:pPr>
        <w:tabs>
          <w:tab w:pos="8504" w:val="right" w:leader="dot"/>
        </w:tabs>
        <w:spacing w:after="40" w:before="0"/>
        <w:ind w:left="454"/>
        <w:jc w:val="left"/>
      </w:pPr>
      <w:r>
        <w:rPr>
          <w:rFonts w:ascii="Palatino Linotype" w:hAnsi="Palatino Linotype"/>
          <w:b w:val="0"/>
          <w:sz w:val="22"/>
        </w:rPr>
        <w:t>5.6 Prototype Implementation</w:t>
        <w:tab/>
        <w:t>51</w:t>
      </w:r>
    </w:p>
    <w:p>
      <w:pPr>
        <w:tabs>
          <w:tab w:pos="8504" w:val="right" w:leader="dot"/>
        </w:tabs>
        <w:spacing w:after="40" w:before="0"/>
        <w:ind w:left="1020"/>
        <w:jc w:val="left"/>
      </w:pPr>
      <w:r>
        <w:rPr>
          <w:rFonts w:ascii="Palatino Linotype" w:hAnsi="Palatino Linotype"/>
          <w:b w:val="0"/>
          <w:sz w:val="22"/>
        </w:rPr>
        <w:t>5.6.1 Aims of Engineering the Prototype System</w:t>
        <w:tab/>
        <w:t>51</w:t>
      </w:r>
    </w:p>
    <w:p>
      <w:pPr>
        <w:tabs>
          <w:tab w:pos="8504" w:val="right" w:leader="dot"/>
        </w:tabs>
        <w:spacing w:after="40" w:before="0"/>
        <w:ind w:left="1020"/>
        <w:jc w:val="left"/>
      </w:pPr>
      <w:r>
        <w:rPr>
          <w:rFonts w:ascii="Palatino Linotype" w:hAnsi="Palatino Linotype"/>
          <w:b w:val="0"/>
          <w:sz w:val="22"/>
        </w:rPr>
        <w:t>5.6.2 Dataset Used for Validation</w:t>
        <w:tab/>
        <w:t>52</w:t>
      </w:r>
    </w:p>
    <w:p>
      <w:pPr>
        <w:tabs>
          <w:tab w:pos="8504" w:val="right" w:leader="dot"/>
        </w:tabs>
        <w:spacing w:after="40" w:before="0"/>
        <w:ind w:left="1020"/>
        <w:jc w:val="left"/>
      </w:pPr>
      <w:r>
        <w:rPr>
          <w:rFonts w:ascii="Palatino Linotype" w:hAnsi="Palatino Linotype"/>
          <w:b w:val="0"/>
          <w:sz w:val="22"/>
        </w:rPr>
        <w:t>5.6.3 Steps in the Working of the Prototype for Consent Creation</w:t>
        <w:tab/>
        <w:t>52</w:t>
      </w:r>
    </w:p>
    <w:p>
      <w:pPr>
        <w:tabs>
          <w:tab w:pos="8504" w:val="right" w:leader="dot"/>
        </w:tabs>
        <w:spacing w:after="40" w:before="0"/>
        <w:ind w:left="454"/>
        <w:jc w:val="left"/>
      </w:pPr>
      <w:r>
        <w:rPr>
          <w:rFonts w:ascii="Palatino Linotype" w:hAnsi="Palatino Linotype"/>
          <w:b w:val="0"/>
          <w:sz w:val="22"/>
        </w:rPr>
        <w:t>5.7 Validation and Evaluation</w:t>
        <w:tab/>
        <w:t>53</w:t>
      </w:r>
    </w:p>
    <w:p>
      <w:pPr>
        <w:tabs>
          <w:tab w:pos="8504" w:val="right" w:leader="dot"/>
        </w:tabs>
        <w:spacing w:after="40" w:before="0"/>
        <w:ind w:left="1020"/>
        <w:jc w:val="left"/>
      </w:pPr>
      <w:r>
        <w:rPr>
          <w:rFonts w:ascii="Palatino Linotype" w:hAnsi="Palatino Linotype"/>
          <w:b w:val="0"/>
          <w:sz w:val="22"/>
        </w:rPr>
        <w:t>5.7.1 Validation of Consent Creation</w:t>
        <w:tab/>
        <w:t>53</w:t>
      </w:r>
    </w:p>
    <w:p>
      <w:pPr>
        <w:tabs>
          <w:tab w:pos="8504" w:val="right" w:leader="dot"/>
        </w:tabs>
        <w:spacing w:after="40" w:before="0"/>
        <w:ind w:left="1020"/>
        <w:jc w:val="left"/>
      </w:pPr>
      <w:r>
        <w:rPr>
          <w:rFonts w:ascii="Palatino Linotype" w:hAnsi="Palatino Linotype"/>
          <w:b w:val="0"/>
          <w:sz w:val="22"/>
        </w:rPr>
        <w:t>5.7.2 Evaluation of the Architecture against the Security Properties</w:t>
        <w:tab/>
        <w:t>55</w:t>
      </w:r>
    </w:p>
    <w:p>
      <w:pPr>
        <w:tabs>
          <w:tab w:pos="8504" w:val="right" w:leader="dot"/>
        </w:tabs>
        <w:spacing w:after="40" w:before="0"/>
        <w:ind w:left="454"/>
        <w:jc w:val="left"/>
      </w:pPr>
      <w:r>
        <w:rPr>
          <w:rFonts w:ascii="Palatino Linotype" w:hAnsi="Palatino Linotype"/>
          <w:b w:val="0"/>
          <w:sz w:val="22"/>
        </w:rPr>
        <w:t>5.8 Conclusion</w:t>
        <w:tab/>
        <w:t>56</w:t>
      </w:r>
    </w:p>
    <w:p>
      <w:pPr>
        <w:tabs>
          <w:tab w:pos="8504" w:val="right" w:leader="dot"/>
        </w:tabs>
        <w:spacing w:after="40" w:before="0"/>
        <w:ind w:left="454"/>
        <w:jc w:val="left"/>
      </w:pPr>
      <w:r>
        <w:fldChar w:fldCharType="end"/>
      </w:r>
    </w:p>
    <w:p>
      <w:r>
        <w:br w:type="page"/>
      </w:r>
    </w:p>
    <w:p>
      <w:pPr>
        <w:pStyle w:val="1"/>
        <w:jc w:val="center"/>
      </w:pPr>
      <w:r>
        <w:t>List of Figures</w:t>
      </w:r>
    </w:p>
    <w:p>
      <w:r>
        <w:fldChar w:fldCharType="begin"/>
      </w:r>
      <w:r>
        <w:instrText xml:space="preserve"> TOC \h \z \c "Figure" </w:instrText>
      </w:r>
      <w:r>
        <w:fldChar w:fldCharType="separate"/>
      </w:r>
    </w:p>
    <w:p>
      <w:pPr>
        <w:tabs>
          <w:tab w:pos="8504" w:val="right" w:leader="dot"/>
        </w:tabs>
        <w:spacing w:after="40" w:before="0"/>
        <w:ind w:left="454"/>
        <w:jc w:val="left"/>
      </w:pPr>
      <w:r>
        <w:rPr>
          <w:rFonts w:ascii="Palatino Linotype" w:hAnsi="Palatino Linotype"/>
          <w:b w:val="0"/>
          <w:sz w:val="22"/>
        </w:rPr>
        <w:t>2.1 PRISMA 2020 flow diagram of the study identification, screening, eligibility and inclusion stages.</w:t>
        <w:tab/>
        <w:t>13</w:t>
      </w:r>
    </w:p>
    <w:p>
      <w:pPr>
        <w:tabs>
          <w:tab w:pos="8504" w:val="right" w:leader="dot"/>
        </w:tabs>
        <w:spacing w:after="40" w:before="0"/>
        <w:ind w:left="454"/>
        <w:jc w:val="left"/>
      </w:pPr>
      <w:r>
        <w:rPr>
          <w:rFonts w:ascii="Palatino Linotype" w:hAnsi="Palatino Linotype"/>
          <w:b w:val="0"/>
          <w:sz w:val="22"/>
        </w:rPr>
        <w:t>2.2 Synthesis of the review: the conjunction gap and the assurance gap addressed by the proposed framework, with the number of the 25 analysed studies graded Yes for each requirement in Table 2.11.</w:t>
        <w:tab/>
        <w:t>24</w:t>
      </w:r>
    </w:p>
    <w:p>
      <w:pPr>
        <w:tabs>
          <w:tab w:pos="8504" w:val="right" w:leader="dot"/>
        </w:tabs>
        <w:spacing w:after="40" w:before="0"/>
        <w:ind w:left="454"/>
        <w:jc w:val="left"/>
      </w:pPr>
      <w:r>
        <w:rPr>
          <w:rFonts w:ascii="Palatino Linotype" w:hAnsi="Palatino Linotype"/>
          <w:b w:val="0"/>
          <w:sz w:val="22"/>
        </w:rPr>
        <w:t>4.1 The Design Science Research process of this thesis, with the output of each stage, adapted from Peffers et al. (2007).</w:t>
        <w:tab/>
        <w:t>35</w:t>
      </w:r>
    </w:p>
    <w:p>
      <w:pPr>
        <w:tabs>
          <w:tab w:pos="8504" w:val="right" w:leader="dot"/>
        </w:tabs>
        <w:spacing w:after="40" w:before="0"/>
        <w:ind w:left="454"/>
        <w:jc w:val="left"/>
      </w:pPr>
      <w:r>
        <w:rPr>
          <w:rFonts w:ascii="Palatino Linotype" w:hAnsi="Palatino Linotype"/>
          <w:b w:val="0"/>
          <w:sz w:val="22"/>
        </w:rPr>
        <w:t>4.2 End-to-end workflow of the trust-oriented consent authorisation framework.</w:t>
        <w:tab/>
        <w:t>36</w:t>
      </w:r>
    </w:p>
    <w:p>
      <w:pPr>
        <w:tabs>
          <w:tab w:pos="8504" w:val="right" w:leader="dot"/>
        </w:tabs>
        <w:spacing w:after="40" w:before="0"/>
        <w:ind w:left="454"/>
        <w:jc w:val="left"/>
      </w:pPr>
      <w:r>
        <w:rPr>
          <w:rFonts w:ascii="Palatino Linotype" w:hAnsi="Palatino Linotype"/>
          <w:b w:val="0"/>
          <w:sz w:val="22"/>
        </w:rPr>
        <w:t>5.1 Layered MVC architecture and component decomposition of the HALAH framework.</w:t>
        <w:tab/>
        <w:t>42</w:t>
      </w:r>
    </w:p>
    <w:p>
      <w:pPr>
        <w:tabs>
          <w:tab w:pos="8504" w:val="right" w:leader="dot"/>
        </w:tabs>
        <w:spacing w:after="40" w:before="0"/>
        <w:ind w:left="454"/>
        <w:jc w:val="left"/>
      </w:pPr>
      <w:r>
        <w:rPr>
          <w:rFonts w:ascii="Palatino Linotype" w:hAnsi="Palatino Linotype"/>
          <w:b w:val="0"/>
          <w:sz w:val="22"/>
        </w:rPr>
        <w:t>5.2 Functional decomposition of the MVC components.</w:t>
        <w:tab/>
        <w:t>43</w:t>
      </w:r>
    </w:p>
    <w:p>
      <w:pPr>
        <w:tabs>
          <w:tab w:pos="8504" w:val="right" w:leader="dot"/>
        </w:tabs>
        <w:spacing w:after="40" w:before="0"/>
        <w:ind w:left="454"/>
        <w:jc w:val="left"/>
      </w:pPr>
      <w:r>
        <w:rPr>
          <w:rFonts w:ascii="Palatino Linotype" w:hAnsi="Palatino Linotype"/>
          <w:b w:val="0"/>
          <w:sz w:val="22"/>
        </w:rPr>
        <w:t>5.3 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w:t>
        <w:tab/>
        <w:t>44</w:t>
      </w:r>
    </w:p>
    <w:p>
      <w:pPr>
        <w:tabs>
          <w:tab w:pos="8504" w:val="right" w:leader="dot"/>
        </w:tabs>
        <w:spacing w:after="40" w:before="0"/>
        <w:ind w:left="454"/>
        <w:jc w:val="left"/>
      </w:pPr>
      <w:r>
        <w:rPr>
          <w:rFonts w:ascii="Palatino Linotype" w:hAnsi="Palatino Linotype"/>
          <w:b w:val="0"/>
          <w:sz w:val="22"/>
        </w:rPr>
        <w:t>5.4 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tab/>
        <w:t>45</w:t>
      </w:r>
    </w:p>
    <w:p>
      <w:pPr>
        <w:tabs>
          <w:tab w:pos="8504" w:val="right" w:leader="dot"/>
        </w:tabs>
        <w:spacing w:after="40" w:before="0"/>
        <w:ind w:left="454"/>
        <w:jc w:val="left"/>
      </w:pPr>
      <w:r>
        <w:rPr>
          <w:rFonts w:ascii="Palatino Linotype" w:hAnsi="Palatino Linotype"/>
          <w:b w:val="0"/>
          <w:sz w:val="22"/>
        </w:rPr>
        <w:t>5.5 RO1 workflow for trust-centric consent creation.</w:t>
        <w:tab/>
        <w:t>48</w:t>
      </w:r>
    </w:p>
    <w:p>
      <w:pPr>
        <w:tabs>
          <w:tab w:pos="8504" w:val="right" w:leader="dot"/>
        </w:tabs>
        <w:spacing w:after="40" w:before="0"/>
        <w:ind w:left="454"/>
        <w:jc w:val="left"/>
      </w:pPr>
      <w:r>
        <w:rPr>
          <w:rFonts w:ascii="Palatino Linotype" w:hAnsi="Palatino Linotype"/>
          <w:b w:val="0"/>
          <w:sz w:val="22"/>
        </w:rPr>
        <w:t>5.6 Six-component consent model C = (I, A, P, T, L, E) with the content and supplier of each component, where L is the lifecycle state. The states shown are those of the design, and the states implemented in the prototype are given in Chapter 9.</w:t>
        <w:tab/>
        <w:t>49</w:t>
      </w:r>
    </w:p>
    <w:p>
      <w:pPr>
        <w:tabs>
          <w:tab w:pos="8504" w:val="right" w:leader="dot"/>
        </w:tabs>
        <w:spacing w:after="40" w:before="0"/>
        <w:ind w:left="454"/>
        <w:jc w:val="left"/>
      </w:pPr>
      <w:r>
        <w:rPr>
          <w:rFonts w:ascii="Palatino Linotype" w:hAnsi="Palatino Linotype"/>
          <w:b w:val="0"/>
          <w:sz w:val="22"/>
        </w:rPr>
        <w:t>5.7 The patient interface of the HALAH prototype after a consent has been created: the consent specification on the left and right, and the confirmation with the consent identifier below.</w:t>
        <w:tab/>
        <w:t>53</w:t>
      </w:r>
    </w:p>
    <w:p>
      <w:pPr>
        <w:tabs>
          <w:tab w:pos="8504" w:val="right" w:leader="dot"/>
        </w:tabs>
        <w:spacing w:after="40" w:before="0"/>
        <w:ind w:left="454"/>
        <w:jc w:val="left"/>
      </w:pPr>
      <w:r>
        <w:rPr>
          <w:rFonts w:ascii="Palatino Linotype" w:hAnsi="Palatino Linotype"/>
          <w:b w:val="0"/>
          <w:sz w:val="22"/>
        </w:rPr>
        <w:t>5.8 A specification that names the same guardian twice is rejected by Algorithm 1 before any consent is stored.</w:t>
        <w:tab/>
        <w:t>54</w:t>
      </w:r>
    </w:p>
    <w:p>
      <w:pPr>
        <w:tabs>
          <w:tab w:pos="8504" w:val="right" w:leader="dot"/>
        </w:tabs>
        <w:spacing w:after="40" w:before="0"/>
        <w:ind w:left="454"/>
        <w:jc w:val="left"/>
      </w:pPr>
      <w:r>
        <w:fldChar w:fldCharType="end"/>
      </w:r>
    </w:p>
    <w:p>
      <w:r>
        <w:br w:type="page"/>
      </w:r>
    </w:p>
    <w:p>
      <w:pPr>
        <w:pStyle w:val="1"/>
        <w:jc w:val="center"/>
      </w:pPr>
      <w:r>
        <w:t>List of Tables</w:t>
      </w:r>
    </w:p>
    <w:p>
      <w:r>
        <w:fldChar w:fldCharType="begin"/>
      </w:r>
      <w:r>
        <w:instrText xml:space="preserve"> TOC \h \z \c "Table" </w:instrText>
      </w:r>
      <w:r>
        <w:fldChar w:fldCharType="separate"/>
      </w:r>
    </w:p>
    <w:p>
      <w:pPr>
        <w:tabs>
          <w:tab w:pos="8504" w:val="right" w:leader="dot"/>
        </w:tabs>
        <w:spacing w:after="40" w:before="0"/>
        <w:ind w:left="454"/>
        <w:jc w:val="left"/>
      </w:pPr>
      <w:r>
        <w:rPr>
          <w:rFonts w:ascii="Palatino Linotype" w:hAnsi="Palatino Linotype"/>
          <w:b w:val="0"/>
          <w:sz w:val="22"/>
        </w:rPr>
        <w:t>2.1 Databases searched and records retrieved</w:t>
        <w:tab/>
        <w:t>11</w:t>
      </w:r>
    </w:p>
    <w:p>
      <w:pPr>
        <w:tabs>
          <w:tab w:pos="8504" w:val="right" w:leader="dot"/>
        </w:tabs>
        <w:spacing w:after="40" w:before="0"/>
        <w:ind w:left="454"/>
        <w:jc w:val="left"/>
      </w:pPr>
      <w:r>
        <w:rPr>
          <w:rFonts w:ascii="Palatino Linotype" w:hAnsi="Palatino Linotype"/>
          <w:b w:val="0"/>
          <w:sz w:val="22"/>
        </w:rPr>
        <w:t>2.2 Summary of the stages of evaluating and selecting the relevant papers for the SLR</w:t>
        <w:tab/>
        <w:t>12</w:t>
      </w:r>
    </w:p>
    <w:p>
      <w:pPr>
        <w:tabs>
          <w:tab w:pos="8504" w:val="right" w:leader="dot"/>
        </w:tabs>
        <w:spacing w:after="40" w:before="0"/>
        <w:ind w:left="454"/>
        <w:jc w:val="left"/>
      </w:pPr>
      <w:r>
        <w:rPr>
          <w:rFonts w:ascii="Palatino Linotype" w:hAnsi="Palatino Linotype"/>
          <w:b w:val="0"/>
          <w:sz w:val="22"/>
        </w:rPr>
        <w:t>2.3 Quality assessment items and inclusion rule</w:t>
        <w:tab/>
        <w:t>13</w:t>
      </w:r>
    </w:p>
    <w:p>
      <w:pPr>
        <w:tabs>
          <w:tab w:pos="8504" w:val="right" w:leader="dot"/>
        </w:tabs>
        <w:spacing w:after="40" w:before="0"/>
        <w:ind w:left="454"/>
        <w:jc w:val="left"/>
      </w:pPr>
      <w:r>
        <w:rPr>
          <w:rFonts w:ascii="Palatino Linotype" w:hAnsi="Palatino Linotype"/>
          <w:b w:val="0"/>
          <w:sz w:val="22"/>
        </w:rPr>
        <w:t>2.4 Listing of the 25 primary studies identified after the selection process</w:t>
        <w:tab/>
        <w:t>14</w:t>
      </w:r>
    </w:p>
    <w:p>
      <w:pPr>
        <w:tabs>
          <w:tab w:pos="8504" w:val="right" w:leader="dot"/>
        </w:tabs>
        <w:spacing w:after="40" w:before="0"/>
        <w:ind w:left="454"/>
        <w:jc w:val="left"/>
      </w:pPr>
      <w:r>
        <w:rPr>
          <w:rFonts w:ascii="Palatino Linotype" w:hAnsi="Palatino Linotype"/>
          <w:b w:val="0"/>
          <w:sz w:val="22"/>
        </w:rPr>
        <w:t>2.5 Descriptions, issues and limitations of the studies on consent representation</w:t>
        <w:tab/>
        <w:t>16</w:t>
      </w:r>
    </w:p>
    <w:p>
      <w:pPr>
        <w:tabs>
          <w:tab w:pos="8504" w:val="right" w:leader="dot"/>
        </w:tabs>
        <w:spacing w:after="40" w:before="0"/>
        <w:ind w:left="454"/>
        <w:jc w:val="left"/>
      </w:pPr>
      <w:r>
        <w:rPr>
          <w:rFonts w:ascii="Palatino Linotype" w:hAnsi="Palatino Linotype"/>
          <w:b w:val="0"/>
          <w:sz w:val="22"/>
        </w:rPr>
        <w:t>2.6 Descriptions, issues and limitations of the studies on identity and authority</w:t>
        <w:tab/>
        <w:t>17</w:t>
      </w:r>
    </w:p>
    <w:p>
      <w:pPr>
        <w:tabs>
          <w:tab w:pos="8504" w:val="right" w:leader="dot"/>
        </w:tabs>
        <w:spacing w:after="40" w:before="0"/>
        <w:ind w:left="454"/>
        <w:jc w:val="left"/>
      </w:pPr>
      <w:r>
        <w:rPr>
          <w:rFonts w:ascii="Palatino Linotype" w:hAnsi="Palatino Linotype"/>
          <w:b w:val="0"/>
          <w:sz w:val="22"/>
        </w:rPr>
        <w:t>2.7 Descriptions, issues and limitations of the studies on multi-party authorisation</w:t>
        <w:tab/>
        <w:t>18</w:t>
      </w:r>
    </w:p>
    <w:p>
      <w:pPr>
        <w:tabs>
          <w:tab w:pos="8504" w:val="right" w:leader="dot"/>
        </w:tabs>
        <w:spacing w:after="40" w:before="0"/>
        <w:ind w:left="454"/>
        <w:jc w:val="left"/>
      </w:pPr>
      <w:r>
        <w:rPr>
          <w:rFonts w:ascii="Palatino Linotype" w:hAnsi="Palatino Linotype"/>
          <w:b w:val="0"/>
          <w:sz w:val="22"/>
        </w:rPr>
        <w:t>2.8 Descriptions, issues and limitations of the studies on policy and context</w:t>
        <w:tab/>
        <w:t>19</w:t>
      </w:r>
    </w:p>
    <w:p>
      <w:pPr>
        <w:tabs>
          <w:tab w:pos="8504" w:val="right" w:leader="dot"/>
        </w:tabs>
        <w:spacing w:after="40" w:before="0"/>
        <w:ind w:left="454"/>
        <w:jc w:val="left"/>
      </w:pPr>
      <w:r>
        <w:rPr>
          <w:rFonts w:ascii="Palatino Linotype" w:hAnsi="Palatino Linotype"/>
          <w:b w:val="0"/>
          <w:sz w:val="22"/>
        </w:rPr>
        <w:t>2.9 Descriptions, issues and limitations of the studies on temporal validity and lifecycle</w:t>
        <w:tab/>
        <w:t>20</w:t>
      </w:r>
    </w:p>
    <w:p>
      <w:pPr>
        <w:tabs>
          <w:tab w:pos="8504" w:val="right" w:leader="dot"/>
        </w:tabs>
        <w:spacing w:after="40" w:before="0"/>
        <w:ind w:left="454"/>
        <w:jc w:val="left"/>
      </w:pPr>
      <w:r>
        <w:rPr>
          <w:rFonts w:ascii="Palatino Linotype" w:hAnsi="Palatino Linotype"/>
          <w:b w:val="0"/>
          <w:sz w:val="22"/>
        </w:rPr>
        <w:t>2.10 Descriptions, issues and limitations of the studies on security assurance</w:t>
        <w:tab/>
        <w:t>21</w:t>
      </w:r>
    </w:p>
    <w:p>
      <w:pPr>
        <w:tabs>
          <w:tab w:pos="8504" w:val="right" w:leader="dot"/>
        </w:tabs>
        <w:spacing w:after="40" w:before="0"/>
        <w:ind w:left="454"/>
        <w:jc w:val="left"/>
      </w:pPr>
      <w:r>
        <w:rPr>
          <w:rFonts w:ascii="Palatino Linotype" w:hAnsi="Palatino Linotype"/>
          <w:b w:val="0"/>
          <w:sz w:val="22"/>
        </w:rPr>
        <w:t>2.11 Comparison of the included studies against the key requirements</w:t>
        <w:tab/>
        <w:t>23</w:t>
      </w:r>
    </w:p>
    <w:p>
      <w:pPr>
        <w:tabs>
          <w:tab w:pos="8504" w:val="right" w:leader="dot"/>
        </w:tabs>
        <w:spacing w:after="40" w:before="0"/>
        <w:ind w:left="454"/>
        <w:jc w:val="left"/>
      </w:pPr>
      <w:r>
        <w:rPr>
          <w:rFonts w:ascii="Palatino Linotype" w:hAnsi="Palatino Linotype"/>
          <w:b w:val="0"/>
          <w:sz w:val="22"/>
        </w:rPr>
        <w:t>3.1 Research questions, research objectives, and the status of each objective</w:t>
        <w:tab/>
        <w:t>33</w:t>
      </w:r>
    </w:p>
    <w:p>
      <w:pPr>
        <w:tabs>
          <w:tab w:pos="8504" w:val="right" w:leader="dot"/>
        </w:tabs>
        <w:spacing w:after="40" w:before="0"/>
        <w:ind w:left="454"/>
        <w:jc w:val="left"/>
      </w:pPr>
      <w:r>
        <w:rPr>
          <w:rFonts w:ascii="Palatino Linotype" w:hAnsi="Palatino Linotype"/>
          <w:b w:val="0"/>
          <w:sz w:val="22"/>
        </w:rPr>
        <w:t>5.1 Mapping between research objectives and MVC components</w:t>
        <w:tab/>
        <w:t>46</w:t>
      </w:r>
    </w:p>
    <w:p>
      <w:pPr>
        <w:tabs>
          <w:tab w:pos="8504" w:val="right" w:leader="dot"/>
        </w:tabs>
        <w:spacing w:after="40" w:before="0"/>
        <w:ind w:left="454"/>
        <w:jc w:val="left"/>
      </w:pPr>
      <w:r>
        <w:rPr>
          <w:rFonts w:ascii="Palatino Linotype" w:hAnsi="Palatino Linotype"/>
          <w:b w:val="0"/>
          <w:sz w:val="22"/>
        </w:rPr>
        <w:t>5.2 Traditional EHR access control compared with the HALAH framework</w:t>
        <w:tab/>
        <w:t>47</w:t>
      </w:r>
    </w:p>
    <w:p>
      <w:pPr>
        <w:tabs>
          <w:tab w:pos="8504" w:val="right" w:leader="dot"/>
        </w:tabs>
        <w:spacing w:after="40" w:before="0"/>
        <w:ind w:left="454"/>
        <w:jc w:val="left"/>
      </w:pPr>
      <w:r>
        <w:rPr>
          <w:rFonts w:ascii="Palatino Linotype" w:hAnsi="Palatino Linotype"/>
          <w:b w:val="0"/>
          <w:sz w:val="22"/>
        </w:rPr>
        <w:t>5.3 Evaluation of the trust-centric consent model: the check applied to each component of C at creation, the evidence and the result</w:t>
        <w:tab/>
        <w:t>54</w:t>
      </w:r>
    </w:p>
    <w:p>
      <w:pPr>
        <w:tabs>
          <w:tab w:pos="8504" w:val="right" w:leader="dot"/>
        </w:tabs>
        <w:spacing w:after="40" w:before="0"/>
        <w:ind w:left="454"/>
        <w:jc w:val="left"/>
      </w:pPr>
      <w:r>
        <w:rPr>
          <w:rFonts w:ascii="Palatino Linotype" w:hAnsi="Palatino Linotype"/>
          <w:b w:val="0"/>
          <w:sz w:val="22"/>
        </w:rPr>
        <w:t>5.4 Security properties supported by the proposed MVC-based consent architecture</w:t>
        <w:tab/>
        <w:t>56</w:t>
      </w:r>
    </w:p>
    <w:p>
      <w:pPr>
        <w:tabs>
          <w:tab w:pos="8504" w:val="right" w:leader="dot"/>
        </w:tabs>
        <w:spacing w:after="40" w:before="0"/>
        <w:ind w:left="454"/>
        <w:jc w:val="left"/>
      </w:pPr>
      <w:r>
        <w:fldChar w:fldCharType="end"/>
      </w:r>
    </w:p>
    <w:p>
      <w:r>
        <w:br w:type="page"/>
      </w:r>
    </w:p>
    <w:p>
      <w:pPr>
        <w:pStyle w:val="1"/>
        <w:jc w:val="center"/>
      </w:pPr>
      <w:r>
        <w:t>Abstract</w:t>
      </w:r>
    </w:p>
    <w:p>
      <w:pPr/>
      <w:r>
        <w:t>Patient consent is the permission a patient gives for their health data to be used or shared. In most healthcare systems, consent is stored as a record and is checked once, when the permission is first given. After that, access to the data depends on the login of the person asking and on a stored permission in the hospital system. This arrangement does not show whether the person asking is really who they claim to be, whether they have the authority to ask, whether the people who had to agree have all agreed, or whether the consent is still in force at the time of the request.</w:t>
      </w:r>
    </w:p>
    <w:p>
      <w:pPr/>
      <w:r>
        <w:t>The problem is harder when the patient cannot decide alone. A child, an elderly patient or a patient without capacity depends on guardians, and in these cases more than one person must agree before the data can be released. Decentralised identifiers (DIDs) and verifiable credentials (VCs) can establish who a participant is and what role they hold, and blockchain can keep a tamper-resistant record of what was agreed. Previous researchers have already proposed each of these technologies for healthcare data sharing. However, through a systematic literature review of 25 primary studies, we have identified that the existing literature treats identity, authority, multi-party approval, purpose, time and the state of the consent as separate conditions. No reviewed study joins them in one decision that is evaluated at every access request, and none proves or tests the decision as a whole.</w:t>
      </w:r>
    </w:p>
    <w:p>
      <w:pPr/>
      <w:r>
        <w:t>The primary objective of this study is to propose and develop a trust-oriented authorisation framework termed HALAH, in which patient consent is no longer a stored record but an object that can be evaluated. The consent object carries the identity of the participants, the authority requirements, the guardians named by the patient, the purpose and data scope, the validity period, the lifecycle state and the evidence of every decision. Access is allowed only when the identity check, the approval check, the policy check, the time check and the lifecycle check all pass together, and any failed check gives a refusal that is recorded.</w:t>
      </w:r>
    </w:p>
    <w:p>
      <w:pPr/>
      <w:r>
        <w:t>The mechanisms built into HALAH provide the following: (i) a consent model in which consent is represented as an evaluable authorisation object; (ii) verification of the identity and the authority of every participant through DIDs and VCs, so that a valid identity alone does not grant access; (iii) a multi-party authorisation rule in which only verified and distinct approvals from the guardians named by the patient count, and no single party can activate the consent alone; (iv) enforcement of purpose, data scope, validity period and lifecycle state at the time of each request; and (v) an audit ledger that records every decision with the result of each check. Finally, in order to validate the correctness and the security of the proposed framework, software prototyping is chosen as the validation method. The prototype is tested with synthetic patient records, with automated tests, and with attack scenarios in which each check is deliberately bypassed.</w:t>
      </w:r>
    </w:p>
    <w:p>
      <w:pPr>
        <w:sectPr>
          <w:headerReference w:type="default" r:id="rId43"/>
          <w:headerReference w:type="even" r:id="rId44"/>
          <w:footerReference w:type="default" r:id="rId45"/>
          <w:footerReference w:type="even" r:id="rId46"/>
          <w:pgSz w:w="11906" w:h="16838"/>
          <w:pgMar w:top="1417" w:right="1701" w:bottom="1417" w:left="1701" w:header="737" w:footer="737" w:gutter="0"/>
          <w:pgNumType w:fmt="lowerRoman" w:start="1"/>
          <w:cols w:space="720"/>
          <w:docGrid w:linePitch="360"/>
        </w:sectPr>
      </w:pP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1</w:t>
            </w:r>
          </w:p>
        </w:tc>
      </w:tr>
    </w:tbl>
    <w:p>
      <w:pPr>
        <w:pStyle w:val="1"/>
        <w:spacing w:before="360"/>
      </w:pPr>
      <w:r/>
      <w:r>
        <w:rPr>
          <w:vanish/>
        </w:rPr>
        <w:t xml:space="preserve">1. </w:t>
      </w:r>
      <w:r>
        <w:rPr>
          <w:smallCaps/>
        </w:rPr>
        <w:t>Introduction</w:t>
      </w:r>
    </w:p>
    <w:p>
      <w:pPr>
        <w:pStyle w:val="2"/>
      </w:pPr>
      <w:r>
        <w:t>1.1 Introduction</w:t>
      </w:r>
    </w:p>
    <w:p w14:paraId="1F7D05E1" w14:textId="77777777" w:rsidR="009262C4" w:rsidRDefault="00000000">
      <w:pPr>
        <w:spacing w:after="110" w:line="264" w:lineRule="auto"/>
        <w:jc w:val="both"/>
      </w:pPr>
      <w:r>
        <w:t xml:space="preserve">Secure and trustworthy data sharing is now needed across organisational boundaries. Modern digital ecosystems involve multiple independent stakeholders, including individuals, healthcare providers, regulatory authorities, researchers, and third-party data processors (Ghafoor et al. 2025; Lomotey, Kumi &amp; Deters 2022; Nguyen et al. 2025). Digital services make collaboration easier, but they also raise a governance question: how can data access be authorised and trusted when the participating entities do not belong to a single administrative or institutional domain? Healthcare is a clear example of this problem. The increasing digitisation of healthcare information enables patients, healthcare professionals, guardians, researchers, and healthcare organisations to participate in data-sharing processes (Webber et al. 2019; Welzel et al. 2025). At the same time, healthcare data is highly sensitive, heterogeneous, and often subject to strict privacy, ethical, and governance requirements. Its exchange therefore raises complex questions concerning identity, authority, patient consent, privacy protection, accountability, and fine-grained access control.</w:t>
      </w:r>
    </w:p>
    <w:p w14:paraId="1A574AE7" w14:textId="77777777" w:rsidR="009262C4" w:rsidRDefault="00000000">
      <w:pPr>
        <w:spacing w:after="110" w:line="264" w:lineRule="auto"/>
        <w:jc w:val="both"/>
      </w:pPr>
      <w:r>
        <w:t xml:space="preserve">Traditional access-control architectures are based on centralised identity providers, institution-specific authentication systems, and relatively static permission-management mechanisms. These approaches can provide effective access control within an organisational boundary, but they become difficult to apply when authorisation decisions involve multiple independent entities. In such settings, no single participant may possess sufficient authority to determine access independently, and trust cannot necessarily be assumed on the basis of membership in a common administrative domain. This problem is particularly relevant in healthcare, where data-sharing decisions may require the coordinated participation of patients, guardians, healthcare professionals, and institutional authorities (Ibrahim et al. 2024; Webber et al. 2019). In these settings, authorisation is a distributed governance problem, not just a check of a user's login and a static permission (Theodorakopoulos, Theodoropoulou &amp; Halkiopoulos 2024).</w:t>
      </w:r>
    </w:p>
    <w:p w14:paraId="21E1424E" w14:textId="77777777" w:rsidR="009262C4" w:rsidRDefault="00000000">
      <w:pPr>
        <w:spacing w:after="110" w:line="264" w:lineRule="auto"/>
        <w:jc w:val="both"/>
      </w:pPr>
      <w:r>
        <w:t>Blockchain-based mechanisms can provide tamper-resistant recording and distributed auditability (Al Mamun, Azam &amp; Gritti 2022; Hellstern et al. 2022; Li, Liu &amp; Shrestha 2026; Nguyen et al. 2025), while decentralised identifiers can support the identification of participants without relying exclusively on a central identity provider. Verifiable credentials can provide cryptographically verifiable evidence concerning roles or authority, and policy-based access-control mechanisms can restrict access to authorised resources. However, an immutable record does not necessarily demonstrate that the participating entities were legitimate, that they possessed the required authority, or that a subsequent data-access request remains consistent with the conditions originally authorised. Consent must therefore be treated as an active, evaluable part of the authorisation process, not as a static record of permission, extending the dynamic consent perspective (Khalid et al. 2023; Narkhede, Wankhede &amp; Kamble 2025).</w:t>
      </w:r>
    </w:p>
    <w:p>
      <w:pPr>
        <w:pStyle w:val="2"/>
      </w:pPr>
      <w:r>
        <w:t>1.2 Statement of the Problem</w:t>
      </w:r>
    </w:p>
    <w:p w14:paraId="3CAEC86B" w14:textId="77777777" w:rsidR="009262C4" w:rsidRDefault="00000000">
      <w:pPr>
        <w:spacing w:after="110" w:line="264" w:lineRule="auto"/>
        <w:jc w:val="both"/>
      </w:pPr>
      <w:r>
        <w:t>Existing consent-management and decentralised access-control approaches represent authorisation through database records, access-control entries, smart contracts, or blockchain transactions. These mechanisms can improve record integrity, traceability, and auditability, but consent itself often remains a relatively passive artefact indicating that a permission or approval has been created (Jesus &amp; Pandit 2022; Khalid et al. 2023). The relationship between the consent record, the identity of the participants, their authority to act, the applicable policy constraints, and the resulting access decision is frequently treated as separate technical concerns. Likewise, successful authentication establishes that an entity has been identified, but authentication does not automatically establish that the entity possesses the authority to access a particular patient's information. Even where identity and collective approval have been satisfied, an access request may still be inappropriate if it exceeds the authorised purpose or data scope. The requested operation must also be evaluated against the policy constraints associated with the consent.</w:t>
      </w:r>
    </w:p>
    <w:p w14:paraId="184B7CED" w14:textId="77777777" w:rsidR="009262C4" w:rsidRDefault="00000000">
      <w:pPr>
        <w:spacing w:after="110" w:line="264" w:lineRule="auto"/>
        <w:jc w:val="both"/>
      </w:pPr>
      <w:r>
        <w:lastRenderedPageBreak/>
        <w:t xml:space="preserve">The central problem addressed by this research is therefore the absence of an integrated trust-oriented mechanism that connects identity, authority, multi-party approval, policy, temporal, and lifecycle conditions within a coherent authorisation decision and whose security can be formally and empirically demonstrated. Existing approaches provide important technological components, including decentralised identity and verifiable credentials (Phuyal et al. 2026b; Wu &amp; Zhang 2025), blockchain-based records, multi-party approval mechanisms (Ekholm et al. 2025; Punia et al. 2025; Tan, Chi &amp; Lam 2024), and policy-based access control (Eneh et al. 2026; Khayer et al. 2025; Panagoulias et al. 2026; Román-Martínez et al. 2023), as well as several partial combinations. However, these mechanisms are often investigated independently or integrated primarily at the implementation level. The overarching research question is how a trust-oriented computing framework can establish and enforce trustworthy multi-party consent for decentralised healthcare data sharing under identity, authority, and policy constraints. The research objectives are operationalised through six corresponding sub-research questions (SRQ1 to SRQ6, referred to as RQ1 to RQ6).</w:t>
      </w:r>
    </w:p>
    <w:p>
      <w:pPr>
        <w:pStyle w:val="2"/>
      </w:pPr>
      <w:r>
        <w:t>1.3 Research Motivation</w:t>
      </w:r>
    </w:p>
    <w:p w14:paraId="77BAB7E3" w14:textId="77777777" w:rsidR="009262C4" w:rsidRDefault="00000000">
      <w:pPr>
        <w:spacing w:after="110" w:line="264" w:lineRule="auto"/>
        <w:jc w:val="both"/>
      </w:pPr>
      <w:r>
        <w:t xml:space="preserve">The motivation of this research is to develop a Trust Computing perspective in which trustworthy healthcare data access emerges from the coordinated verification and enforcement of multiple security conditions. Under this perspective, trust is not treated as a property that is provided by blockchain, decentralised identity, or any other individual technology. Instead, trustworthy authorisation is understood as an emergent property of a decision process in which independently verifiable conditions must be satisfied. 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(Li et al. 2026b; Ménétrey et al. 2022). Remote attestation mechanisms can further provide evidence concerning the integrity of the execution environment in which a security-sensitive process is performed. Nevertheless, Trusted Computing does not by itself determine the correctness of an authorisation policy. Consequently, secure execution and trustworthy authorisation address complementary rather than identical problems. Future work can therefore investigate how trusted execution and remote attestation can strengthen the enforcement and verification of decentralised consent decisions.</w:t>
      </w:r>
    </w:p>
    <w:p w14:paraId="512D7BD8" w14:textId="77777777" w:rsidR="009262C4" w:rsidRDefault="00000000">
      <w:pPr>
        <w:spacing w:after="110" w:line="264" w:lineRule="auto"/>
        <w:jc w:val="both"/>
      </w:pPr>
      <w:r>
        <w:t xml:space="preserve">Identity concerns whether a participant can be reliably identified. Authority concerns whether that participant possesses the relevant role or permission to participate in a particular decision. Multi-party authorisation concerns whether the required set of independently verified participants has satisfied a defined collective approval condition. Policy compliance concerns whether the requested access is consistent with the authorised purpose and data scope. Time and lifecycle concern whether the consent is still within its validity window and has not expired or been revoked. Together, these conditions decide whether an authorisation decision has enough basis to be trusted, not only whether access was requested. The proposed framework consequently conceptualises patient consent as more than a static permission or a historical blockchain record. Consent is instead treated as a structured and trust-aware authorisation object, C = (I, A, P, T, L, E), that connects the relevant participants, authority requirements, policy constraints, temporal and lifecycle conditions, and evidence associated with an authorisation decision. In C, I is identity and A is authorisation, which holds the guardian set G and the threshold N. P is policy, which covers purpose and data scope. T is time, L is the lifecycle state of the consent, and E is evidence.</w:t>
      </w:r>
    </w:p>
    <w:p w14:paraId="58F4FB63" w14:textId="77777777" w:rsidR="009262C4" w:rsidRDefault="00000000">
      <w:pPr>
        <w:spacing w:after="110" w:line="264" w:lineRule="auto"/>
        <w:jc w:val="both"/>
      </w:pPr>
      <w:r>
        <w:t>The current research concentrates on the foundational dimensions required to construct this trust-oriented authorisation model. The first focus is the development of a trust-centric consent representation capable of capturing the conditions associated with an authorisation decision. Building on this representation, the research investigates how decentralised identifiers and verifiable credentials can establish trustworthy participants while maintaining a clear conceptual separation between identity authentication and authorisation authority. The framework then extends individual trust to collective trust through a multi-</w:t>
        <w:lastRenderedPageBreak/>
        <w:t xml:space="preserve">party authorisation mechanism, ensuring that sensitive healthcare data access can require the coordinated approval of multiple independently verified participants. Finally, policy-aware access control is incorporated to ensure that a valid identity or sufficient set of approvals cannot be used to obtain information outside the purpose or data scope authorised by the patient. These four dimensions, RO1 to RO4, collectively define the foundational scope of Multi-Party Patient Consent. RO1 to RO4 are completed with validation and evaluation at the current stage. RO5 adds temporal validity and lifecycle trust, because trust cannot be regarded as permanently established at the moment a consent is created. A consent that was valid when initially approved may subsequently become invalid due to expiration, revocation, or a change in its authorised lifecycle state. RO6 concerns formal security assurance and empirical validation. RO5 is in progress, and part of it has already been delivered. RO6 is partially completed through the implementation and initial scenario-based validation of the HALAH (History Access Link for Authorised Healthcare) prototype. For RO5, this prototype provides a lifecycle-aware consent mechanism capable of rejecting access after expiration or revocation. The remaining formal security assurance and comprehensive empirical evaluation will be conducted in the next stage.</w:t>
      </w:r>
    </w:p>
    <w:p w14:paraId="495CF0B6" w14:textId="77777777" w:rsidR="009262C4" w:rsidRDefault="00000000">
      <w:pPr>
        <w:spacing w:after="110" w:line="264" w:lineRule="auto"/>
        <w:jc w:val="both"/>
      </w:pPr>
      <w:r>
        <w:t xml:space="preserve">HALAH runs on the Ethereum Sepolia testnet, and the guardian approval rule is currently implemented as N-of-N over the guardian set G. Synthetic healthcare records derived from the Synthea dataset are used to construct representative consent workflows. Security properties are demonstrated through adversarial and negative testing, as well as empirical evaluation using the HALAH prototype and representative healthcare data-sharing scenarios, rather than formal proof. The current stage covers the work delivered so far, while temporal and lifecycle trust, formal security assurance, and comprehensive empirical validation will be developed further in the next stage.</w:t>
      </w:r>
    </w:p>
    <w:p>
      <w:pPr>
        <w:pStyle w:val="2"/>
      </w:pPr>
      <w:r>
        <w:t>1.4 Decentralised Identity Technology</w:t>
      </w:r>
    </w:p>
    <w:p>
      <w:pPr/>
      <w:r>
        <w:t>The framework proposed in this thesis is built on three technologies: decentralised identity, multi-party authorisation and auditable authorisation evidence. This section and the two that follow introduce each of them in turn. Decentralised identity is the first. In a conventional healthcare system, the identity of a doctor, a patient or a guardian is held by one organisation, usually the hospital, and is checked by a login to that organisation. A participant from another organisation cannot be verified without an agreement between the two organisations, and the organisation that holds the account can change or remove it at any time. Decentralised identity moves the identifier and the proof of identity to the participant (Mazzocca et al. 2025; Nassar Kyriakidou, Papathanasiou &amp; Polyzos 2023). The participant holds an identifier that is not issued by the data holder, and the data holder verifies claims about that participant rather than looking them up in its own directory. In healthcare, this allows a doctor from one hospital, a guardian who is not a patient of any hospital, and a patient to take part in one consent decision without sharing one identity provider (Shanmugham &amp; Senthilkumar 2026; Wu &amp; Zhang 2025).</w:t>
      </w:r>
    </w:p>
    <w:p>
      <w:pPr>
        <w:pStyle w:val="3"/>
      </w:pPr>
      <w:r>
        <w:t>1.4.1 Decentralised Identifiers (DIDs)</w:t>
      </w:r>
    </w:p>
    <w:p>
      <w:pPr/>
      <w:r>
        <w:t>A decentralised identifier (DID) is a string of the form did:method:identifier that names one participant. The method part states how the identifier is resolved and the last part is unique within that method. A DID is controlled by the holder through a cryptographic key, so the holder can prove control of the identifier by signing with that key, and nobody else can speak for it (Mazzocca et al. 2025). A DID on its own says nothing about the role of its holder. It only states that there is one participant and that this participant can sign. In this thesis, every participant has a DID: the patient, each guardian, the doctor and the issuer of credentials. Full resolution of a DID to its public keys, and the proof that a user controls the DID they present, are treated as work for the next stage (Deng et al. 2024; Yin et al. 2025).</w:t>
      </w:r>
    </w:p>
    <w:p>
      <w:pPr>
        <w:pStyle w:val="3"/>
      </w:pPr>
      <w:r>
        <w:t>1.4.2 Verifiable Credentials (VCs)</w:t>
      </w:r>
    </w:p>
    <w:p>
      <w:pPr/>
      <w:r>
        <w:t>A verifiable credential (VC) is a signed statement, issued by one party about another, that can be checked by a third party without going back to the issuer (Flamini et al. 2024; Mazzocca et al. 2025). A credential names the subject by its DID, states one or more claims, such as the role of doctor or guardian and the organisation, carries a validity period, and is signed by the issuer. The credential is what separates identity from authority: the DID shows who the participant is, and the VC shows what the participant may do. This separation is central to the framework, because a valid identity must never be enough on its own to reach patient data.</w:t>
      </w:r>
    </w:p>
    <w:p>
      <w:pPr>
        <w:pStyle w:val="3"/>
      </w:pPr>
      <w:r>
        <w:t>1.4.3 Trusted Issuers and Credential Verification</w:t>
      </w:r>
    </w:p>
    <w:p>
      <w:pPr/>
      <w:r>
        <w:t>A credential is only as good as its issuer. The framework therefore keeps a registry of trusted issuers, such as a health authority, and a credential is accepted only when its signature recovers to the registered key of an issuer in that registry. Four conditions are checked on every credential: the signature is valid, the issuer is trusted, the subject of the credential is the DID that presented it, and the current time lies within the validity period. A credential also has to carry the role that the step requires, so a guardian credential cannot be used to act as a doctor. In the prototype, one demonstration issuer signs all credentials, and the credential check demonstrates the verification rather than the secrecy of the issuer key.</w:t>
      </w:r>
    </w:p>
    <w:p>
      <w:pPr>
        <w:pStyle w:val="2"/>
      </w:pPr>
      <w:r>
        <w:t>1.5 Multi-Party Authorisation</w:t>
      </w:r>
    </w:p>
    <w:p>
      <w:pPr/>
      <w:r>
        <w:t>Multi-party authorisation is a rule under which a decision needs the agreement of more than one party before it takes effect. In healthcare consent, the parties are the people who must agree before a patient's data can be released: the patient, and for a minor or an incapacitated patient, the guardians (Hagström et al. 2024; Webber et al. 2019). The reviewed literature contains several forms of multi-party approval. Madine et al. (2020) require a regulator and a guardian threshold when the patient is incapacitated, Wu et al. (2022) use a threshold of investigators to admit and revoke records, Zhao and Su (2024) delegate authority through a threshold, Tan, Chi and Lam (2024) let the patient appoint verifiers, and Maruthi and Singh (2025) treat the guardians of an unconscious patient as the approving parties.</w:t>
      </w:r>
    </w:p>
    <w:p>
      <w:pPr/>
      <w:r>
        <w:t>In this thesis, multi-party authorisation is defined by two elements that the patient sets when the consent is created: the guardian set G, which lists the participants whose approval is required, and the threshold N, which is the number of valid approvals needed. An approval counts only when it comes from a member of G, when it is signed by that member, and when that member has not already approved the same consent. An approval from a signer outside G, or a second approval from the same guardian, does not advance the count. In the current prototype, every listed guardian must approve, so N equals the size of G, and the rule has been demonstrated with two guardians.</w:t>
      </w:r>
    </w:p>
    <w:p>
      <w:pPr>
        <w:pStyle w:val="2"/>
      </w:pPr>
      <w:r>
        <w:t>1.6 The Relationship between Multi-Party Authorisation and Patient Consent</w:t>
      </w:r>
    </w:p>
    <w:p>
      <w:pPr/>
      <w:r>
        <w:t>Patient consent and multi-party authorisation are often handled by different parts of a system. The consent is a record of what the patient allowed, and the approval of the guardians is a separate step that happens once, for example at registration (Ekholm et al. 2025) or when a patient is admitted (Wu et al. 2022). Once that step has passed, later requests for data do not look at it again. In this thesis, the two are joined. The guardian set and the threshold are part of the consent object itself, and the approvals that the guardians give are stored with the consent as evidence. A consent with fewer approvals than its threshold stays pending and cannot release any data. A consent that reached its threshold becomes active, and the approvals are checked again whenever a doctor asks for data, together with the identity, policy, time and lifecycle conditions. Multi-party authorisation is therefore not a gate that the consent passes once, but a standing condition that the consent must keep satisfying for as long as it is used.</w:t>
      </w:r>
    </w:p>
    <w:p>
      <w:pPr>
        <w:pStyle w:val="2"/>
      </w:pPr>
      <w:r>
        <w:t>1.7 Purpose of Using Multi-Party Authorisation in Consent Management</w:t>
      </w:r>
    </w:p>
    <w:p>
      <w:pPr/>
      <w:r>
        <w:t>There are three reasons for placing multi-party authorisation inside consent management rather than beside it. The first is that it removes the single point of decision. Where a patient cannot decide alone, no one guardian, and no hospital account, should be able to release the data on their own. The second is that it keeps the approving set under the control of the patient. In the reviewed studies, the parties who must approve are usually chosen by the institution or by a delegate (Punia et al. 2025; Wu et al. 2022; Zhao &amp; Su 2024). In the proposed framework, the patient names them when the consent is created, and the system enforces that list. The third is that it makes the approval verifiable after the event. Each approval is a signature over the consent identifier and the guardian identifier, so an auditor can later confirm who approved which consent, and a signature cannot be moved from one consent to another.</w:t>
      </w:r>
    </w:p>
    <w:p>
      <w:pPr>
        <w:pStyle w:val="2"/>
      </w:pPr>
      <w:r>
        <w:t>1.8 Authorisation Evidence and Auditability</w:t>
      </w:r>
    </w:p>
    <w:p>
      <w:pPr/>
      <w:r>
        <w:t>A decision to release patient data must be explainable afterwards. It is not enough to record that access happened; the record must show why it was allowed or refused. The framework treats this as the evidence component E of the consent object. For every request, the result of each check is written down together with the decision, so that a later reader can see whether the requester was verified, whether the approvals were sufficient, whether the purpose and scope were within the consent, whether the consent was in its validity period, and whether its lifecycle state allowed access. Blockchain or other tamper-resistant storage can be used to preserve selected evidence (Andrew et al. 2023; Li, Liu &amp; Shrestha 2026), but in this thesis the blockchain is not the source of trust. Trust comes from the checks themselves; the storage only makes their record harder to alter.</w:t>
      </w:r>
    </w:p>
    <w:p>
      <w:pPr>
        <w:pStyle w:val="3"/>
      </w:pPr>
      <w:r>
        <w:t>1.8.1 The Audit Ledger</w:t>
      </w:r>
    </w:p>
    <w:p>
      <w:pPr/>
      <w:r>
        <w:t>In the prototype, the evidence is kept in an audit ledger. The ledger is an append-only list of events. Each event records the actor, the action, the consent identifier, the time, the result and, for an access decision, the outcome of the five checks. A digest of the key fields of each event is computed and stored with it, so that any later change to a stored event can be detected. The ledger records the creation of a consent, each guardian approval, each state check, each data access and each revocation. Refusals are recorded as well as grants. The auditor interface reads this ledger and presents the decisions in the order in which they were made.</w:t>
      </w:r>
    </w:p>
    <w:p>
      <w:pPr>
        <w:pStyle w:val="2"/>
      </w:pPr>
      <w:r>
        <w:t>1.9 Consent Management Systems</w:t>
      </w:r>
    </w:p>
    <w:p>
      <w:pPr/>
      <w:r>
        <w:t>A consent management system records what a patient has allowed and makes that record available to the systems that hold the data. The simplest systems store a signed form. Dynamic consent systems let the patient change the permission over time and notify the parties affected (Albalwy, Brass &amp; Davies 2021; Khalid et al. 2023). Purpose-based systems tie the permission to a stated purpose, such as treatment or research (Tith et al. 2020), and consent receipts give the patient a readable record of each permission (Jesus &amp; Pandit 2022). More recent systems place the consent on a blockchain so that it cannot be altered quietly, and some of them connect it to an access-control layer (Jaiman &amp; Urovi 2020; Phuyal et al. 2026a; Zhang, Kan &amp; Huang 2022). All of these systems have one thing in common: the consent is treated as a record of a permission. The access decision that follows is made by another component, usually an access-control list or a role check, and that component looks at the consent record only to confirm that it exists.</w:t>
      </w:r>
    </w:p>
    <w:p>
      <w:pPr>
        <w:pStyle w:val="2"/>
      </w:pPr>
      <w:r>
        <w:t>1.10 Challenges Faced by Current Consent Management Systems</w:t>
      </w:r>
    </w:p>
    <w:p>
      <w:pPr/>
      <w:r>
        <w:t>The systematic literature review in Chapter 2 identifies six challenges in the current generation of consent management systems. They are summarised here and stated in full in Chapter 3.</w:t>
      </w:r>
    </w:p>
    <w:p>
      <w:pPr/>
      <w:r>
        <w:t>First, consent is represented as a record of permission rather than as an object that can be evaluated, and the few evaluable consent objects carry only some of the conditions that an access decision needs. Second, a valid decentralised identity establishes who a participant is but not what the participant is authorised to do, and authority is checked separately from authentication in only a minority of the reviewed studies. Third, multi-party approval appears as a contingency path, an admission gate or a registration-time co-consent, but not as a standing condition of every access decision with an approving set defined by the patient. Fourth, purpose and data-scope constraints are rarely bound to the same decision as identity, authority and multi-party approval. Fifth, validity periods, lifecycle state and revocation are often enforced on a credential or at registration rather than at the time of each request. Sixth, the authorisation decision as a whole is neither formally proved nor systematically tested.</w:t>
      </w:r>
    </w:p>
    <w:p>
      <w:pPr/>
      <w:r>
        <w:t>The first five challenges together mean that the conditions for a trustworthy decision exist but are never joined. The sixth means that, even where they are joined, nobody has shown that the joined decision behaves as intended. This thesis addresses both.</w:t>
      </w:r>
    </w:p>
    <w:p>
      <w:pPr>
        <w:pStyle w:val="2"/>
      </w:pPr>
      <w:r>
        <w:t>1.11 Research Contribution</w:t>
      </w:r>
    </w:p>
    <w:p>
      <w:pPr>
        <w:pStyle w:val="3"/>
      </w:pPr>
      <w:r>
        <w:t>1.11.1 Scientific Contribution</w:t>
      </w:r>
    </w:p>
    <w:p>
      <w:pPr>
        <w:spacing w:after="110" w:line="264" w:lineRule="auto"/>
        <w:jc w:val="both"/>
      </w:pPr>
      <w:r>
        <w:t xml:space="preserve">The scientific contributions of this research are threefold. First, this research proposes a trust-centric consent model that integrates identity, authority, multi-party approval, and policy constraints into a unified healthcare authorisation framework. Second, this research proposes a multi-party authorisation mechanism that requires approval from multiple verified participants before granting healthcare data access, where collective consent is required. Third, this research proposes a trust-aware authorisation approach that evaluates identity, authority, collective approval, and policy compliance when determining healthcare data-access permissions.</w:t>
      </w:r>
    </w:p>
    <w:p>
      <w:pPr>
        <w:pStyle w:val="3"/>
      </w:pPr>
      <w:r>
        <w:t>1.11.2 Social Contribution</w:t>
      </w:r>
    </w:p>
    <w:p>
      <w:pPr>
        <w:spacing w:after="110" w:line="264" w:lineRule="auto"/>
        <w:jc w:val="both"/>
      </w:pPr>
      <w:r>
        <w:t xml:space="preserve">The social contributions of this research are also threefold. First, this research aims to help patients and their guardians manage consent for sharing sensitive healthcare information, supporting greater control over healthcare data access. Second, this research aims to support patient privacy by restricting healthcare data access according to authorised purposes and data scopes. Third, this research aims to support transparency and accountability in healthcare data sharing by providing verifiable records of consent activities and access decisions.</w:t>
      </w:r>
    </w:p>
    <w:p>
      <w:pPr>
        <w:pStyle w:val="2"/>
      </w:pPr>
      <w:r>
        <w:t>1.12 Thesis Plan</w:t>
      </w:r>
    </w:p>
    <w:p>
      <w:pPr/>
      <w:r>
        <w:t>This thesis is organised into eleven chapters.</w:t>
      </w:r>
    </w:p>
    <w:p>
      <w:pPr/>
      <w:r>
        <w:t>Chapter 1 introduces the research. It states the problem, gives the motivation, introduces the three technologies on which the framework is built, summarises the challenges in current consent management systems, and lists the contributions of the thesis.</w:t>
      </w:r>
    </w:p>
    <w:p>
      <w:pPr/>
      <w:r>
        <w:t>Chapter 2 presents the systematic literature review. It defines the six key requirements for trustworthy multi-party consent authorisation, describes the process used to search, select and assess the literature, reviews the 25 primary studies in six streams, compares them against the requirements, and identifies the research gap.</w:t>
      </w:r>
    </w:p>
    <w:p>
      <w:pPr/>
      <w:r>
        <w:t>Chapter 3 states the research gap, the main research question, the six sub-research questions and the six research objectives, and shows how they form one integrated problem.</w:t>
      </w:r>
    </w:p>
    <w:p>
      <w:pPr/>
      <w:r>
        <w:t>Chapter 4 presents the research methodology, which is design science research, and gives an overview of the proposed solution for each research question.</w:t>
      </w:r>
    </w:p>
    <w:p>
      <w:pPr/>
      <w:r>
        <w:t>Chapter 5 presents the research architecture, based on the model-view-controller pattern, and the trust-centric consent model of Research Objective 1, in which consent is represented as the evaluable object C = (I, A, P, T, L, E).</w:t>
      </w:r>
    </w:p>
    <w:p>
      <w:pPr/>
      <w:r>
        <w:t>Chapter 6 presents the decentralised identity and authority verification mechanism of Research Objective 2.</w:t>
      </w:r>
    </w:p>
    <w:p>
      <w:pPr/>
      <w:r>
        <w:t>Chapter 7 presents the multi-party authorisation mechanism of Research Objective 3.</w:t>
      </w:r>
    </w:p>
    <w:p>
      <w:pPr/>
      <w:r>
        <w:t>Chapter 8 presents the policy- and context-aware access control mechanism of Research Objective 4.</w:t>
      </w:r>
    </w:p>
    <w:p>
      <w:pPr/>
      <w:r>
        <w:t>Chapter 9 presents the temporal validity and consent lifecycle controls of Research Objective 5.</w:t>
      </w:r>
    </w:p>
    <w:p>
      <w:pPr/>
      <w:r>
        <w:t>Chapter 10 presents the formal security assurance and the empirical validation of Research Objective 6, together with the working of the HALAH prototype, the dataset used, the live scenarios, the measured results and the attack scenarios.</w:t>
      </w:r>
    </w:p>
    <w:p>
      <w:pPr/>
      <w:r>
        <w:t>Chapter 11 concludes the thesis and sets out the directions for future work.</w:t>
      </w:r>
    </w:p>
    <w:p>
      <w:pPr>
        <w:pStyle w:val="2"/>
      </w:pPr>
      <w:r>
        <w:t>1.13 Conclusion</w:t>
      </w:r>
    </w:p>
    <w:p>
      <w:pPr/>
      <w:r>
        <w:t>This chapter introduced the research. It described the setting in which patient data are shared across organisations, stated the problem that current consent and access-control systems treat consent as a stored record rather than as a condition that is evaluated at each request, and gave the motivation for a trust-oriented approach in which trust is the outcome of several independently verified conditions. It introduced decentralised identity, multi-party authorisation and auditable authorisation evidence as the three technologies on which the proposed framework is built, summarised the six challenges found in current consent management systems, and listed the scientific and social contributions of the thesis. The next chapter reviews the literature systematically and establishes the gap that this thesis addresses.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2</w:t>
            </w:r>
          </w:p>
        </w:tc>
      </w:tr>
    </w:tbl>
    <w:p>
      <w:pPr>
        <w:pStyle w:val="1"/>
        <w:spacing w:before="360"/>
      </w:pPr>
      <w:r/>
      <w:r>
        <w:rPr>
          <w:vanish/>
        </w:rPr>
        <w:t xml:space="preserve">2. </w:t>
      </w:r>
      <w:r>
        <w:rPr>
          <w:smallCaps/>
        </w:rPr>
        <w:t>A Systematic Literature Review</w:t>
      </w:r>
    </w:p>
    <w:p>
      <w:pPr>
        <w:pStyle w:val="2"/>
      </w:pPr>
      <w:r>
        <w:t>2.1 Introduction</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t>The structure of this chapter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t>(Chapter 3)</w:t>
      </w:r>
      <w:r>
        <w:t>, and each sub-research question addresses a distinct dimension of the proposed trust-oriented healthcare authorisation framework.</w:t>
      </w:r>
    </w:p>
    <w:p>
      <w:pPr>
        <w:pStyle w:val="3"/>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pPr>
      <w:r>
        <w:t>2.3 Process Adopted for Shortlisting the Papers for SLR</w:t>
      </w:r>
    </w:p>
    <w:p>
      <w:pPr/>
      <w:r>
        <w:t>This section details the process adopted to identify the relevant papers to be reviewed in the SLR. A four-step process was adopted:</w:t>
      </w:r>
    </w:p>
    <w:p>
      <w:pPr/>
      <w:r>
        <w:t>Step 1: Searching the literature. This step involves defining the search terms, identifying the data sources and the process of data collection.</w:t>
      </w:r>
    </w:p>
    <w:p>
      <w:pPr/>
      <w:r>
        <w:t>Step 2: Inclusion and exclusion criteria. Criteria are defined to guide the selection of the most relevant studies.</w:t>
      </w:r>
    </w:p>
    <w:p>
      <w:pPr/>
      <w:r>
        <w:t>Step 3: Quality evaluation. Each of the full-text studies is reviewed against the quality evaluation questions.</w:t>
      </w:r>
    </w:p>
    <w:p>
      <w:pPr/>
      <w:r>
        <w:t>Step 4: Data analysis. After reviewing the selected studies, data are extracted, recorded and categorised into streams.</w:t>
      </w:r>
    </w:p>
    <w:p w14:paraId="323E63C8" w14:textId="77777777" w:rsidR="009262C4" w:rsidRDefault="00000000">
      <w:pPr>
        <w:spacing w:after="110" w:line="264" w:lineRule="auto"/>
        <w:jc w:val="both"/>
      </w:pPr>
      <w:r>
        <w:t>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This systematic literature review (SLR) is guided by seven review questions. Questions 1 to 5 correspond to Req 1 to Req 5, and Questions 6 and 7 together to Req 6. The questions follow the technical objectives of the proposed system.</w:t>
      </w:r>
    </w:p>
    <w:p>
      <w:pPr>
        <w:pStyle w:val="3"/>
      </w:pPr>
      <w:r>
        <w:t>2.3.1 Step 1: Criteria for Searching the Literature</w:t>
      </w:r>
    </w:p>
    <w:p>
      <w:pPr/>
      <w: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t>Table 2.1 shows the seven databases and the number of records retrieved from each.</w:t>
      </w:r>
    </w:p>
    <w:p>
      <w:pPr>
        <w:keepNext/>
        <w:spacing w:before="160" w:after="160"/>
        <w:jc w:val="center"/>
      </w:pPr>
      <w:r>
        <w:rPr>
          <w:sz w:val="20"/>
        </w:rPr>
        <w:t>Table 2.1: Databases searched and records retrieved</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850"/>
        <w:gridCol w:w="5386"/>
        <w:gridCol w:w="2268"/>
      </w:tblGrid>
      <w:tr>
        <w:trPr>
          <w:tblHeader/>
          <w:cantSplit/>
        </w:trPr>
        <w:tc>
          <w:tcPr>
            <w:tcW w:type="dxa" w:w="85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S/N</w:t>
            </w:r>
          </w:p>
        </w:tc>
        <w:tc>
          <w:tcPr>
            <w:tcW w:type="dxa" w:w="5386"/>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Database</w:t>
            </w:r>
          </w:p>
        </w:tc>
        <w:tc>
          <w:tcPr>
            <w:tcW w:type="dxa" w:w="2268"/>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Records</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SpringerLink</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46</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Scopus</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38</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3</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IEEE Xplore</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27</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ProQuest Science and Technology</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24</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5</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Web of Science</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19</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6</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ScienceDirect</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14</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7</w:t>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ACM Digital Library</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11</w:t>
            </w:r>
          </w:p>
        </w:tc>
      </w:tr>
      <w:tr>
        <w:trPr>
          <w:cantSplit/>
        </w:trPr>
        <w:tc>
          <w:tcPr>
            <w:tcW w:type="dxa" w:w="85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r>
          </w:p>
        </w:tc>
        <w:tc>
          <w:tcPr>
            <w:tcW w:type="dxa" w:w="5386"/>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Total</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179</w:t>
            </w:r>
          </w:p>
        </w:tc>
      </w:tr>
    </w:tbl>
    <w:p>
      <w:pPr/>
      <w:r/>
    </w:p>
    <w:p>
      <w:pPr>
        <w:pStyle w:val="3"/>
      </w:pPr>
      <w:r>
        <w:t>2.3.2 Step 2: Inclusion and Exclusion Criteria</w:t>
      </w:r>
    </w:p>
    <w:p>
      <w:pPr/>
      <w: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rPr/>
        <w:t>between 2020 and 2026</w:t>
      </w:r>
      <w:r>
        <w:t xml:space="preserve">. Nine exclusion criteria (EC1 to EC9) removed, among others, </w:t>
      </w:r>
      <w:r>
        <w:rP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t>Inclusion criteria:</w:t>
      </w:r>
    </w:p>
    <w:p>
      <w:pPr/>
      <w:r>
        <w:t>1. The study concerns healthcare data (IC1).</w:t>
      </w:r>
    </w:p>
    <w:p>
      <w:pPr/>
      <w:r>
        <w:t>2. The study concerns consent, authorisation, access control, trust or governance relevant to data access (IC2).</w:t>
      </w:r>
    </w:p>
    <w:p>
      <w:pPr/>
      <w:r>
        <w:t>3. The study presents a mechanism, model, system or evaluation relevant to a review question (IC3).</w:t>
      </w:r>
    </w:p>
    <w:p>
      <w:pPr/>
      <w:r>
        <w:t>4. The study is a peer-reviewed English paper with full text available (IC4 to IC7).</w:t>
      </w:r>
    </w:p>
    <w:p>
      <w:pPr/>
      <w:r>
        <w:t>5. The study was published between 2020 and 2026.</w:t>
      </w:r>
    </w:p>
    <w:p>
      <w:pPr/>
      <w:r>
        <w:t>Exclusion criteria. The records are excluded if:</w:t>
      </w:r>
    </w:p>
    <w:p>
      <w:pPr/>
      <w:r>
        <w:t>1. They are outside healthcare or outside the authorisation scope.</w:t>
      </w:r>
    </w:p>
    <w:p>
      <w:pPr/>
      <w:r>
        <w:t>2. They treat authentication alone or mention consent only superficially.</w:t>
      </w:r>
    </w:p>
    <w:p>
      <w:pPr/>
      <w:r>
        <w:t>3. They are not peer-reviewed.</w:t>
      </w:r>
    </w:p>
    <w:p>
      <w:pPr/>
      <w:r>
        <w:t>4. They are duplicate publications of the same study.</w:t>
      </w:r>
    </w:p>
    <w:p>
      <w:pPr/>
      <w:r>
        <w:t>5. They are secondary reviews.</w:t>
      </w:r>
    </w:p>
    <w:p>
      <w:pPr/>
      <w:r>
        <w:t>The stages of evaluating and selecting the relevant papers for the SLR are summarised in Table 2.2.</w:t>
      </w:r>
    </w:p>
    <w:p>
      <w:pPr>
        <w:keepNext/>
        <w:spacing w:before="160" w:after="160"/>
        <w:jc w:val="center"/>
      </w:pPr>
      <w:r>
        <w:rPr>
          <w:sz w:val="20"/>
        </w:rPr>
        <w:t>Table 2.2: Summary of the stages of evaluating and selecting the relevant papers for the SLR</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247"/>
        <w:gridCol w:w="2268"/>
        <w:gridCol w:w="3061"/>
        <w:gridCol w:w="1928"/>
      </w:tblGrid>
      <w:tr>
        <w:trPr>
          <w:tblHeader/>
          <w:cantSplit/>
        </w:trPr>
        <w:tc>
          <w:tcPr>
            <w:tcW w:type="dxa" w:w="1247"/>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Evaluation stage</w:t>
            </w:r>
          </w:p>
        </w:tc>
        <w:tc>
          <w:tcPr>
            <w:tcW w:type="dxa" w:w="2268"/>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Method</w:t>
            </w:r>
          </w:p>
        </w:tc>
        <w:tc>
          <w:tcPr>
            <w:tcW w:type="dxa" w:w="30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Assessment criteria</w:t>
            </w:r>
          </w:p>
        </w:tc>
        <w:tc>
          <w:tcPr>
            <w:tcW w:type="dxa" w:w="1928"/>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Records</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1st</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Identify the related studies from the seven databases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Match the search string</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179 identified</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2nd</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Remove duplicate records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Same title, author, DOI and publication year</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21 removed, 158 remain</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3rd</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Screen the titles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Within healthcare consent or authorisation; otherwise exclude</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76 excluded, 82 remain</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4th</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Screen the abstracts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Relevant to a review question; otherwise exclude</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43 excluded, 39 remain</w:t>
            </w:r>
          </w:p>
        </w:tc>
      </w:tr>
      <w:tr>
        <w:trPr>
          <w:cantSplit/>
        </w:trPr>
        <w:tc>
          <w:tcPr>
            <w:tcW w:type="dxa" w:w="124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5th</w:t>
            </w:r>
          </w:p>
        </w:tc>
        <w:tc>
          <w:tcPr>
            <w:tcW w:type="dxa" w:w="226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Assess the full texts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Eligibility criteria and the quality evaluation of Step 3</w:t>
            </w:r>
          </w:p>
        </w:tc>
        <w:tc>
          <w:tcPr>
            <w:tcW w:type="dxa" w:w="1928"/>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14 excluded, 25 included</w:t>
            </w:r>
          </w:p>
        </w:tc>
      </w:tr>
    </w:tbl>
    <w:p>
      <w:p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60" w:before="160"/>
        <w:jc w:val="center"/>
      </w:pPr>
      <w:r>
        <w:rPr>
          <w:b/>
          <w:bCs/>
          <w:sz w:val="20"/>
          <w:szCs w:val="18"/>
        </w:rPr>
        <w:t xml:space="preserve">Figure 2.1: </w:t>
      </w:r>
      <w:r>
        <w:rPr>
          <w:sz w:val="20"/>
          <w:szCs w:val="18"/>
        </w:rPr>
        <w:t>PRISMA 2020 flow diagram of the study identification, screening, eligibility and inclusion stages.</w:t>
      </w:r>
    </w:p>
    <w:p>
      <w:pPr>
        <w:pStyle w:val="3"/>
      </w:pPr>
      <w:r>
        <w:t>2.3.3 Step 3: Quality Evaluation</w:t>
      </w:r>
    </w:p>
    <w:p>
      <w:pPr/>
      <w:r>
        <w:t>The 39 full-text studies were retrieved and evaluated against six quality evaluation questions, QA1 to QA6, listed in Table 2.3. QA1 to QA4 were used for inclusion, and QA5 and QA6 were used to grade the evidence tier of each included study. Each question was answered Yes or No, and a study was included when it answered Yes to at least three of QA1 to QA4.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14:paraId="2A730D59" w14:textId="77777777" w:rsidR="009262C4" w:rsidRDefault="00000000">
      <w:pPr>
        <w:keepNext/>
        <w:spacing w:before="160" w:after="160"/>
        <w:jc w:val="center"/>
      </w:pPr>
      <w:r>
        <w:rPr>
          <w:b/>
          <w:bCs/>
          <w:sz w:val="20"/>
          <w:szCs w:val="18"/>
        </w:rPr>
        <w:t>Table 2.3:</w:t>
      </w:r>
      <w:r>
        <w:rPr>
          <w:b/>
          <w:bCs/>
          <w:sz w:val="20"/>
          <w:szCs w:val="18"/>
        </w:rPr>
        <w:t xml:space="preserve"> </w:t>
      </w:r>
      <w:r>
        <w:rPr>
          <w:sz w:val="20"/>
          <w:szCs w:val="18"/>
        </w:rPr>
        <w:t>Quality assessment items and inclusion rule</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1300"/>
        <w:gridCol w:w="5428"/>
        <w:gridCol w:w="2400"/>
      </w:tblGrid>
      <w:tr w:rsidR="009262C4" w14:paraId="2326890E" w14:textId="77777777">
        <w:trPr>
          <w:cantSplit/>
          <w:tblHeader/>
        </w:trPr>
        <w:tc>
          <w:tcPr>
            <w:tcW w:w="1300" w:type="dxa"/>
            <w:tcBorders>
              <w:top w:val="nil"/>
              <w:left w:val="nil"/>
              <w:bottom w:val="single" w:sz="6" w:color="000000" w:space="0"/>
              <w:right w:val="nil"/>
              <w:insideH w:val="nil"/>
              <w:insideV w:val="nil"/>
            </w:tcBorders>
            <w:tcMar>
              <w:top w:w="40" w:type="dxa"/>
              <w:left w:w="80" w:type="dxa"/>
              <w:bottom w:w="40" w:type="dxa"/>
              <w:right w:w="80" w:type="dxa"/>
            </w:tcMar>
          </w:tcPr>
          <w:p w14:paraId="1AD3E906" w14:textId="77777777" w:rsidR="009262C4" w:rsidRPr="009E0511" w:rsidRDefault="00000000" w:rsidP="009E0511">
            <w:pPr>
              <w:keepNext/>
              <w:spacing w:after="40" w:line="240" w:lineRule="auto"/>
              <w:jc w:val="left"/>
              <w:rPr>
                <w:sz w:val="20"/>
                <w:szCs w:val="20"/>
              </w:rPr>
            </w:pPr>
            <w:r>
              <w:rPr>
                <w:rFonts w:ascii="Palatino Linotype" w:hAnsi="Palatino Linotype" w:cs="Palatino Linotype"/>
                <w:b/>
                <w:bCs/>
                <w:color w:val="000000"/>
                <w:sz w:val="19"/>
                <w:szCs w:val="20"/>
              </w:rPr>
              <w:t>Item</w:t>
            </w:r>
          </w:p>
        </w:tc>
        <w:tc>
          <w:tcPr>
            <w:tcW w:w="5428" w:type="dxa"/>
            <w:tcBorders>
              <w:top w:val="nil"/>
              <w:left w:val="nil"/>
              <w:bottom w:val="single" w:sz="6" w:color="000000" w:space="0"/>
              <w:right w:val="nil"/>
              <w:insideH w:val="nil"/>
              <w:insideV w:val="nil"/>
            </w:tcBorders>
            <w:tcMar>
              <w:top w:w="40" w:type="dxa"/>
              <w:left w:w="80" w:type="dxa"/>
              <w:bottom w:w="40" w:type="dxa"/>
              <w:right w:w="80" w:type="dxa"/>
            </w:tcMar>
          </w:tcPr>
          <w:p w14:paraId="4E9F4EEA" w14:textId="77777777" w:rsidR="009262C4" w:rsidRPr="009E0511" w:rsidRDefault="00000000" w:rsidP="009E0511">
            <w:pPr>
              <w:keepNext/>
              <w:spacing w:after="40" w:line="240" w:lineRule="auto"/>
              <w:jc w:val="left"/>
              <w:rPr>
                <w:sz w:val="20"/>
                <w:szCs w:val="20"/>
              </w:rPr>
            </w:pPr>
            <w:r>
              <w:rPr>
                <w:rFonts w:ascii="Palatino Linotype" w:hAnsi="Palatino Linotype" w:cs="Palatino Linotype"/>
                <w:b/>
                <w:bCs/>
                <w:color w:val="000000"/>
                <w:sz w:val="19"/>
                <w:szCs w:val="20"/>
              </w:rPr>
              <w:t>Question</w:t>
            </w:r>
          </w:p>
        </w:tc>
        <w:tc>
          <w:tcPr>
            <w:tcW w:w="2400" w:type="dxa"/>
            <w:tcBorders>
              <w:top w:val="nil"/>
              <w:left w:val="nil"/>
              <w:bottom w:val="single" w:sz="6" w:color="000000" w:space="0"/>
              <w:right w:val="nil"/>
              <w:insideH w:val="nil"/>
              <w:insideV w:val="nil"/>
            </w:tcBorders>
            <w:tcMar>
              <w:top w:w="40" w:type="dxa"/>
              <w:left w:w="80" w:type="dxa"/>
              <w:bottom w:w="40" w:type="dxa"/>
              <w:right w:w="80" w:type="dxa"/>
            </w:tcMar>
          </w:tcPr>
          <w:p w14:paraId="50A348A4" w14:textId="77777777" w:rsidR="009262C4" w:rsidRPr="009E0511" w:rsidRDefault="00000000" w:rsidP="009E0511">
            <w:pPr>
              <w:keepNext/>
              <w:spacing w:after="40" w:line="240" w:lineRule="auto"/>
              <w:jc w:val="left"/>
              <w:rPr>
                <w:sz w:val="20"/>
                <w:szCs w:val="20"/>
              </w:rPr>
            </w:pPr>
            <w:r>
              <w:rPr>
                <w:rFonts w:ascii="Palatino Linotype" w:hAnsi="Palatino Linotype" w:cs="Palatino Linotype"/>
                <w:b/>
                <w:bCs/>
                <w:color w:val="000000"/>
                <w:sz w:val="19"/>
                <w:szCs w:val="20"/>
              </w:rPr>
              <w:t>Used for</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QA1</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Does the study define a consent model covering identity, authority, policy, and evidence?</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Inclusion</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QA2</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Does the study verify participant identities and their authorisation authority?</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Inclusion</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QA3</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Does the study support consent decisions requiring approval from multiple authorised participants?</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Inclusion</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QA4</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Does the study enforce purpose, data scope, and approval rules before allowing access?</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Inclusion</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QA5</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Does the study manage consent validity, expiry, and revocation?</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Evidence tier only (A, B, C, Background), not inclusion</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QA6</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Does the study validate security and access decisions through formal analysis or implementation testing?</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Evidence tier only (A, B, C, Background), not inclusion</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Scoring</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Yes = 1, No = 0.</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w:t>
            </w:r>
          </w:p>
        </w:tc>
      </w:tr>
      <w:tr w:rsidR="009262C4" w14:paraId="7E27882A" w14:textId="77777777">
        <w:trPr>
          <w:cantSplit/>
        </w:trPr>
        <w:tc>
          <w:tcPr>
            <w:tcW w:w="1300" w:type="dxa"/>
            <w:tcBorders>
              <w:top w:val="nil"/>
              <w:left w:val="nil"/>
              <w:bottom w:val="nil"/>
              <w:right w:val="nil"/>
              <w:insideH w:val="nil"/>
              <w:insideV w:val="nil"/>
            </w:tcBorders>
            <w:tcMar>
              <w:top w:w="40" w:type="dxa"/>
              <w:left w:w="80" w:type="dxa"/>
              <w:bottom w:w="40" w:type="dxa"/>
              <w:right w:w="80" w:type="dxa"/>
            </w:tcMar>
          </w:tcPr>
          <w:p w14:paraId="1864B0E2"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Rule</w:t>
            </w:r>
          </w:p>
        </w:tc>
        <w:tc>
          <w:tcPr>
            <w:tcW w:w="5428" w:type="dxa"/>
            <w:tcBorders>
              <w:top w:val="nil"/>
              <w:left w:val="nil"/>
              <w:bottom w:val="nil"/>
              <w:right w:val="nil"/>
              <w:insideH w:val="nil"/>
              <w:insideV w:val="nil"/>
            </w:tcBorders>
            <w:tcMar>
              <w:top w:w="40" w:type="dxa"/>
              <w:left w:w="80" w:type="dxa"/>
              <w:bottom w:w="40" w:type="dxa"/>
              <w:right w:w="80" w:type="dxa"/>
            </w:tcMar>
          </w:tcPr>
          <w:p w14:paraId="69E29CED" w14:textId="77777777" w:rsidR="009262C4" w:rsidRPr="009E0511" w:rsidRDefault="00000000">
            <w:pPr>
              <w:spacing w:after="40" w:line="240" w:lineRule="auto"/>
              <w:jc w:val="left"/>
              <w:rPr>
                <w:sz w:val="20"/>
                <w:szCs w:val="20"/>
              </w:rPr>
            </w:pPr>
            <w:r>
              <w:rPr>
                <w:rFonts w:ascii="Palatino Linotype" w:hAnsi="Palatino Linotype" w:cs="Palatino Linotype"/>
                <w:color w:val="000000"/>
                <w:sz w:val="19"/>
                <w:szCs w:val="20"/>
              </w:rPr>
              <w:t xml:space="preserve">A study is included when QA1 + QA2 + QA3 + QA4 ≥ 3.</w:t>
            </w:r>
          </w:p>
        </w:tc>
        <w:tc>
          <w:tcPr>
            <w:tcW w:w="2400" w:type="dxa"/>
            <w:tcBorders>
              <w:top w:val="nil"/>
              <w:left w:val="nil"/>
              <w:bottom w:val="nil"/>
              <w:right w:val="nil"/>
              <w:insideH w:val="nil"/>
              <w:insideV w:val="nil"/>
            </w:tcBorders>
            <w:tcMar>
              <w:top w:w="40" w:type="dxa"/>
              <w:left w:w="80" w:type="dxa"/>
              <w:bottom w:w="40" w:type="dxa"/>
              <w:right w:w="80" w:type="dxa"/>
            </w:tcMar>
          </w:tcPr>
          <w:p w14:paraId="35AB0D3C" w14:textId="77777777" w:rsidR="009262C4" w:rsidRPr="009E0511" w:rsidRDefault="00000000" w:rsidP="009E0511">
            <w:pPr>
              <w:spacing w:after="40" w:line="240" w:lineRule="auto"/>
              <w:jc w:val="left"/>
              <w:rPr>
                <w:sz w:val="20"/>
                <w:szCs w:val="20"/>
              </w:rPr>
            </w:pPr>
            <w:r>
              <w:rPr>
                <w:rFonts w:ascii="Palatino Linotype" w:hAnsi="Palatino Linotype" w:cs="Palatino Linotype"/>
                <w:color w:val="000000"/>
                <w:sz w:val="19"/>
                <w:szCs w:val="20"/>
              </w:rPr>
              <w:t xml:space="preserve">—</w:t>
            </w:r>
          </w:p>
        </w:tc>
      </w:tr>
    </w:tbl>
    <w:p>
      <w:pPr/>
      <w:r/>
    </w:p>
    <w:p>
      <w:pPr>
        <w:pStyle w:val="3"/>
      </w:pPr>
      <w:r>
        <w:t>2.3.4 Step 4: Shortlisted Papers for SLR and Categorising Them into Broad Areas</w:t>
      </w:r>
    </w:p>
    <w:p>
      <w:pPr/>
      <w: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2.4 lists the 25 primary studies with their year, title and stream.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60" w:after="160"/>
        <w:jc w:val="center"/>
      </w:pPr>
      <w:r>
        <w:rPr>
          <w:b/>
          <w:bCs/>
          <w:sz w:val="20"/>
          <w:szCs w:val="18"/>
        </w:rPr>
        <w:t>Table 2.4:</w:t>
      </w:r>
      <w:r>
        <w:rPr>
          <w:b/>
          <w:bCs/>
          <w:sz w:val="20"/>
          <w:szCs w:val="18"/>
        </w:rPr>
        <w:t xml:space="preserve"> </w:t>
      </w:r>
      <w:r>
        <w:rPr>
          <w:sz w:val="20"/>
          <w:szCs w:val="18"/>
        </w:rPr>
        <w:t>Listing of the 25 primary studies identified after the selection process</w:t>
      </w:r>
    </w:p>
    <w:tbl>
      <w:tblPr>
        <w:tblW w:w="9128" w:type="dxa"/>
        <w:jc w:val="center"/>
        <w:tblBorders>
          <w:top w:val="single" w:sz="12" w:color="000000" w:space="0"/>
          <w:left w:val="nil"/>
          <w:bottom w:val="single" w:sz="12" w:color="000000" w:space="0"/>
          <w:right w:val="nil"/>
          <w:insideH w:val="nil"/>
          <w:insideV w:val="nil"/>
        </w:tblBorders>
        <w:tblLayout w:type="fixed"/>
        <w:tblCellMar>
          <w:left w:w="10" w:type="dxa"/>
          <w:right w:w="10" w:type="dxa"/>
        </w:tblCellMar>
        <w:tblLook w:val="0000" w:firstRow="0" w:lastRow="0" w:firstColumn="0" w:lastColumn="0" w:noHBand="0" w:noVBand="0"/>
      </w:tblPr>
      <w:tblGrid>
        <w:gridCol w:w="680"/>
        <w:gridCol w:w="1814"/>
        <w:gridCol w:w="680"/>
        <w:gridCol w:w="3515"/>
        <w:gridCol w:w="1814"/>
      </w:tblGrid>
      <w:tr w:rsidR="009262C4" w14:paraId="4A276FDF" w14:textId="77777777">
        <w:trPr>
          <w:cantSplit/>
          <w:tblHeader/>
        </w:trPr>
        <w:tc>
          <w:tcPr>
            <w:tcW w:w="680" w:type="dxa"/>
            <w:tcBorders>
              <w:top w:val="nil"/>
              <w:left w:val="nil"/>
              <w:bottom w:val="single" w:sz="6" w:color="000000" w:space="0"/>
              <w:right w:val="nil"/>
              <w:insideH w:val="nil"/>
              <w:insideV w:val="nil"/>
            </w:tcBorders>
            <w:tcMar>
              <w:top w:w="40" w:type="dxa"/>
              <w:left w:w="80" w:type="dxa"/>
              <w:bottom w:w="40" w:type="dxa"/>
              <w:right w:w="80" w:type="dxa"/>
            </w:tcMar>
          </w:tcPr>
          <w:p w14:paraId="13BC496B" w14:textId="77777777" w:rsidR="009262C4" w:rsidRDefault="00000000">
            <w:pPr>
              <w:keepNext/>
              <w:spacing w:after="40" w:line="240" w:lineRule="auto"/>
              <w:jc w:val="left"/>
            </w:pPr>
            <w:r>
              <w:rPr>
                <w:rFonts w:ascii="Palatino Linotype" w:hAnsi="Palatino Linotype" w:cs="Palatino Linotype"/>
                <w:b/>
                <w:bCs/>
                <w:color w:val="000000"/>
                <w:sz w:val="19"/>
                <w:szCs w:val="17"/>
              </w:rPr>
              <w:t>Study</w:t>
            </w:r>
          </w:p>
        </w:tc>
        <w:tc>
          <w:tcPr>
            <w:tcW w:w="1814" w:type="dxa"/>
            <w:tcBorders>
              <w:top w:val="nil"/>
              <w:left w:val="nil"/>
              <w:bottom w:val="single" w:sz="6" w:color="000000" w:space="0"/>
              <w:right w:val="nil"/>
              <w:insideH w:val="nil"/>
              <w:insideV w:val="nil"/>
            </w:tcBorders>
            <w:tcMar>
              <w:top w:w="40" w:type="dxa"/>
              <w:left w:w="80" w:type="dxa"/>
              <w:bottom w:w="40" w:type="dxa"/>
              <w:right w:w="80" w:type="dxa"/>
            </w:tcMar>
          </w:tcPr>
          <w:p w14:paraId="39594DA3" w14:textId="77777777" w:rsidR="009262C4" w:rsidRDefault="00000000">
            <w:pPr>
              <w:keepNext/>
              <w:spacing w:after="40" w:line="240" w:lineRule="auto"/>
              <w:jc w:val="left"/>
            </w:pPr>
            <w:r>
              <w:rPr>
                <w:rFonts w:ascii="Palatino Linotype" w:hAnsi="Palatino Linotype" w:cs="Palatino Linotype"/>
                <w:b/>
                <w:bCs/>
                <w:color w:val="000000"/>
                <w:sz w:val="19"/>
                <w:szCs w:val="17"/>
              </w:rPr>
              <w:t>Author(s)</w:t>
            </w:r>
          </w:p>
        </w:tc>
        <w:tc>
          <w:tcPr>
            <w:tcW w:w="680" w:type="dxa"/>
            <w:tcBorders>
              <w:top w:val="nil"/>
              <w:left w:val="nil"/>
              <w:bottom w:val="single" w:sz="6" w:color="000000" w:space="0"/>
              <w:right w:val="nil"/>
              <w:insideH w:val="nil"/>
              <w:insideV w:val="nil"/>
            </w:tcBorders>
            <w:tcMar>
              <w:top w:w="40" w:type="dxa"/>
              <w:left w:w="80" w:type="dxa"/>
              <w:bottom w:w="40" w:type="dxa"/>
              <w:right w:w="80" w:type="dxa"/>
            </w:tcMar>
          </w:tcPr>
          <w:p w14:paraId="32042FCC" w14:textId="77777777" w:rsidR="009262C4" w:rsidRDefault="00000000">
            <w:pPr>
              <w:keepNext/>
              <w:spacing w:after="40" w:line="240" w:lineRule="auto"/>
              <w:jc w:val="left"/>
            </w:pPr>
            <w:r>
              <w:rPr>
                <w:rFonts w:ascii="Palatino Linotype" w:hAnsi="Palatino Linotype" w:cs="Palatino Linotype"/>
                <w:b/>
                <w:bCs/>
                <w:color w:val="000000"/>
                <w:sz w:val="19"/>
                <w:szCs w:val="17"/>
              </w:rPr>
              <w:t>Year</w:t>
            </w:r>
          </w:p>
        </w:tc>
        <w:tc>
          <w:tcPr>
            <w:tcW w:w="3515" w:type="dxa"/>
            <w:tcBorders>
              <w:top w:val="nil"/>
              <w:left w:val="nil"/>
              <w:bottom w:val="single" w:sz="6" w:color="000000" w:space="0"/>
              <w:right w:val="nil"/>
              <w:insideH w:val="nil"/>
              <w:insideV w:val="nil"/>
            </w:tcBorders>
            <w:tcMar>
              <w:top w:w="40" w:type="dxa"/>
              <w:left w:w="80" w:type="dxa"/>
              <w:bottom w:w="40" w:type="dxa"/>
              <w:right w:w="80" w:type="dxa"/>
            </w:tcMar>
          </w:tcPr>
          <w:p w14:paraId="65AA66D2" w14:textId="77777777" w:rsidR="009262C4" w:rsidRDefault="00000000">
            <w:pPr>
              <w:keepNext/>
              <w:spacing w:after="40" w:line="240" w:lineRule="auto"/>
              <w:jc w:val="left"/>
            </w:pPr>
            <w:r>
              <w:rPr>
                <w:rFonts w:ascii="Palatino Linotype" w:hAnsi="Palatino Linotype" w:cs="Palatino Linotype"/>
                <w:b/>
                <w:bCs/>
                <w:color w:val="000000"/>
                <w:sz w:val="19"/>
                <w:szCs w:val="17"/>
              </w:rPr>
              <w:t>Title</w:t>
            </w:r>
          </w:p>
        </w:tc>
        <w:tc>
          <w:tcPr>
            <w:tcW w:w="1814" w:type="dxa"/>
            <w:tcBorders>
              <w:top w:val="nil"/>
              <w:left w:val="nil"/>
              <w:bottom w:val="single" w:sz="6" w:color="000000" w:space="0"/>
              <w:right w:val="nil"/>
              <w:insideH w:val="nil"/>
              <w:insideV w:val="nil"/>
            </w:tcBorders>
            <w:tcMar>
              <w:top w:w="40" w:type="dxa"/>
              <w:left w:w="80" w:type="dxa"/>
              <w:bottom w:w="40" w:type="dxa"/>
              <w:right w:w="80" w:type="dxa"/>
            </w:tcMar>
          </w:tcPr>
          <w:p w14:paraId="55376B97" w14:textId="77777777" w:rsidR="009262C4" w:rsidRDefault="00000000">
            <w:pPr>
              <w:keepNext/>
              <w:spacing w:after="40" w:line="240" w:lineRule="auto"/>
              <w:jc w:val="left"/>
            </w:pPr>
            <w:r>
              <w:rPr>
                <w:rFonts w:ascii="Palatino Linotype" w:hAnsi="Palatino Linotype" w:cs="Palatino Linotype"/>
                <w:b/>
                <w:bCs/>
                <w:color w:val="000000"/>
                <w:sz w:val="19"/>
                <w:szCs w:val="17"/>
              </w:rPr>
              <w:t>Category</w:t>
            </w:r>
          </w:p>
        </w:tc>
      </w:tr>
      <w:tr w:rsidR="009262C4" w14:paraId="277610A5"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65FBAD0E" w14:textId="77777777" w:rsidR="009262C4" w:rsidRDefault="00000000">
            <w:pPr>
              <w:spacing w:after="40" w:line="240" w:lineRule="auto"/>
              <w:jc w:val="left"/>
            </w:pPr>
            <w:r>
              <w:rPr>
                <w:rFonts w:ascii="Palatino Linotype" w:hAnsi="Palatino Linotype" w:cs="Palatino Linotype"/>
                <w:color w:val="000000"/>
                <w:sz w:val="19"/>
                <w:szCs w:val="17"/>
              </w:rPr>
              <w:t>S1</w:t>
            </w:r>
          </w:p>
        </w:tc>
        <w:tc>
          <w:tcPr>
            <w:tcW w:w="1814" w:type="dxa"/>
            <w:tcBorders>
              <w:top w:val="nil"/>
              <w:left w:val="nil"/>
              <w:bottom w:val="nil"/>
              <w:right w:val="nil"/>
              <w:insideH w:val="nil"/>
              <w:insideV w:val="nil"/>
            </w:tcBorders>
            <w:tcMar>
              <w:top w:w="40" w:type="dxa"/>
              <w:left w:w="80" w:type="dxa"/>
              <w:bottom w:w="40" w:type="dxa"/>
              <w:right w:w="80" w:type="dxa"/>
            </w:tcMar>
          </w:tcPr>
          <w:p w14:paraId="032AD346" w14:textId="77777777" w:rsidR="009262C4" w:rsidRDefault="00000000">
            <w:pPr>
              <w:spacing w:after="40" w:line="240" w:lineRule="auto"/>
              <w:jc w:val="left"/>
            </w:pPr>
            <w:r>
              <w:rPr>
                <w:rFonts w:ascii="Palatino Linotype" w:hAnsi="Palatino Linotype" w:cs="Palatino Linotype"/>
                <w:color w:val="000000"/>
                <w:sz w:val="19"/>
                <w:szCs w:val="17"/>
              </w:rPr>
              <w:t>Abbasi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1CF7C819"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68C42C3E" w14:textId="77777777" w:rsidR="009262C4" w:rsidRDefault="00000000">
            <w:pPr>
              <w:spacing w:after="40" w:line="240" w:lineRule="auto"/>
              <w:jc w:val="left"/>
            </w:pPr>
            <w:r>
              <w:rPr>
                <w:rFonts w:ascii="Palatino Linotype" w:hAnsi="Palatino Linotype" w:cs="Palatino Linotype"/>
                <w:color w:val="000000"/>
                <w:sz w:val="19"/>
                <w:szCs w:val="17"/>
              </w:rPr>
              <w:t>Nexa: Enabling Secure, Scalable, and Decentralized Management of Electronic Health Records Using Threshold Cryptography and Public Blockchains</w:t>
            </w:r>
          </w:p>
        </w:tc>
        <w:tc>
          <w:tcPr>
            <w:tcW w:w="1814" w:type="dxa"/>
            <w:tcBorders>
              <w:top w:val="nil"/>
              <w:left w:val="nil"/>
              <w:bottom w:val="nil"/>
              <w:right w:val="nil"/>
              <w:insideH w:val="nil"/>
              <w:insideV w:val="nil"/>
            </w:tcBorders>
            <w:tcMar>
              <w:top w:w="40" w:type="dxa"/>
              <w:left w:w="80" w:type="dxa"/>
              <w:bottom w:w="40" w:type="dxa"/>
              <w:right w:w="80" w:type="dxa"/>
            </w:tcMar>
          </w:tcPr>
          <w:p w14:paraId="48E22A1A"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548DB82F"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776964AD" w14:textId="77777777" w:rsidR="009262C4" w:rsidRDefault="00000000">
            <w:pPr>
              <w:spacing w:after="40" w:line="240" w:lineRule="auto"/>
              <w:jc w:val="left"/>
            </w:pPr>
            <w:r>
              <w:rPr>
                <w:rFonts w:ascii="Palatino Linotype" w:hAnsi="Palatino Linotype" w:cs="Palatino Linotype"/>
                <w:color w:val="000000"/>
                <w:sz w:val="19"/>
                <w:szCs w:val="17"/>
              </w:rPr>
              <w:t>S2</w:t>
            </w:r>
          </w:p>
        </w:tc>
        <w:tc>
          <w:tcPr>
            <w:tcW w:w="1814" w:type="dxa"/>
            <w:tcBorders>
              <w:top w:val="nil"/>
              <w:left w:val="nil"/>
              <w:bottom w:val="nil"/>
              <w:right w:val="nil"/>
              <w:insideH w:val="nil"/>
              <w:insideV w:val="nil"/>
            </w:tcBorders>
            <w:tcMar>
              <w:top w:w="40" w:type="dxa"/>
              <w:left w:w="80" w:type="dxa"/>
              <w:bottom w:w="40" w:type="dxa"/>
              <w:right w:w="80" w:type="dxa"/>
            </w:tcMar>
          </w:tcPr>
          <w:p w14:paraId="21483FC7" w14:textId="77777777" w:rsidR="009262C4" w:rsidRDefault="00000000">
            <w:pPr>
              <w:spacing w:after="40" w:line="240" w:lineRule="auto"/>
              <w:jc w:val="left"/>
            </w:pPr>
            <w:r>
              <w:rPr>
                <w:rFonts w:ascii="Palatino Linotype" w:hAnsi="Palatino Linotype" w:cs="Palatino Linotype"/>
                <w:color w:val="000000"/>
                <w:sz w:val="19"/>
                <w:szCs w:val="17"/>
              </w:rPr>
              <w:t xml:space="preserve">Albalwy et al. (2021)</w:t>
            </w:r>
          </w:p>
        </w:tc>
        <w:tc>
          <w:tcPr>
            <w:tcW w:w="680" w:type="dxa"/>
            <w:tcBorders>
              <w:top w:val="nil"/>
              <w:left w:val="nil"/>
              <w:bottom w:val="nil"/>
              <w:right w:val="nil"/>
              <w:insideH w:val="nil"/>
              <w:insideV w:val="nil"/>
            </w:tcBorders>
            <w:tcMar>
              <w:top w:w="40" w:type="dxa"/>
              <w:left w:w="80" w:type="dxa"/>
              <w:bottom w:w="40" w:type="dxa"/>
              <w:right w:w="80" w:type="dxa"/>
            </w:tcMar>
          </w:tcPr>
          <w:p w14:paraId="6BC383BE" w14:textId="77777777" w:rsidR="009262C4" w:rsidRDefault="00000000">
            <w:pPr>
              <w:spacing w:after="40" w:line="240" w:lineRule="auto"/>
              <w:jc w:val="left"/>
            </w:pPr>
            <w:r>
              <w:rPr>
                <w:rFonts w:ascii="Palatino Linotype" w:hAnsi="Palatino Linotype" w:cs="Palatino Linotype"/>
                <w:color w:val="000000"/>
                <w:sz w:val="19"/>
                <w:szCs w:val="17"/>
              </w:rPr>
              <w:t>2021</w:t>
            </w:r>
          </w:p>
        </w:tc>
        <w:tc>
          <w:tcPr>
            <w:tcW w:w="3515" w:type="dxa"/>
            <w:tcBorders>
              <w:top w:val="nil"/>
              <w:left w:val="nil"/>
              <w:bottom w:val="nil"/>
              <w:right w:val="nil"/>
              <w:insideH w:val="nil"/>
              <w:insideV w:val="nil"/>
            </w:tcBorders>
            <w:tcMar>
              <w:top w:w="40" w:type="dxa"/>
              <w:left w:w="80" w:type="dxa"/>
              <w:bottom w:w="40" w:type="dxa"/>
              <w:right w:w="80" w:type="dxa"/>
            </w:tcMar>
          </w:tcPr>
          <w:p w14:paraId="46A1F0AE" w14:textId="77777777" w:rsidR="009262C4" w:rsidRDefault="00000000">
            <w:pPr>
              <w:spacing w:after="40" w:line="240" w:lineRule="auto"/>
              <w:jc w:val="left"/>
            </w:pPr>
            <w:r>
              <w:rPr>
                <w:rFonts w:ascii="Palatino Linotype" w:hAnsi="Palatino Linotype" w:cs="Palatino Linotype"/>
                <w:color w:val="000000"/>
                <w:sz w:val="19"/>
                <w:szCs w:val="17"/>
              </w:rPr>
              <w:t>A Blockchain-based dynamic consent architecture to support clinical genomic data sharing (ConsentChain): Proof-of-concept study</w:t>
            </w:r>
          </w:p>
        </w:tc>
        <w:tc>
          <w:tcPr>
            <w:tcW w:w="1814" w:type="dxa"/>
            <w:tcBorders>
              <w:top w:val="nil"/>
              <w:left w:val="nil"/>
              <w:bottom w:val="nil"/>
              <w:right w:val="nil"/>
              <w:insideH w:val="nil"/>
              <w:insideV w:val="nil"/>
            </w:tcBorders>
            <w:tcMar>
              <w:top w:w="40" w:type="dxa"/>
              <w:left w:w="80" w:type="dxa"/>
              <w:bottom w:w="40" w:type="dxa"/>
              <w:right w:w="80" w:type="dxa"/>
            </w:tcMar>
          </w:tcPr>
          <w:p w14:paraId="4D9B2956"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472B59DC"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BDFCB26" w14:textId="77777777" w:rsidR="009262C4" w:rsidRDefault="00000000">
            <w:pPr>
              <w:spacing w:after="40" w:line="240" w:lineRule="auto"/>
              <w:jc w:val="left"/>
            </w:pPr>
            <w:r>
              <w:rPr>
                <w:rFonts w:ascii="Palatino Linotype" w:hAnsi="Palatino Linotype" w:cs="Palatino Linotype"/>
                <w:color w:val="000000"/>
                <w:sz w:val="19"/>
                <w:szCs w:val="17"/>
              </w:rPr>
              <w:t>S3</w:t>
            </w:r>
          </w:p>
        </w:tc>
        <w:tc>
          <w:tcPr>
            <w:tcW w:w="1814" w:type="dxa"/>
            <w:tcBorders>
              <w:top w:val="nil"/>
              <w:left w:val="nil"/>
              <w:bottom w:val="nil"/>
              <w:right w:val="nil"/>
              <w:insideH w:val="nil"/>
              <w:insideV w:val="nil"/>
            </w:tcBorders>
            <w:tcMar>
              <w:top w:w="40" w:type="dxa"/>
              <w:left w:w="80" w:type="dxa"/>
              <w:bottom w:w="40" w:type="dxa"/>
              <w:right w:w="80" w:type="dxa"/>
            </w:tcMar>
          </w:tcPr>
          <w:p w14:paraId="3381561C" w14:textId="77777777" w:rsidR="009262C4" w:rsidRDefault="00000000">
            <w:pPr>
              <w:spacing w:after="40" w:line="240" w:lineRule="auto"/>
              <w:jc w:val="left"/>
            </w:pPr>
            <w:r>
              <w:rPr>
                <w:rFonts w:ascii="Palatino Linotype" w:hAnsi="Palatino Linotype" w:cs="Palatino Linotype"/>
                <w:color w:val="000000"/>
                <w:sz w:val="19"/>
                <w:szCs w:val="17"/>
              </w:rPr>
              <w:t>Al Amin et al. (2023)</w:t>
            </w:r>
          </w:p>
        </w:tc>
        <w:tc>
          <w:tcPr>
            <w:tcW w:w="680" w:type="dxa"/>
            <w:tcBorders>
              <w:top w:val="nil"/>
              <w:left w:val="nil"/>
              <w:bottom w:val="nil"/>
              <w:right w:val="nil"/>
              <w:insideH w:val="nil"/>
              <w:insideV w:val="nil"/>
            </w:tcBorders>
            <w:tcMar>
              <w:top w:w="40" w:type="dxa"/>
              <w:left w:w="80" w:type="dxa"/>
              <w:bottom w:w="40" w:type="dxa"/>
              <w:right w:w="80" w:type="dxa"/>
            </w:tcMar>
          </w:tcPr>
          <w:p w14:paraId="03D139D5" w14:textId="77777777" w:rsidR="009262C4" w:rsidRDefault="00000000">
            <w:pPr>
              <w:spacing w:after="40" w:line="240" w:lineRule="auto"/>
              <w:jc w:val="left"/>
            </w:pPr>
            <w:r>
              <w:rPr>
                <w:rFonts w:ascii="Palatino Linotype" w:hAnsi="Palatino Linotype" w:cs="Palatino Linotype"/>
                <w:color w:val="000000"/>
                <w:sz w:val="19"/>
                <w:szCs w:val="17"/>
              </w:rPr>
              <w:t>2023</w:t>
            </w:r>
          </w:p>
        </w:tc>
        <w:tc>
          <w:tcPr>
            <w:tcW w:w="3515" w:type="dxa"/>
            <w:tcBorders>
              <w:top w:val="nil"/>
              <w:left w:val="nil"/>
              <w:bottom w:val="nil"/>
              <w:right w:val="nil"/>
              <w:insideH w:val="nil"/>
              <w:insideV w:val="nil"/>
            </w:tcBorders>
            <w:tcMar>
              <w:top w:w="40" w:type="dxa"/>
              <w:left w:w="80" w:type="dxa"/>
              <w:bottom w:w="40" w:type="dxa"/>
              <w:right w:w="80" w:type="dxa"/>
            </w:tcMar>
          </w:tcPr>
          <w:p w14:paraId="0CA442B3" w14:textId="77777777" w:rsidR="009262C4" w:rsidRDefault="00000000">
            <w:pPr>
              <w:spacing w:after="40" w:line="240" w:lineRule="auto"/>
              <w:jc w:val="left"/>
            </w:pPr>
            <w:r>
              <w:rPr>
                <w:rFonts w:ascii="Palatino Linotype" w:hAnsi="Palatino Linotype" w:cs="Palatino Linotype"/>
                <w:color w:val="000000"/>
                <w:sz w:val="19"/>
                <w:szCs w:val="17"/>
              </w:rPr>
              <w:t>Informed Consent as Patient Driven Policy for Clinical Diagnosis and Treatment: A Smart Contract Based Approach</w:t>
            </w:r>
          </w:p>
        </w:tc>
        <w:tc>
          <w:tcPr>
            <w:tcW w:w="1814" w:type="dxa"/>
            <w:tcBorders>
              <w:top w:val="nil"/>
              <w:left w:val="nil"/>
              <w:bottom w:val="nil"/>
              <w:right w:val="nil"/>
              <w:insideH w:val="nil"/>
              <w:insideV w:val="nil"/>
            </w:tcBorders>
            <w:tcMar>
              <w:top w:w="40" w:type="dxa"/>
              <w:left w:w="80" w:type="dxa"/>
              <w:bottom w:w="40" w:type="dxa"/>
              <w:right w:w="80" w:type="dxa"/>
            </w:tcMar>
          </w:tcPr>
          <w:p w14:paraId="149F87D9" w14:textId="77777777" w:rsidR="009262C4" w:rsidRDefault="00000000">
            <w:pPr>
              <w:spacing w:after="40" w:line="240" w:lineRule="auto"/>
              <w:jc w:val="left"/>
            </w:pPr>
            <w:r>
              <w:rPr>
                <w:rFonts w:ascii="Palatino Linotype" w:hAnsi="Palatino Linotype" w:cs="Palatino Linotype"/>
                <w:color w:val="000000"/>
                <w:sz w:val="19"/>
                <w:szCs w:val="17"/>
              </w:rPr>
              <w:t>Consent representation (Req 1)</w:t>
            </w:r>
          </w:p>
        </w:tc>
      </w:tr>
      <w:tr w:rsidR="009262C4" w14:paraId="692DB973"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65233871" w14:textId="77777777" w:rsidR="009262C4" w:rsidRDefault="00000000">
            <w:pPr>
              <w:spacing w:after="40" w:line="240" w:lineRule="auto"/>
              <w:jc w:val="left"/>
            </w:pPr>
            <w:r>
              <w:rPr>
                <w:rFonts w:ascii="Palatino Linotype" w:hAnsi="Palatino Linotype" w:cs="Palatino Linotype"/>
                <w:color w:val="000000"/>
                <w:sz w:val="19"/>
                <w:szCs w:val="17"/>
              </w:rPr>
              <w:t>S4</w:t>
            </w:r>
          </w:p>
        </w:tc>
        <w:tc>
          <w:tcPr>
            <w:tcW w:w="1814" w:type="dxa"/>
            <w:tcBorders>
              <w:top w:val="nil"/>
              <w:left w:val="nil"/>
              <w:bottom w:val="nil"/>
              <w:right w:val="nil"/>
              <w:insideH w:val="nil"/>
              <w:insideV w:val="nil"/>
            </w:tcBorders>
            <w:tcMar>
              <w:top w:w="40" w:type="dxa"/>
              <w:left w:w="80" w:type="dxa"/>
              <w:bottom w:w="40" w:type="dxa"/>
              <w:right w:w="80" w:type="dxa"/>
            </w:tcMar>
          </w:tcPr>
          <w:p w14:paraId="133939FE" w14:textId="77777777" w:rsidR="009262C4" w:rsidRDefault="00000000">
            <w:pPr>
              <w:spacing w:after="40" w:line="240" w:lineRule="auto"/>
              <w:jc w:val="left"/>
            </w:pPr>
            <w:r>
              <w:rPr>
                <w:rFonts w:ascii="Palatino Linotype" w:hAnsi="Palatino Linotype" w:cs="Palatino Linotype"/>
                <w:color w:val="000000"/>
                <w:sz w:val="19"/>
                <w:szCs w:val="17"/>
              </w:rPr>
              <w:t>Ekholm et al. (2025)</w:t>
            </w:r>
          </w:p>
        </w:tc>
        <w:tc>
          <w:tcPr>
            <w:tcW w:w="680" w:type="dxa"/>
            <w:tcBorders>
              <w:top w:val="nil"/>
              <w:left w:val="nil"/>
              <w:bottom w:val="nil"/>
              <w:right w:val="nil"/>
              <w:insideH w:val="nil"/>
              <w:insideV w:val="nil"/>
            </w:tcBorders>
            <w:tcMar>
              <w:top w:w="40" w:type="dxa"/>
              <w:left w:w="80" w:type="dxa"/>
              <w:bottom w:w="40" w:type="dxa"/>
              <w:right w:w="80" w:type="dxa"/>
            </w:tcMar>
          </w:tcPr>
          <w:p w14:paraId="1572912E"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515" w:type="dxa"/>
            <w:tcBorders>
              <w:top w:val="nil"/>
              <w:left w:val="nil"/>
              <w:bottom w:val="nil"/>
              <w:right w:val="nil"/>
              <w:insideH w:val="nil"/>
              <w:insideV w:val="nil"/>
            </w:tcBorders>
            <w:tcMar>
              <w:top w:w="40" w:type="dxa"/>
              <w:left w:w="80" w:type="dxa"/>
              <w:bottom w:w="40" w:type="dxa"/>
              <w:right w:w="80" w:type="dxa"/>
            </w:tcMar>
          </w:tcPr>
          <w:p w14:paraId="67384542" w14:textId="77777777" w:rsidR="009262C4" w:rsidRDefault="00000000">
            <w:pPr>
              <w:spacing w:after="40" w:line="240" w:lineRule="auto"/>
              <w:jc w:val="left"/>
            </w:pPr>
            <w:r>
              <w:rPr>
                <w:rFonts w:ascii="Palatino Linotype" w:hAnsi="Palatino Linotype" w:cs="Palatino Linotype"/>
                <w:color w:val="000000"/>
                <w:sz w:val="19"/>
                <w:szCs w:val="17"/>
              </w:rPr>
              <w:t>Implementing electronic informed consent in rare disease genomics</w:t>
            </w:r>
          </w:p>
        </w:tc>
        <w:tc>
          <w:tcPr>
            <w:tcW w:w="1814" w:type="dxa"/>
            <w:tcBorders>
              <w:top w:val="nil"/>
              <w:left w:val="nil"/>
              <w:bottom w:val="nil"/>
              <w:right w:val="nil"/>
              <w:insideH w:val="nil"/>
              <w:insideV w:val="nil"/>
            </w:tcBorders>
            <w:tcMar>
              <w:top w:w="40" w:type="dxa"/>
              <w:left w:w="80" w:type="dxa"/>
              <w:bottom w:w="40" w:type="dxa"/>
              <w:right w:w="80" w:type="dxa"/>
            </w:tcMar>
          </w:tcPr>
          <w:p w14:paraId="74C5F3FA"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59A83339"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1A3065E5" w14:textId="77777777" w:rsidR="009262C4" w:rsidRDefault="00000000">
            <w:pPr>
              <w:spacing w:after="40" w:line="240" w:lineRule="auto"/>
              <w:jc w:val="left"/>
            </w:pPr>
            <w:r>
              <w:rPr>
                <w:rFonts w:ascii="Palatino Linotype" w:hAnsi="Palatino Linotype" w:cs="Palatino Linotype"/>
                <w:color w:val="000000"/>
                <w:sz w:val="19"/>
                <w:szCs w:val="17"/>
              </w:rPr>
              <w:t>S5</w:t>
            </w:r>
          </w:p>
        </w:tc>
        <w:tc>
          <w:tcPr>
            <w:tcW w:w="1814" w:type="dxa"/>
            <w:tcBorders>
              <w:top w:val="nil"/>
              <w:left w:val="nil"/>
              <w:bottom w:val="nil"/>
              <w:right w:val="nil"/>
              <w:insideH w:val="nil"/>
              <w:insideV w:val="nil"/>
            </w:tcBorders>
            <w:tcMar>
              <w:top w:w="40" w:type="dxa"/>
              <w:left w:w="80" w:type="dxa"/>
              <w:bottom w:w="40" w:type="dxa"/>
              <w:right w:w="80" w:type="dxa"/>
            </w:tcMar>
          </w:tcPr>
          <w:p w14:paraId="4DC1B1FF" w14:textId="77777777" w:rsidR="009262C4" w:rsidRDefault="00000000">
            <w:pPr>
              <w:spacing w:after="40" w:line="240" w:lineRule="auto"/>
              <w:jc w:val="left"/>
            </w:pPr>
            <w:r>
              <w:rPr>
                <w:rFonts w:ascii="Palatino Linotype" w:hAnsi="Palatino Linotype" w:cs="Palatino Linotype"/>
                <w:color w:val="000000"/>
                <w:sz w:val="19"/>
                <w:szCs w:val="17"/>
              </w:rPr>
              <w:t>Eneh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1AD65922"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2C262A7F" w14:textId="77777777" w:rsidR="009262C4" w:rsidRDefault="00000000">
            <w:pPr>
              <w:spacing w:after="40" w:line="240" w:lineRule="auto"/>
              <w:jc w:val="left"/>
            </w:pPr>
            <w:r>
              <w:rPr>
                <w:rFonts w:ascii="Palatino Linotype" w:hAnsi="Palatino Linotype" w:cs="Palatino Linotype"/>
                <w:color w:val="000000"/>
                <w:sz w:val="19"/>
                <w:szCs w:val="17"/>
              </w:rPr>
              <w:t xml:space="preserve">Demo: EdgeConsent: On-Chain Attribute-Based Access Control for Data Consent Management</w:t>
            </w:r>
          </w:p>
        </w:tc>
        <w:tc>
          <w:tcPr>
            <w:tcW w:w="1814" w:type="dxa"/>
            <w:tcBorders>
              <w:top w:val="nil"/>
              <w:left w:val="nil"/>
              <w:bottom w:val="nil"/>
              <w:right w:val="nil"/>
              <w:insideH w:val="nil"/>
              <w:insideV w:val="nil"/>
            </w:tcBorders>
            <w:tcMar>
              <w:top w:w="40" w:type="dxa"/>
              <w:left w:w="80" w:type="dxa"/>
              <w:bottom w:w="40" w:type="dxa"/>
              <w:right w:w="80" w:type="dxa"/>
            </w:tcMar>
          </w:tcPr>
          <w:p w14:paraId="4F390601"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3A3C15BF"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24C1E9E6" w14:textId="77777777" w:rsidR="009262C4" w:rsidRDefault="00000000">
            <w:pPr>
              <w:spacing w:after="40" w:line="240" w:lineRule="auto"/>
              <w:jc w:val="left"/>
            </w:pPr>
            <w:r>
              <w:rPr>
                <w:rFonts w:ascii="Palatino Linotype" w:hAnsi="Palatino Linotype" w:cs="Palatino Linotype"/>
                <w:color w:val="000000"/>
                <w:sz w:val="19"/>
                <w:szCs w:val="17"/>
              </w:rPr>
              <w:t>S6</w:t>
            </w:r>
          </w:p>
        </w:tc>
        <w:tc>
          <w:tcPr>
            <w:tcW w:w="1814" w:type="dxa"/>
            <w:tcBorders>
              <w:top w:val="nil"/>
              <w:left w:val="nil"/>
              <w:bottom w:val="nil"/>
              <w:right w:val="nil"/>
              <w:insideH w:val="nil"/>
              <w:insideV w:val="nil"/>
            </w:tcBorders>
            <w:tcMar>
              <w:top w:w="40" w:type="dxa"/>
              <w:left w:w="80" w:type="dxa"/>
              <w:bottom w:w="40" w:type="dxa"/>
              <w:right w:w="80" w:type="dxa"/>
            </w:tcMar>
          </w:tcPr>
          <w:p w14:paraId="3E36EE60" w14:textId="77777777" w:rsidR="009262C4" w:rsidRDefault="00000000">
            <w:pPr>
              <w:spacing w:after="40" w:line="240" w:lineRule="auto"/>
              <w:jc w:val="left"/>
            </w:pPr>
            <w:r>
              <w:rPr>
                <w:rFonts w:ascii="Palatino Linotype" w:hAnsi="Palatino Linotype" w:cs="Palatino Linotype"/>
                <w:color w:val="000000"/>
                <w:sz w:val="19"/>
                <w:szCs w:val="17"/>
              </w:rPr>
              <w:t>Hagström et al. (2024)</w:t>
            </w:r>
          </w:p>
        </w:tc>
        <w:tc>
          <w:tcPr>
            <w:tcW w:w="680" w:type="dxa"/>
            <w:tcBorders>
              <w:top w:val="nil"/>
              <w:left w:val="nil"/>
              <w:bottom w:val="nil"/>
              <w:right w:val="nil"/>
              <w:insideH w:val="nil"/>
              <w:insideV w:val="nil"/>
            </w:tcBorders>
            <w:tcMar>
              <w:top w:w="40" w:type="dxa"/>
              <w:left w:w="80" w:type="dxa"/>
              <w:bottom w:w="40" w:type="dxa"/>
              <w:right w:w="80" w:type="dxa"/>
            </w:tcMar>
          </w:tcPr>
          <w:p w14:paraId="5C63C033" w14:textId="77777777" w:rsidR="009262C4" w:rsidRDefault="00000000">
            <w:pPr>
              <w:spacing w:after="40" w:line="240" w:lineRule="auto"/>
              <w:jc w:val="left"/>
            </w:pPr>
            <w:r>
              <w:rPr>
                <w:rFonts w:ascii="Palatino Linotype" w:hAnsi="Palatino Linotype" w:cs="Palatino Linotype"/>
                <w:color w:val="000000"/>
                <w:sz w:val="19"/>
                <w:szCs w:val="17"/>
              </w:rPr>
              <w:t>2024</w:t>
            </w:r>
          </w:p>
        </w:tc>
        <w:tc>
          <w:tcPr>
            <w:tcW w:w="3515" w:type="dxa"/>
            <w:tcBorders>
              <w:top w:val="nil"/>
              <w:left w:val="nil"/>
              <w:bottom w:val="nil"/>
              <w:right w:val="nil"/>
              <w:insideH w:val="nil"/>
              <w:insideV w:val="nil"/>
            </w:tcBorders>
            <w:tcMar>
              <w:top w:w="40" w:type="dxa"/>
              <w:left w:w="80" w:type="dxa"/>
              <w:bottom w:w="40" w:type="dxa"/>
              <w:right w:w="80" w:type="dxa"/>
            </w:tcMar>
          </w:tcPr>
          <w:p w14:paraId="79D150DF" w14:textId="77777777" w:rsidR="009262C4" w:rsidRDefault="00000000">
            <w:pPr>
              <w:spacing w:after="40" w:line="240" w:lineRule="auto"/>
              <w:jc w:val="left"/>
            </w:pPr>
            <w:r>
              <w:rPr>
                <w:rFonts w:ascii="Palatino Linotype" w:hAnsi="Palatino Linotype" w:cs="Palatino Linotype"/>
                <w:color w:val="000000"/>
                <w:sz w:val="19"/>
                <w:szCs w:val="17"/>
              </w:rPr>
              <w:t>Minors’ and guardian access to and use of a national patient portal: A retrospective comparative case study of Sweden and Finland</w:t>
            </w:r>
          </w:p>
        </w:tc>
        <w:tc>
          <w:tcPr>
            <w:tcW w:w="1814" w:type="dxa"/>
            <w:tcBorders>
              <w:top w:val="nil"/>
              <w:left w:val="nil"/>
              <w:bottom w:val="nil"/>
              <w:right w:val="nil"/>
              <w:insideH w:val="nil"/>
              <w:insideV w:val="nil"/>
            </w:tcBorders>
            <w:tcMar>
              <w:top w:w="40" w:type="dxa"/>
              <w:left w:w="80" w:type="dxa"/>
              <w:bottom w:w="40" w:type="dxa"/>
              <w:right w:w="80" w:type="dxa"/>
            </w:tcMar>
          </w:tcPr>
          <w:p w14:paraId="6E186DE0"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6D0D08AA"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2E1B2577" w14:textId="77777777" w:rsidR="009262C4" w:rsidRDefault="00000000">
            <w:pPr>
              <w:spacing w:after="40" w:line="240" w:lineRule="auto"/>
              <w:jc w:val="left"/>
            </w:pPr>
            <w:r>
              <w:rPr>
                <w:rFonts w:ascii="Palatino Linotype" w:hAnsi="Palatino Linotype" w:cs="Palatino Linotype"/>
                <w:color w:val="000000"/>
                <w:sz w:val="19"/>
                <w:szCs w:val="17"/>
              </w:rPr>
              <w:t>S7</w:t>
            </w:r>
          </w:p>
        </w:tc>
        <w:tc>
          <w:tcPr>
            <w:tcW w:w="1814" w:type="dxa"/>
            <w:tcBorders>
              <w:top w:val="nil"/>
              <w:left w:val="nil"/>
              <w:bottom w:val="nil"/>
              <w:right w:val="nil"/>
              <w:insideH w:val="nil"/>
              <w:insideV w:val="nil"/>
            </w:tcBorders>
            <w:tcMar>
              <w:top w:w="40" w:type="dxa"/>
              <w:left w:w="80" w:type="dxa"/>
              <w:bottom w:w="40" w:type="dxa"/>
              <w:right w:w="80" w:type="dxa"/>
            </w:tcMar>
          </w:tcPr>
          <w:p w14:paraId="62792157" w14:textId="77777777" w:rsidR="009262C4" w:rsidRDefault="00000000">
            <w:pPr>
              <w:spacing w:after="40" w:line="240" w:lineRule="auto"/>
              <w:jc w:val="left"/>
            </w:pPr>
            <w:r>
              <w:rPr>
                <w:rFonts w:ascii="Palatino Linotype" w:hAnsi="Palatino Linotype" w:cs="Palatino Linotype"/>
                <w:color w:val="000000"/>
                <w:sz w:val="19"/>
                <w:szCs w:val="17"/>
              </w:rPr>
              <w:t xml:space="preserve">Jaiman and Urovi (2020)</w:t>
            </w:r>
          </w:p>
        </w:tc>
        <w:tc>
          <w:tcPr>
            <w:tcW w:w="680" w:type="dxa"/>
            <w:tcBorders>
              <w:top w:val="nil"/>
              <w:left w:val="nil"/>
              <w:bottom w:val="nil"/>
              <w:right w:val="nil"/>
              <w:insideH w:val="nil"/>
              <w:insideV w:val="nil"/>
            </w:tcBorders>
            <w:tcMar>
              <w:top w:w="40" w:type="dxa"/>
              <w:left w:w="80" w:type="dxa"/>
              <w:bottom w:w="40" w:type="dxa"/>
              <w:right w:w="80" w:type="dxa"/>
            </w:tcMar>
          </w:tcPr>
          <w:p w14:paraId="5C010203" w14:textId="77777777" w:rsidR="009262C4" w:rsidRDefault="00000000">
            <w:pPr>
              <w:spacing w:after="40" w:line="240" w:lineRule="auto"/>
              <w:jc w:val="left"/>
            </w:pPr>
            <w:r>
              <w:rPr>
                <w:rFonts w:ascii="Palatino Linotype" w:hAnsi="Palatino Linotype" w:cs="Palatino Linotype"/>
                <w:color w:val="000000"/>
                <w:sz w:val="19"/>
                <w:szCs w:val="17"/>
              </w:rPr>
              <w:t>2020</w:t>
            </w:r>
          </w:p>
        </w:tc>
        <w:tc>
          <w:tcPr>
            <w:tcW w:w="3515" w:type="dxa"/>
            <w:tcBorders>
              <w:top w:val="nil"/>
              <w:left w:val="nil"/>
              <w:bottom w:val="nil"/>
              <w:right w:val="nil"/>
              <w:insideH w:val="nil"/>
              <w:insideV w:val="nil"/>
            </w:tcBorders>
            <w:tcMar>
              <w:top w:w="40" w:type="dxa"/>
              <w:left w:w="80" w:type="dxa"/>
              <w:bottom w:w="40" w:type="dxa"/>
              <w:right w:w="80" w:type="dxa"/>
            </w:tcMar>
          </w:tcPr>
          <w:p w14:paraId="2DB70D26" w14:textId="77777777" w:rsidR="009262C4" w:rsidRDefault="00000000">
            <w:pPr>
              <w:spacing w:after="40" w:line="240" w:lineRule="auto"/>
              <w:jc w:val="left"/>
            </w:pPr>
            <w:r>
              <w:rPr>
                <w:rFonts w:ascii="Palatino Linotype" w:hAnsi="Palatino Linotype" w:cs="Palatino Linotype"/>
                <w:color w:val="000000"/>
                <w:sz w:val="19"/>
                <w:szCs w:val="17"/>
              </w:rPr>
              <w:t>A Consent Model for Blockchain-Based Health Data Sharing Platforms</w:t>
            </w:r>
          </w:p>
        </w:tc>
        <w:tc>
          <w:tcPr>
            <w:tcW w:w="1814" w:type="dxa"/>
            <w:tcBorders>
              <w:top w:val="nil"/>
              <w:left w:val="nil"/>
              <w:bottom w:val="nil"/>
              <w:right w:val="nil"/>
              <w:insideH w:val="nil"/>
              <w:insideV w:val="nil"/>
            </w:tcBorders>
            <w:tcMar>
              <w:top w:w="40" w:type="dxa"/>
              <w:left w:w="80" w:type="dxa"/>
              <w:bottom w:w="40" w:type="dxa"/>
              <w:right w:w="80" w:type="dxa"/>
            </w:tcMar>
          </w:tcPr>
          <w:p w14:paraId="62803F66"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437C48B1"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28124F14" w14:textId="77777777" w:rsidR="009262C4" w:rsidRDefault="00000000">
            <w:pPr>
              <w:spacing w:after="40" w:line="240" w:lineRule="auto"/>
              <w:jc w:val="left"/>
            </w:pPr>
            <w:r>
              <w:rPr>
                <w:rFonts w:ascii="Palatino Linotype" w:hAnsi="Palatino Linotype" w:cs="Palatino Linotype"/>
                <w:color w:val="000000"/>
                <w:sz w:val="19"/>
                <w:szCs w:val="17"/>
              </w:rPr>
              <w:lastRenderedPageBreak/>
              <w:t>S8</w:t>
            </w:r>
          </w:p>
        </w:tc>
        <w:tc>
          <w:tcPr>
            <w:tcW w:w="1814" w:type="dxa"/>
            <w:tcBorders>
              <w:top w:val="nil"/>
              <w:left w:val="nil"/>
              <w:bottom w:val="nil"/>
              <w:right w:val="nil"/>
              <w:insideH w:val="nil"/>
              <w:insideV w:val="nil"/>
            </w:tcBorders>
            <w:tcMar>
              <w:top w:w="40" w:type="dxa"/>
              <w:left w:w="80" w:type="dxa"/>
              <w:bottom w:w="40" w:type="dxa"/>
              <w:right w:w="80" w:type="dxa"/>
            </w:tcMar>
          </w:tcPr>
          <w:p w14:paraId="61708CB4" w14:textId="77777777" w:rsidR="009262C4" w:rsidRDefault="00000000">
            <w:pPr>
              <w:spacing w:after="40" w:line="240" w:lineRule="auto"/>
              <w:jc w:val="left"/>
            </w:pPr>
            <w:r>
              <w:rPr>
                <w:rFonts w:ascii="Palatino Linotype" w:hAnsi="Palatino Linotype" w:cs="Palatino Linotype"/>
                <w:color w:val="000000"/>
                <w:sz w:val="19"/>
                <w:szCs w:val="17"/>
              </w:rPr>
              <w:t>Zhao and Su (2024)</w:t>
            </w:r>
          </w:p>
        </w:tc>
        <w:tc>
          <w:tcPr>
            <w:tcW w:w="680" w:type="dxa"/>
            <w:tcBorders>
              <w:top w:val="nil"/>
              <w:left w:val="nil"/>
              <w:bottom w:val="nil"/>
              <w:right w:val="nil"/>
              <w:insideH w:val="nil"/>
              <w:insideV w:val="nil"/>
            </w:tcBorders>
            <w:tcMar>
              <w:top w:w="40" w:type="dxa"/>
              <w:left w:w="80" w:type="dxa"/>
              <w:bottom w:w="40" w:type="dxa"/>
              <w:right w:w="80" w:type="dxa"/>
            </w:tcMar>
          </w:tcPr>
          <w:p w14:paraId="35D2B872" w14:textId="77777777" w:rsidR="009262C4" w:rsidRDefault="00000000">
            <w:pPr>
              <w:spacing w:after="40" w:line="240" w:lineRule="auto"/>
              <w:jc w:val="left"/>
            </w:pPr>
            <w:r>
              <w:rPr>
                <w:rFonts w:ascii="Palatino Linotype" w:hAnsi="Palatino Linotype" w:cs="Palatino Linotype"/>
                <w:color w:val="000000"/>
                <w:sz w:val="19"/>
                <w:szCs w:val="17"/>
              </w:rPr>
              <w:t>2024</w:t>
            </w:r>
          </w:p>
        </w:tc>
        <w:tc>
          <w:tcPr>
            <w:tcW w:w="3515" w:type="dxa"/>
            <w:tcBorders>
              <w:top w:val="nil"/>
              <w:left w:val="nil"/>
              <w:bottom w:val="nil"/>
              <w:right w:val="nil"/>
              <w:insideH w:val="nil"/>
              <w:insideV w:val="nil"/>
            </w:tcBorders>
            <w:tcMar>
              <w:top w:w="40" w:type="dxa"/>
              <w:left w:w="80" w:type="dxa"/>
              <w:bottom w:w="40" w:type="dxa"/>
              <w:right w:w="80" w:type="dxa"/>
            </w:tcMar>
          </w:tcPr>
          <w:p w14:paraId="6FFACC32" w14:textId="77777777" w:rsidR="009262C4" w:rsidRDefault="00000000">
            <w:pPr>
              <w:spacing w:after="40" w:line="240" w:lineRule="auto"/>
              <w:jc w:val="left"/>
            </w:pPr>
            <w:r>
              <w:rPr>
                <w:rFonts w:ascii="Palatino Linotype" w:hAnsi="Palatino Linotype" w:cs="Palatino Linotype"/>
                <w:color w:val="000000"/>
                <w:sz w:val="19"/>
                <w:szCs w:val="17"/>
              </w:rPr>
              <w:t>A threshold traceable delegation authorization scheme for data sharing in healthcare</w:t>
            </w:r>
          </w:p>
        </w:tc>
        <w:tc>
          <w:tcPr>
            <w:tcW w:w="1814" w:type="dxa"/>
            <w:tcBorders>
              <w:top w:val="nil"/>
              <w:left w:val="nil"/>
              <w:bottom w:val="nil"/>
              <w:right w:val="nil"/>
              <w:insideH w:val="nil"/>
              <w:insideV w:val="nil"/>
            </w:tcBorders>
            <w:tcMar>
              <w:top w:w="40" w:type="dxa"/>
              <w:left w:w="80" w:type="dxa"/>
              <w:bottom w:w="40" w:type="dxa"/>
              <w:right w:w="80" w:type="dxa"/>
            </w:tcMar>
          </w:tcPr>
          <w:p w14:paraId="037891C1"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r w:rsidR="009262C4" w14:paraId="5F6D2AF5"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11FD9541" w14:textId="77777777" w:rsidR="009262C4" w:rsidRDefault="00000000">
            <w:pPr>
              <w:spacing w:after="40" w:line="240" w:lineRule="auto"/>
              <w:jc w:val="left"/>
            </w:pPr>
            <w:r>
              <w:rPr>
                <w:rFonts w:ascii="Palatino Linotype" w:hAnsi="Palatino Linotype" w:cs="Palatino Linotype"/>
                <w:color w:val="000000"/>
                <w:sz w:val="19"/>
                <w:szCs w:val="17"/>
              </w:rPr>
              <w:t>S9</w:t>
            </w:r>
          </w:p>
        </w:tc>
        <w:tc>
          <w:tcPr>
            <w:tcW w:w="1814" w:type="dxa"/>
            <w:tcBorders>
              <w:top w:val="nil"/>
              <w:left w:val="nil"/>
              <w:bottom w:val="nil"/>
              <w:right w:val="nil"/>
              <w:insideH w:val="nil"/>
              <w:insideV w:val="nil"/>
            </w:tcBorders>
            <w:tcMar>
              <w:top w:w="40" w:type="dxa"/>
              <w:left w:w="80" w:type="dxa"/>
              <w:bottom w:w="40" w:type="dxa"/>
              <w:right w:w="80" w:type="dxa"/>
            </w:tcMar>
          </w:tcPr>
          <w:p w14:paraId="4853A81E" w14:textId="77777777" w:rsidR="009262C4" w:rsidRDefault="00000000">
            <w:pPr>
              <w:spacing w:after="40" w:line="240" w:lineRule="auto"/>
              <w:jc w:val="left"/>
            </w:pPr>
            <w:r>
              <w:rPr>
                <w:rFonts w:ascii="Palatino Linotype" w:hAnsi="Palatino Linotype" w:cs="Palatino Linotype"/>
                <w:color w:val="000000"/>
                <w:sz w:val="19"/>
                <w:szCs w:val="17"/>
              </w:rPr>
              <w:t>Li et al. (2026a)</w:t>
            </w:r>
          </w:p>
        </w:tc>
        <w:tc>
          <w:tcPr>
            <w:tcW w:w="680" w:type="dxa"/>
            <w:tcBorders>
              <w:top w:val="nil"/>
              <w:left w:val="nil"/>
              <w:bottom w:val="nil"/>
              <w:right w:val="nil"/>
              <w:insideH w:val="nil"/>
              <w:insideV w:val="nil"/>
            </w:tcBorders>
            <w:tcMar>
              <w:top w:w="40" w:type="dxa"/>
              <w:left w:w="80" w:type="dxa"/>
              <w:bottom w:w="40" w:type="dxa"/>
              <w:right w:w="80" w:type="dxa"/>
            </w:tcMar>
          </w:tcPr>
          <w:p w14:paraId="4C656801"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6953D7C9" w14:textId="77777777" w:rsidR="009262C4" w:rsidRDefault="00000000">
            <w:pPr>
              <w:spacing w:after="40" w:line="240" w:lineRule="auto"/>
              <w:jc w:val="left"/>
            </w:pPr>
            <w:r>
              <w:rPr>
                <w:rFonts w:ascii="Palatino Linotype" w:hAnsi="Palatino Linotype" w:cs="Palatino Linotype"/>
                <w:color w:val="000000"/>
                <w:sz w:val="19"/>
                <w:szCs w:val="17"/>
              </w:rPr>
              <w:t xml:space="preserve">Privacy-Preserving Fine-Grained EMR Access Control for IoMT: A Hybrid RBAC-Smart Contract Scheme With Attribute-Based Authorization</w:t>
            </w:r>
          </w:p>
        </w:tc>
        <w:tc>
          <w:tcPr>
            <w:tcW w:w="1814" w:type="dxa"/>
            <w:tcBorders>
              <w:top w:val="nil"/>
              <w:left w:val="nil"/>
              <w:bottom w:val="nil"/>
              <w:right w:val="nil"/>
              <w:insideH w:val="nil"/>
              <w:insideV w:val="nil"/>
            </w:tcBorders>
            <w:tcMar>
              <w:top w:w="40" w:type="dxa"/>
              <w:left w:w="80" w:type="dxa"/>
              <w:bottom w:w="40" w:type="dxa"/>
              <w:right w:w="80" w:type="dxa"/>
            </w:tcMar>
          </w:tcPr>
          <w:p w14:paraId="508A29A9"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11829EE5"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7A15EECA" w14:textId="77777777" w:rsidR="009262C4" w:rsidRDefault="00000000">
            <w:pPr>
              <w:spacing w:after="40" w:line="240" w:lineRule="auto"/>
              <w:jc w:val="left"/>
            </w:pPr>
            <w:r>
              <w:rPr>
                <w:rFonts w:ascii="Palatino Linotype" w:hAnsi="Palatino Linotype" w:cs="Palatino Linotype"/>
                <w:color w:val="000000"/>
                <w:sz w:val="19"/>
                <w:szCs w:val="17"/>
              </w:rPr>
              <w:t>S10</w:t>
            </w:r>
          </w:p>
        </w:tc>
        <w:tc>
          <w:tcPr>
            <w:tcW w:w="1814" w:type="dxa"/>
            <w:tcBorders>
              <w:top w:val="nil"/>
              <w:left w:val="nil"/>
              <w:bottom w:val="nil"/>
              <w:right w:val="nil"/>
              <w:insideH w:val="nil"/>
              <w:insideV w:val="nil"/>
            </w:tcBorders>
            <w:tcMar>
              <w:top w:w="40" w:type="dxa"/>
              <w:left w:w="80" w:type="dxa"/>
              <w:bottom w:w="40" w:type="dxa"/>
              <w:right w:w="80" w:type="dxa"/>
            </w:tcMar>
          </w:tcPr>
          <w:p w14:paraId="3676A9E7" w14:textId="77777777" w:rsidR="009262C4" w:rsidRDefault="00000000">
            <w:pPr>
              <w:spacing w:after="40" w:line="240" w:lineRule="auto"/>
              <w:jc w:val="left"/>
            </w:pPr>
            <w:r>
              <w:rPr>
                <w:rFonts w:ascii="Palatino Linotype" w:hAnsi="Palatino Linotype" w:cs="Palatino Linotype"/>
                <w:color w:val="000000"/>
                <w:sz w:val="19"/>
                <w:szCs w:val="17"/>
              </w:rPr>
              <w:t>Madine et al. (2020)</w:t>
            </w:r>
          </w:p>
        </w:tc>
        <w:tc>
          <w:tcPr>
            <w:tcW w:w="680" w:type="dxa"/>
            <w:tcBorders>
              <w:top w:val="nil"/>
              <w:left w:val="nil"/>
              <w:bottom w:val="nil"/>
              <w:right w:val="nil"/>
              <w:insideH w:val="nil"/>
              <w:insideV w:val="nil"/>
            </w:tcBorders>
            <w:tcMar>
              <w:top w:w="40" w:type="dxa"/>
              <w:left w:w="80" w:type="dxa"/>
              <w:bottom w:w="40" w:type="dxa"/>
              <w:right w:w="80" w:type="dxa"/>
            </w:tcMar>
          </w:tcPr>
          <w:p w14:paraId="0160D9C4" w14:textId="77777777" w:rsidR="009262C4" w:rsidRDefault="00000000">
            <w:pPr>
              <w:spacing w:after="40" w:line="240" w:lineRule="auto"/>
              <w:jc w:val="left"/>
            </w:pPr>
            <w:r>
              <w:rPr>
                <w:rFonts w:ascii="Palatino Linotype" w:hAnsi="Palatino Linotype" w:cs="Palatino Linotype"/>
                <w:color w:val="000000"/>
                <w:sz w:val="19"/>
                <w:szCs w:val="17"/>
              </w:rPr>
              <w:t>2020</w:t>
            </w:r>
          </w:p>
        </w:tc>
        <w:tc>
          <w:tcPr>
            <w:tcW w:w="3515" w:type="dxa"/>
            <w:tcBorders>
              <w:top w:val="nil"/>
              <w:left w:val="nil"/>
              <w:bottom w:val="nil"/>
              <w:right w:val="nil"/>
              <w:insideH w:val="nil"/>
              <w:insideV w:val="nil"/>
            </w:tcBorders>
            <w:tcMar>
              <w:top w:w="40" w:type="dxa"/>
              <w:left w:w="80" w:type="dxa"/>
              <w:bottom w:w="40" w:type="dxa"/>
              <w:right w:w="80" w:type="dxa"/>
            </w:tcMar>
          </w:tcPr>
          <w:p w14:paraId="7B8ED551" w14:textId="77777777" w:rsidR="009262C4" w:rsidRDefault="00000000">
            <w:pPr>
              <w:spacing w:after="40" w:line="240" w:lineRule="auto"/>
              <w:jc w:val="left"/>
            </w:pPr>
            <w:r>
              <w:rPr>
                <w:rFonts w:ascii="Palatino Linotype" w:hAnsi="Palatino Linotype" w:cs="Palatino Linotype"/>
                <w:color w:val="000000"/>
                <w:sz w:val="19"/>
                <w:szCs w:val="17"/>
              </w:rPr>
              <w:t>Fully Decentralized Multi-Party Consent Management for Secure Sharing of Patient Health Records</w:t>
            </w:r>
          </w:p>
        </w:tc>
        <w:tc>
          <w:tcPr>
            <w:tcW w:w="1814" w:type="dxa"/>
            <w:tcBorders>
              <w:top w:val="nil"/>
              <w:left w:val="nil"/>
              <w:bottom w:val="nil"/>
              <w:right w:val="nil"/>
              <w:insideH w:val="nil"/>
              <w:insideV w:val="nil"/>
            </w:tcBorders>
            <w:tcMar>
              <w:top w:w="40" w:type="dxa"/>
              <w:left w:w="80" w:type="dxa"/>
              <w:bottom w:w="40" w:type="dxa"/>
              <w:right w:w="80" w:type="dxa"/>
            </w:tcMar>
          </w:tcPr>
          <w:p w14:paraId="319A8F92"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088BB455"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B167C46" w14:textId="77777777" w:rsidR="009262C4" w:rsidRDefault="00000000">
            <w:pPr>
              <w:spacing w:after="40" w:line="240" w:lineRule="auto"/>
              <w:jc w:val="left"/>
            </w:pPr>
            <w:r>
              <w:rPr>
                <w:rFonts w:ascii="Palatino Linotype" w:hAnsi="Palatino Linotype" w:cs="Palatino Linotype"/>
                <w:color w:val="000000"/>
                <w:sz w:val="19"/>
                <w:szCs w:val="17"/>
              </w:rPr>
              <w:t>S11</w:t>
            </w:r>
          </w:p>
        </w:tc>
        <w:tc>
          <w:tcPr>
            <w:tcW w:w="1814" w:type="dxa"/>
            <w:tcBorders>
              <w:top w:val="nil"/>
              <w:left w:val="nil"/>
              <w:bottom w:val="nil"/>
              <w:right w:val="nil"/>
              <w:insideH w:val="nil"/>
              <w:insideV w:val="nil"/>
            </w:tcBorders>
            <w:tcMar>
              <w:top w:w="40" w:type="dxa"/>
              <w:left w:w="80" w:type="dxa"/>
              <w:bottom w:w="40" w:type="dxa"/>
              <w:right w:w="80" w:type="dxa"/>
            </w:tcMar>
          </w:tcPr>
          <w:p w14:paraId="08AA7568" w14:textId="77777777" w:rsidR="009262C4" w:rsidRDefault="00000000">
            <w:pPr>
              <w:spacing w:after="40" w:line="240" w:lineRule="auto"/>
              <w:jc w:val="left"/>
            </w:pPr>
            <w:r>
              <w:rPr>
                <w:rFonts w:ascii="Palatino Linotype" w:hAnsi="Palatino Linotype" w:cs="Palatino Linotype"/>
                <w:color w:val="000000"/>
                <w:sz w:val="19"/>
                <w:szCs w:val="17"/>
              </w:rPr>
              <w:t>Maruthi and Singh (2025)</w:t>
            </w:r>
          </w:p>
        </w:tc>
        <w:tc>
          <w:tcPr>
            <w:tcW w:w="680" w:type="dxa"/>
            <w:tcBorders>
              <w:top w:val="nil"/>
              <w:left w:val="nil"/>
              <w:bottom w:val="nil"/>
              <w:right w:val="nil"/>
              <w:insideH w:val="nil"/>
              <w:insideV w:val="nil"/>
            </w:tcBorders>
            <w:tcMar>
              <w:top w:w="40" w:type="dxa"/>
              <w:left w:w="80" w:type="dxa"/>
              <w:bottom w:w="40" w:type="dxa"/>
              <w:right w:w="80" w:type="dxa"/>
            </w:tcMar>
          </w:tcPr>
          <w:p w14:paraId="0E66C072"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515" w:type="dxa"/>
            <w:tcBorders>
              <w:top w:val="nil"/>
              <w:left w:val="nil"/>
              <w:bottom w:val="nil"/>
              <w:right w:val="nil"/>
              <w:insideH w:val="nil"/>
              <w:insideV w:val="nil"/>
            </w:tcBorders>
            <w:tcMar>
              <w:top w:w="40" w:type="dxa"/>
              <w:left w:w="80" w:type="dxa"/>
              <w:bottom w:w="40" w:type="dxa"/>
              <w:right w:w="80" w:type="dxa"/>
            </w:tcMar>
          </w:tcPr>
          <w:p w14:paraId="16F18898" w14:textId="77777777" w:rsidR="009262C4" w:rsidRDefault="00000000">
            <w:pPr>
              <w:spacing w:after="40" w:line="240" w:lineRule="auto"/>
              <w:jc w:val="left"/>
            </w:pPr>
            <w:r>
              <w:rPr>
                <w:rFonts w:ascii="Palatino Linotype" w:hAnsi="Palatino Linotype" w:cs="Palatino Linotype"/>
                <w:color w:val="000000"/>
                <w:sz w:val="19"/>
                <w:szCs w:val="17"/>
              </w:rPr>
              <w:t xml:space="preserve">Enhancing Security and Privacy of IoMT Data for Unconscious Patient With Blockchain</w:t>
            </w:r>
          </w:p>
        </w:tc>
        <w:tc>
          <w:tcPr>
            <w:tcW w:w="1814" w:type="dxa"/>
            <w:tcBorders>
              <w:top w:val="nil"/>
              <w:left w:val="nil"/>
              <w:bottom w:val="nil"/>
              <w:right w:val="nil"/>
              <w:insideH w:val="nil"/>
              <w:insideV w:val="nil"/>
            </w:tcBorders>
            <w:tcMar>
              <w:top w:w="40" w:type="dxa"/>
              <w:left w:w="80" w:type="dxa"/>
              <w:bottom w:w="40" w:type="dxa"/>
              <w:right w:w="80" w:type="dxa"/>
            </w:tcMar>
          </w:tcPr>
          <w:p w14:paraId="4B11E504"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r w:rsidR="009262C4" w14:paraId="7C8EF4D3"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7291C73D" w14:textId="77777777" w:rsidR="009262C4" w:rsidRDefault="00000000">
            <w:pPr>
              <w:spacing w:after="40" w:line="240" w:lineRule="auto"/>
              <w:jc w:val="left"/>
            </w:pPr>
            <w:r>
              <w:rPr>
                <w:rFonts w:ascii="Palatino Linotype" w:hAnsi="Palatino Linotype" w:cs="Palatino Linotype"/>
                <w:color w:val="000000"/>
                <w:sz w:val="19"/>
                <w:szCs w:val="17"/>
              </w:rPr>
              <w:t>S12</w:t>
            </w:r>
          </w:p>
        </w:tc>
        <w:tc>
          <w:tcPr>
            <w:tcW w:w="1814" w:type="dxa"/>
            <w:tcBorders>
              <w:top w:val="nil"/>
              <w:left w:val="nil"/>
              <w:bottom w:val="nil"/>
              <w:right w:val="nil"/>
              <w:insideH w:val="nil"/>
              <w:insideV w:val="nil"/>
            </w:tcBorders>
            <w:tcMar>
              <w:top w:w="40" w:type="dxa"/>
              <w:left w:w="80" w:type="dxa"/>
              <w:bottom w:w="40" w:type="dxa"/>
              <w:right w:w="80" w:type="dxa"/>
            </w:tcMar>
          </w:tcPr>
          <w:p w14:paraId="5D956F5C" w14:textId="77777777" w:rsidR="009262C4" w:rsidRDefault="00000000">
            <w:pPr>
              <w:spacing w:after="40" w:line="240" w:lineRule="auto"/>
              <w:jc w:val="left"/>
            </w:pPr>
            <w:r>
              <w:rPr>
                <w:rFonts w:ascii="Palatino Linotype" w:hAnsi="Palatino Linotype" w:cs="Palatino Linotype"/>
                <w:color w:val="000000"/>
                <w:sz w:val="19"/>
                <w:szCs w:val="17"/>
              </w:rPr>
              <w:t>Mei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48DE1488"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0AC685C5" w14:textId="77777777" w:rsidR="009262C4" w:rsidRDefault="00000000">
            <w:pPr>
              <w:spacing w:after="40" w:line="240" w:lineRule="auto"/>
              <w:jc w:val="left"/>
            </w:pPr>
            <w:r>
              <w:rPr>
                <w:rFonts w:ascii="Palatino Linotype" w:hAnsi="Palatino Linotype" w:cs="Palatino Linotype"/>
                <w:color w:val="000000"/>
                <w:sz w:val="19"/>
                <w:szCs w:val="17"/>
              </w:rPr>
              <w:t>Efficient Dual-Revocation CP-ABE for Secure and Fine-Grained Data Sharing in IoMT</w:t>
            </w:r>
          </w:p>
        </w:tc>
        <w:tc>
          <w:tcPr>
            <w:tcW w:w="1814" w:type="dxa"/>
            <w:tcBorders>
              <w:top w:val="nil"/>
              <w:left w:val="nil"/>
              <w:bottom w:val="nil"/>
              <w:right w:val="nil"/>
              <w:insideH w:val="nil"/>
              <w:insideV w:val="nil"/>
            </w:tcBorders>
            <w:tcMar>
              <w:top w:w="40" w:type="dxa"/>
              <w:left w:w="80" w:type="dxa"/>
              <w:bottom w:w="40" w:type="dxa"/>
              <w:right w:w="80" w:type="dxa"/>
            </w:tcMar>
          </w:tcPr>
          <w:p w14:paraId="7D067A4E"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r w:rsidR="009262C4" w14:paraId="38E4B69C"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13533179" w14:textId="77777777" w:rsidR="009262C4" w:rsidRDefault="00000000">
            <w:pPr>
              <w:spacing w:after="40" w:line="240" w:lineRule="auto"/>
              <w:jc w:val="left"/>
            </w:pPr>
            <w:r>
              <w:rPr>
                <w:rFonts w:ascii="Palatino Linotype" w:hAnsi="Palatino Linotype" w:cs="Palatino Linotype"/>
                <w:color w:val="000000"/>
                <w:sz w:val="19"/>
                <w:szCs w:val="17"/>
              </w:rPr>
              <w:t>S13</w:t>
            </w:r>
          </w:p>
        </w:tc>
        <w:tc>
          <w:tcPr>
            <w:tcW w:w="1814" w:type="dxa"/>
            <w:tcBorders>
              <w:top w:val="nil"/>
              <w:left w:val="nil"/>
              <w:bottom w:val="nil"/>
              <w:right w:val="nil"/>
              <w:insideH w:val="nil"/>
              <w:insideV w:val="nil"/>
            </w:tcBorders>
            <w:tcMar>
              <w:top w:w="40" w:type="dxa"/>
              <w:left w:w="80" w:type="dxa"/>
              <w:bottom w:w="40" w:type="dxa"/>
              <w:right w:w="80" w:type="dxa"/>
            </w:tcMar>
          </w:tcPr>
          <w:p w14:paraId="799DBB4E" w14:textId="77777777" w:rsidR="009262C4" w:rsidRDefault="00000000">
            <w:pPr>
              <w:spacing w:after="40" w:line="240" w:lineRule="auto"/>
              <w:jc w:val="left"/>
            </w:pPr>
            <w:r>
              <w:rPr>
                <w:rFonts w:ascii="Palatino Linotype" w:hAnsi="Palatino Linotype" w:cs="Palatino Linotype"/>
                <w:color w:val="000000"/>
                <w:sz w:val="19"/>
                <w:szCs w:val="17"/>
              </w:rPr>
              <w:t>Panagoulias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3327A310"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12A75CE1" w14:textId="77777777" w:rsidR="009262C4" w:rsidRDefault="00000000">
            <w:pPr>
              <w:spacing w:after="40" w:line="240" w:lineRule="auto"/>
              <w:jc w:val="left"/>
            </w:pPr>
            <w:r>
              <w:rPr>
                <w:rFonts w:ascii="Palatino Linotype" w:hAnsi="Palatino Linotype" w:cs="Palatino Linotype"/>
                <w:color w:val="000000"/>
                <w:sz w:val="19"/>
                <w:szCs w:val="17"/>
              </w:rPr>
              <w:t>Blockchain-Enabled Trust and Compliance for Clinical AI: Decentralized Governance Without Decentralized Data Storage</w:t>
            </w:r>
          </w:p>
        </w:tc>
        <w:tc>
          <w:tcPr>
            <w:tcW w:w="1814" w:type="dxa"/>
            <w:tcBorders>
              <w:top w:val="nil"/>
              <w:left w:val="nil"/>
              <w:bottom w:val="nil"/>
              <w:right w:val="nil"/>
              <w:insideH w:val="nil"/>
              <w:insideV w:val="nil"/>
            </w:tcBorders>
            <w:tcMar>
              <w:top w:w="40" w:type="dxa"/>
              <w:left w:w="80" w:type="dxa"/>
              <w:bottom w:w="40" w:type="dxa"/>
              <w:right w:w="80" w:type="dxa"/>
            </w:tcMar>
          </w:tcPr>
          <w:p w14:paraId="39A2E2D4"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31B38100"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393E3F1C" w14:textId="77777777" w:rsidR="009262C4" w:rsidRDefault="00000000">
            <w:pPr>
              <w:spacing w:after="40" w:line="240" w:lineRule="auto"/>
              <w:jc w:val="left"/>
            </w:pPr>
            <w:r>
              <w:rPr>
                <w:rFonts w:ascii="Palatino Linotype" w:hAnsi="Palatino Linotype" w:cs="Palatino Linotype"/>
                <w:color w:val="000000"/>
                <w:sz w:val="19"/>
                <w:szCs w:val="17"/>
              </w:rPr>
              <w:t>S14</w:t>
            </w:r>
          </w:p>
        </w:tc>
        <w:tc>
          <w:tcPr>
            <w:tcW w:w="1814" w:type="dxa"/>
            <w:tcBorders>
              <w:top w:val="nil"/>
              <w:left w:val="nil"/>
              <w:bottom w:val="nil"/>
              <w:right w:val="nil"/>
              <w:insideH w:val="nil"/>
              <w:insideV w:val="nil"/>
            </w:tcBorders>
            <w:tcMar>
              <w:top w:w="40" w:type="dxa"/>
              <w:left w:w="80" w:type="dxa"/>
              <w:bottom w:w="40" w:type="dxa"/>
              <w:right w:w="80" w:type="dxa"/>
            </w:tcMar>
          </w:tcPr>
          <w:p w14:paraId="2407F71B" w14:textId="77777777" w:rsidR="009262C4" w:rsidRDefault="00000000">
            <w:pPr>
              <w:spacing w:after="40" w:line="240" w:lineRule="auto"/>
              <w:jc w:val="left"/>
            </w:pPr>
            <w:r>
              <w:rPr>
                <w:rFonts w:ascii="Palatino Linotype" w:hAnsi="Palatino Linotype" w:cs="Palatino Linotype"/>
                <w:color w:val="000000"/>
                <w:sz w:val="19"/>
                <w:szCs w:val="17"/>
              </w:rPr>
              <w:t>Phuyal et al. (2026b)</w:t>
            </w:r>
          </w:p>
        </w:tc>
        <w:tc>
          <w:tcPr>
            <w:tcW w:w="680" w:type="dxa"/>
            <w:tcBorders>
              <w:top w:val="nil"/>
              <w:left w:val="nil"/>
              <w:bottom w:val="nil"/>
              <w:right w:val="nil"/>
              <w:insideH w:val="nil"/>
              <w:insideV w:val="nil"/>
            </w:tcBorders>
            <w:tcMar>
              <w:top w:w="40" w:type="dxa"/>
              <w:left w:w="80" w:type="dxa"/>
              <w:bottom w:w="40" w:type="dxa"/>
              <w:right w:w="80" w:type="dxa"/>
            </w:tcMar>
          </w:tcPr>
          <w:p w14:paraId="609F89CB"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6376196B" w14:textId="77777777" w:rsidR="009262C4" w:rsidRDefault="00000000">
            <w:pPr>
              <w:spacing w:after="40" w:line="240" w:lineRule="auto"/>
              <w:jc w:val="left"/>
            </w:pPr>
            <w:r>
              <w:rPr>
                <w:rFonts w:ascii="Palatino Linotype" w:hAnsi="Palatino Linotype" w:cs="Palatino Linotype"/>
                <w:color w:val="000000"/>
                <w:sz w:val="19"/>
                <w:szCs w:val="17"/>
              </w:rPr>
              <w:t xml:space="preserve">Enabling Cross-Institution Health Data Sharing in Norway: EUDI Wallets, On-Chain Consent, and openEHR↔FHIR Translation</w:t>
            </w:r>
          </w:p>
        </w:tc>
        <w:tc>
          <w:tcPr>
            <w:tcW w:w="1814" w:type="dxa"/>
            <w:tcBorders>
              <w:top w:val="nil"/>
              <w:left w:val="nil"/>
              <w:bottom w:val="nil"/>
              <w:right w:val="nil"/>
              <w:insideH w:val="nil"/>
              <w:insideV w:val="nil"/>
            </w:tcBorders>
            <w:tcMar>
              <w:top w:w="40" w:type="dxa"/>
              <w:left w:w="80" w:type="dxa"/>
              <w:bottom w:w="40" w:type="dxa"/>
              <w:right w:w="80" w:type="dxa"/>
            </w:tcMar>
          </w:tcPr>
          <w:p w14:paraId="44BA148F" w14:textId="77777777" w:rsidR="009262C4" w:rsidRDefault="00000000">
            <w:pPr>
              <w:spacing w:after="40" w:line="240" w:lineRule="auto"/>
              <w:jc w:val="left"/>
            </w:pPr>
            <w:r>
              <w:rPr>
                <w:rFonts w:ascii="Palatino Linotype" w:hAnsi="Palatino Linotype" w:cs="Palatino Linotype"/>
                <w:color w:val="000000"/>
                <w:sz w:val="19"/>
                <w:szCs w:val="17"/>
              </w:rPr>
              <w:t>Identity and authority (Req 2)</w:t>
            </w:r>
          </w:p>
        </w:tc>
      </w:tr>
      <w:tr w:rsidR="009262C4" w14:paraId="4435B8BB"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4E68A8AD" w14:textId="77777777" w:rsidR="009262C4" w:rsidRDefault="00000000">
            <w:pPr>
              <w:spacing w:after="40" w:line="240" w:lineRule="auto"/>
              <w:jc w:val="left"/>
            </w:pPr>
            <w:r>
              <w:rPr>
                <w:rFonts w:ascii="Palatino Linotype" w:hAnsi="Palatino Linotype" w:cs="Palatino Linotype"/>
                <w:color w:val="000000"/>
                <w:sz w:val="19"/>
                <w:szCs w:val="17"/>
              </w:rPr>
              <w:t>S15</w:t>
            </w:r>
          </w:p>
        </w:tc>
        <w:tc>
          <w:tcPr>
            <w:tcW w:w="1814" w:type="dxa"/>
            <w:tcBorders>
              <w:top w:val="nil"/>
              <w:left w:val="nil"/>
              <w:bottom w:val="nil"/>
              <w:right w:val="nil"/>
              <w:insideH w:val="nil"/>
              <w:insideV w:val="nil"/>
            </w:tcBorders>
            <w:tcMar>
              <w:top w:w="40" w:type="dxa"/>
              <w:left w:w="80" w:type="dxa"/>
              <w:bottom w:w="40" w:type="dxa"/>
              <w:right w:w="80" w:type="dxa"/>
            </w:tcMar>
          </w:tcPr>
          <w:p w14:paraId="201BE039" w14:textId="77777777" w:rsidR="009262C4" w:rsidRDefault="00000000">
            <w:pPr>
              <w:spacing w:after="40" w:line="240" w:lineRule="auto"/>
              <w:jc w:val="left"/>
            </w:pPr>
            <w:r>
              <w:rPr>
                <w:rFonts w:ascii="Palatino Linotype" w:hAnsi="Palatino Linotype" w:cs="Palatino Linotype"/>
                <w:color w:val="000000"/>
                <w:sz w:val="19"/>
                <w:szCs w:val="17"/>
              </w:rPr>
              <w:t>Phuyal et al. (2026a)</w:t>
            </w:r>
          </w:p>
        </w:tc>
        <w:tc>
          <w:tcPr>
            <w:tcW w:w="680" w:type="dxa"/>
            <w:tcBorders>
              <w:top w:val="nil"/>
              <w:left w:val="nil"/>
              <w:bottom w:val="nil"/>
              <w:right w:val="nil"/>
              <w:insideH w:val="nil"/>
              <w:insideV w:val="nil"/>
            </w:tcBorders>
            <w:tcMar>
              <w:top w:w="40" w:type="dxa"/>
              <w:left w:w="80" w:type="dxa"/>
              <w:bottom w:w="40" w:type="dxa"/>
              <w:right w:w="80" w:type="dxa"/>
            </w:tcMar>
          </w:tcPr>
          <w:p w14:paraId="6875A958"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04EE8F7B" w14:textId="77777777" w:rsidR="009262C4" w:rsidRDefault="00000000">
            <w:pPr>
              <w:spacing w:after="40" w:line="240" w:lineRule="auto"/>
              <w:jc w:val="left"/>
            </w:pPr>
            <w:r>
              <w:rPr>
                <w:rFonts w:ascii="Palatino Linotype" w:hAnsi="Palatino Linotype" w:cs="Palatino Linotype"/>
                <w:color w:val="000000"/>
                <w:sz w:val="19"/>
                <w:szCs w:val="17"/>
              </w:rPr>
              <w:t>A Blockchain-Based Architecture for Dynamic and Auditable Patient Consent in Secondary Use of Health Data</w:t>
            </w:r>
          </w:p>
        </w:tc>
        <w:tc>
          <w:tcPr>
            <w:tcW w:w="1814" w:type="dxa"/>
            <w:tcBorders>
              <w:top w:val="nil"/>
              <w:left w:val="nil"/>
              <w:bottom w:val="nil"/>
              <w:right w:val="nil"/>
              <w:insideH w:val="nil"/>
              <w:insideV w:val="nil"/>
            </w:tcBorders>
            <w:tcMar>
              <w:top w:w="40" w:type="dxa"/>
              <w:left w:w="80" w:type="dxa"/>
              <w:bottom w:w="40" w:type="dxa"/>
              <w:right w:w="80" w:type="dxa"/>
            </w:tcMar>
          </w:tcPr>
          <w:p w14:paraId="4F03147C" w14:textId="77777777" w:rsidR="009262C4" w:rsidRDefault="00000000">
            <w:pPr>
              <w:spacing w:after="40" w:line="240" w:lineRule="auto"/>
              <w:jc w:val="left"/>
            </w:pPr>
            <w:r>
              <w:rPr>
                <w:rFonts w:ascii="Palatino Linotype" w:hAnsi="Palatino Linotype" w:cs="Palatino Linotype"/>
                <w:color w:val="000000"/>
                <w:sz w:val="19"/>
                <w:szCs w:val="17"/>
              </w:rPr>
              <w:t>Identity and authority (Req 2)</w:t>
            </w:r>
          </w:p>
        </w:tc>
      </w:tr>
      <w:tr w:rsidR="009262C4" w14:paraId="4AAB7C76"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BFCB60C" w14:textId="77777777" w:rsidR="009262C4" w:rsidRDefault="00000000">
            <w:pPr>
              <w:spacing w:after="40" w:line="240" w:lineRule="auto"/>
              <w:jc w:val="left"/>
            </w:pPr>
            <w:r>
              <w:rPr>
                <w:rFonts w:ascii="Palatino Linotype" w:hAnsi="Palatino Linotype" w:cs="Palatino Linotype"/>
                <w:color w:val="000000"/>
                <w:sz w:val="19"/>
                <w:szCs w:val="17"/>
              </w:rPr>
              <w:t>S16</w:t>
            </w:r>
          </w:p>
        </w:tc>
        <w:tc>
          <w:tcPr>
            <w:tcW w:w="1814" w:type="dxa"/>
            <w:tcBorders>
              <w:top w:val="nil"/>
              <w:left w:val="nil"/>
              <w:bottom w:val="nil"/>
              <w:right w:val="nil"/>
              <w:insideH w:val="nil"/>
              <w:insideV w:val="nil"/>
            </w:tcBorders>
            <w:tcMar>
              <w:top w:w="40" w:type="dxa"/>
              <w:left w:w="80" w:type="dxa"/>
              <w:bottom w:w="40" w:type="dxa"/>
              <w:right w:w="80" w:type="dxa"/>
            </w:tcMar>
          </w:tcPr>
          <w:p w14:paraId="08E0DB94" w14:textId="77777777" w:rsidR="009262C4" w:rsidRDefault="00000000">
            <w:pPr>
              <w:spacing w:after="40" w:line="240" w:lineRule="auto"/>
              <w:jc w:val="left"/>
            </w:pPr>
            <w:r>
              <w:rPr>
                <w:rFonts w:ascii="Palatino Linotype" w:hAnsi="Palatino Linotype" w:cs="Palatino Linotype"/>
                <w:color w:val="000000"/>
                <w:sz w:val="19"/>
                <w:szCs w:val="17"/>
              </w:rPr>
              <w:t>Punia et al. (2025)</w:t>
            </w:r>
          </w:p>
        </w:tc>
        <w:tc>
          <w:tcPr>
            <w:tcW w:w="680" w:type="dxa"/>
            <w:tcBorders>
              <w:top w:val="nil"/>
              <w:left w:val="nil"/>
              <w:bottom w:val="nil"/>
              <w:right w:val="nil"/>
              <w:insideH w:val="nil"/>
              <w:insideV w:val="nil"/>
            </w:tcBorders>
            <w:tcMar>
              <w:top w:w="40" w:type="dxa"/>
              <w:left w:w="80" w:type="dxa"/>
              <w:bottom w:w="40" w:type="dxa"/>
              <w:right w:w="80" w:type="dxa"/>
            </w:tcMar>
          </w:tcPr>
          <w:p w14:paraId="355481DA"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515" w:type="dxa"/>
            <w:tcBorders>
              <w:top w:val="nil"/>
              <w:left w:val="nil"/>
              <w:bottom w:val="nil"/>
              <w:right w:val="nil"/>
              <w:insideH w:val="nil"/>
              <w:insideV w:val="nil"/>
            </w:tcBorders>
            <w:tcMar>
              <w:top w:w="40" w:type="dxa"/>
              <w:left w:w="80" w:type="dxa"/>
              <w:bottom w:w="40" w:type="dxa"/>
              <w:right w:w="80" w:type="dxa"/>
            </w:tcMar>
          </w:tcPr>
          <w:p w14:paraId="06064DCF" w14:textId="77777777" w:rsidR="009262C4" w:rsidRDefault="00000000">
            <w:pPr>
              <w:spacing w:after="40" w:line="240" w:lineRule="auto"/>
              <w:jc w:val="left"/>
            </w:pPr>
            <w:r>
              <w:rPr>
                <w:rFonts w:ascii="Palatino Linotype" w:hAnsi="Palatino Linotype" w:cs="Palatino Linotype"/>
                <w:color w:val="000000"/>
                <w:sz w:val="19"/>
                <w:szCs w:val="17"/>
              </w:rPr>
              <w:t>An access control system for cloud-based healthcare systems driven by blockchain</w:t>
            </w:r>
          </w:p>
        </w:tc>
        <w:tc>
          <w:tcPr>
            <w:tcW w:w="1814" w:type="dxa"/>
            <w:tcBorders>
              <w:top w:val="nil"/>
              <w:left w:val="nil"/>
              <w:bottom w:val="nil"/>
              <w:right w:val="nil"/>
              <w:insideH w:val="nil"/>
              <w:insideV w:val="nil"/>
            </w:tcBorders>
            <w:tcMar>
              <w:top w:w="40" w:type="dxa"/>
              <w:left w:w="80" w:type="dxa"/>
              <w:bottom w:w="40" w:type="dxa"/>
              <w:right w:w="80" w:type="dxa"/>
            </w:tcMar>
          </w:tcPr>
          <w:p w14:paraId="3AE3A7DC"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14ECA6AC"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2FD29708" w14:textId="77777777" w:rsidR="009262C4" w:rsidRDefault="00000000">
            <w:pPr>
              <w:spacing w:after="40" w:line="240" w:lineRule="auto"/>
              <w:jc w:val="left"/>
            </w:pPr>
            <w:r>
              <w:rPr>
                <w:rFonts w:ascii="Palatino Linotype" w:hAnsi="Palatino Linotype" w:cs="Palatino Linotype"/>
                <w:color w:val="000000"/>
                <w:sz w:val="19"/>
                <w:szCs w:val="17"/>
              </w:rPr>
              <w:t>S17</w:t>
            </w:r>
          </w:p>
        </w:tc>
        <w:tc>
          <w:tcPr>
            <w:tcW w:w="1814" w:type="dxa"/>
            <w:tcBorders>
              <w:top w:val="nil"/>
              <w:left w:val="nil"/>
              <w:bottom w:val="nil"/>
              <w:right w:val="nil"/>
              <w:insideH w:val="nil"/>
              <w:insideV w:val="nil"/>
            </w:tcBorders>
            <w:tcMar>
              <w:top w:w="40" w:type="dxa"/>
              <w:left w:w="80" w:type="dxa"/>
              <w:bottom w:w="40" w:type="dxa"/>
              <w:right w:w="80" w:type="dxa"/>
            </w:tcMar>
          </w:tcPr>
          <w:p w14:paraId="3CF8D16B" w14:textId="77777777" w:rsidR="009262C4" w:rsidRDefault="00000000">
            <w:pPr>
              <w:spacing w:after="40" w:line="240" w:lineRule="auto"/>
              <w:jc w:val="left"/>
            </w:pPr>
            <w:r>
              <w:rPr>
                <w:rFonts w:ascii="Palatino Linotype" w:hAnsi="Palatino Linotype" w:cs="Palatino Linotype"/>
                <w:color w:val="000000"/>
                <w:sz w:val="19"/>
                <w:szCs w:val="17"/>
              </w:rPr>
              <w:t>Román-Martínez et al. (2023)</w:t>
            </w:r>
          </w:p>
        </w:tc>
        <w:tc>
          <w:tcPr>
            <w:tcW w:w="680" w:type="dxa"/>
            <w:tcBorders>
              <w:top w:val="nil"/>
              <w:left w:val="nil"/>
              <w:bottom w:val="nil"/>
              <w:right w:val="nil"/>
              <w:insideH w:val="nil"/>
              <w:insideV w:val="nil"/>
            </w:tcBorders>
            <w:tcMar>
              <w:top w:w="40" w:type="dxa"/>
              <w:left w:w="80" w:type="dxa"/>
              <w:bottom w:w="40" w:type="dxa"/>
              <w:right w:w="80" w:type="dxa"/>
            </w:tcMar>
          </w:tcPr>
          <w:p w14:paraId="3086C299" w14:textId="77777777" w:rsidR="009262C4" w:rsidRDefault="00000000">
            <w:pPr>
              <w:spacing w:after="40" w:line="240" w:lineRule="auto"/>
              <w:jc w:val="left"/>
            </w:pPr>
            <w:r>
              <w:rPr>
                <w:rFonts w:ascii="Palatino Linotype" w:hAnsi="Palatino Linotype" w:cs="Palatino Linotype"/>
                <w:color w:val="000000"/>
                <w:sz w:val="19"/>
                <w:szCs w:val="17"/>
              </w:rPr>
              <w:t>2023</w:t>
            </w:r>
          </w:p>
        </w:tc>
        <w:tc>
          <w:tcPr>
            <w:tcW w:w="3515" w:type="dxa"/>
            <w:tcBorders>
              <w:top w:val="nil"/>
              <w:left w:val="nil"/>
              <w:bottom w:val="nil"/>
              <w:right w:val="nil"/>
              <w:insideH w:val="nil"/>
              <w:insideV w:val="nil"/>
            </w:tcBorders>
            <w:tcMar>
              <w:top w:w="40" w:type="dxa"/>
              <w:left w:w="80" w:type="dxa"/>
              <w:bottom w:w="40" w:type="dxa"/>
              <w:right w:w="80" w:type="dxa"/>
            </w:tcMar>
          </w:tcPr>
          <w:p w14:paraId="3CE4416C" w14:textId="77777777" w:rsidR="009262C4" w:rsidRDefault="00000000">
            <w:pPr>
              <w:spacing w:after="40" w:line="240" w:lineRule="auto"/>
              <w:jc w:val="left"/>
            </w:pPr>
            <w:r>
              <w:rPr>
                <w:rFonts w:ascii="Palatino Linotype" w:hAnsi="Palatino Linotype" w:cs="Palatino Linotype"/>
                <w:color w:val="000000"/>
                <w:sz w:val="19"/>
                <w:szCs w:val="17"/>
              </w:rPr>
              <w:t>Blockchain-Based Service-Oriented Architecture for Consent Management, Access Control, and Auditing</w:t>
            </w:r>
          </w:p>
        </w:tc>
        <w:tc>
          <w:tcPr>
            <w:tcW w:w="1814" w:type="dxa"/>
            <w:tcBorders>
              <w:top w:val="nil"/>
              <w:left w:val="nil"/>
              <w:bottom w:val="nil"/>
              <w:right w:val="nil"/>
              <w:insideH w:val="nil"/>
              <w:insideV w:val="nil"/>
            </w:tcBorders>
            <w:tcMar>
              <w:top w:w="40" w:type="dxa"/>
              <w:left w:w="80" w:type="dxa"/>
              <w:bottom w:w="40" w:type="dxa"/>
              <w:right w:w="80" w:type="dxa"/>
            </w:tcMar>
          </w:tcPr>
          <w:p w14:paraId="1BAE9DE9"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23570959"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5C2E2B5" w14:textId="77777777" w:rsidR="009262C4" w:rsidRDefault="00000000">
            <w:pPr>
              <w:spacing w:after="40" w:line="240" w:lineRule="auto"/>
              <w:jc w:val="left"/>
            </w:pPr>
            <w:r>
              <w:rPr>
                <w:rFonts w:ascii="Palatino Linotype" w:hAnsi="Palatino Linotype" w:cs="Palatino Linotype"/>
                <w:color w:val="000000"/>
                <w:sz w:val="19"/>
                <w:szCs w:val="17"/>
              </w:rPr>
              <w:t>S18</w:t>
            </w:r>
          </w:p>
        </w:tc>
        <w:tc>
          <w:tcPr>
            <w:tcW w:w="1814" w:type="dxa"/>
            <w:tcBorders>
              <w:top w:val="nil"/>
              <w:left w:val="nil"/>
              <w:bottom w:val="nil"/>
              <w:right w:val="nil"/>
              <w:insideH w:val="nil"/>
              <w:insideV w:val="nil"/>
            </w:tcBorders>
            <w:tcMar>
              <w:top w:w="40" w:type="dxa"/>
              <w:left w:w="80" w:type="dxa"/>
              <w:bottom w:w="40" w:type="dxa"/>
              <w:right w:w="80" w:type="dxa"/>
            </w:tcMar>
          </w:tcPr>
          <w:p w14:paraId="30802BDF" w14:textId="77777777" w:rsidR="009262C4" w:rsidRDefault="00000000">
            <w:pPr>
              <w:spacing w:after="40" w:line="240" w:lineRule="auto"/>
              <w:jc w:val="left"/>
            </w:pPr>
            <w:r>
              <w:rPr>
                <w:rFonts w:ascii="Palatino Linotype" w:hAnsi="Palatino Linotype" w:cs="Palatino Linotype"/>
                <w:color w:val="000000"/>
                <w:sz w:val="19"/>
                <w:szCs w:val="17"/>
              </w:rPr>
              <w:t>Hema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401FD5FD"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20612BCB" w14:textId="77777777" w:rsidR="009262C4" w:rsidRDefault="00000000">
            <w:pPr>
              <w:spacing w:after="40" w:line="240" w:lineRule="auto"/>
              <w:jc w:val="left"/>
            </w:pPr>
            <w:r>
              <w:rPr>
                <w:rFonts w:ascii="Palatino Linotype" w:hAnsi="Palatino Linotype" w:cs="Palatino Linotype"/>
                <w:color w:val="000000"/>
                <w:sz w:val="19"/>
                <w:szCs w:val="17"/>
              </w:rPr>
              <w:t>Patient Centric Cryptographic Protection of Cloud Electronic Health Records</w:t>
            </w:r>
          </w:p>
        </w:tc>
        <w:tc>
          <w:tcPr>
            <w:tcW w:w="1814" w:type="dxa"/>
            <w:tcBorders>
              <w:top w:val="nil"/>
              <w:left w:val="nil"/>
              <w:bottom w:val="nil"/>
              <w:right w:val="nil"/>
              <w:insideH w:val="nil"/>
              <w:insideV w:val="nil"/>
            </w:tcBorders>
            <w:tcMar>
              <w:top w:w="40" w:type="dxa"/>
              <w:left w:w="80" w:type="dxa"/>
              <w:bottom w:w="40" w:type="dxa"/>
              <w:right w:w="80" w:type="dxa"/>
            </w:tcMar>
          </w:tcPr>
          <w:p w14:paraId="4AD9DF44" w14:textId="77777777" w:rsidR="009262C4" w:rsidRDefault="00000000">
            <w:pPr>
              <w:spacing w:after="40" w:line="240" w:lineRule="auto"/>
              <w:jc w:val="left"/>
            </w:pPr>
            <w:r>
              <w:rPr>
                <w:rFonts w:ascii="Palatino Linotype" w:hAnsi="Palatino Linotype" w:cs="Palatino Linotype"/>
                <w:color w:val="000000"/>
                <w:sz w:val="19"/>
                <w:szCs w:val="17"/>
              </w:rPr>
              <w:t>Temporal and lifecycle (Req 5)</w:t>
            </w:r>
          </w:p>
        </w:tc>
      </w:tr>
      <w:tr w:rsidR="009262C4" w14:paraId="3B04220B"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D0E6669" w14:textId="77777777" w:rsidR="009262C4" w:rsidRDefault="00000000">
            <w:pPr>
              <w:spacing w:after="40" w:line="240" w:lineRule="auto"/>
              <w:jc w:val="left"/>
            </w:pPr>
            <w:r>
              <w:rPr>
                <w:rFonts w:ascii="Palatino Linotype" w:hAnsi="Palatino Linotype" w:cs="Palatino Linotype"/>
                <w:color w:val="000000"/>
                <w:sz w:val="19"/>
                <w:szCs w:val="17"/>
              </w:rPr>
              <w:t>S19</w:t>
            </w:r>
          </w:p>
        </w:tc>
        <w:tc>
          <w:tcPr>
            <w:tcW w:w="1814" w:type="dxa"/>
            <w:tcBorders>
              <w:top w:val="nil"/>
              <w:left w:val="nil"/>
              <w:bottom w:val="nil"/>
              <w:right w:val="nil"/>
              <w:insideH w:val="nil"/>
              <w:insideV w:val="nil"/>
            </w:tcBorders>
            <w:tcMar>
              <w:top w:w="40" w:type="dxa"/>
              <w:left w:w="80" w:type="dxa"/>
              <w:bottom w:w="40" w:type="dxa"/>
              <w:right w:w="80" w:type="dxa"/>
            </w:tcMar>
          </w:tcPr>
          <w:p w14:paraId="0C7BA423" w14:textId="77777777" w:rsidR="009262C4" w:rsidRDefault="00000000">
            <w:pPr>
              <w:spacing w:after="40" w:line="240" w:lineRule="auto"/>
              <w:jc w:val="left"/>
            </w:pPr>
            <w:r>
              <w:rPr>
                <w:rFonts w:ascii="Palatino Linotype" w:hAnsi="Palatino Linotype" w:cs="Palatino Linotype"/>
                <w:color w:val="000000"/>
                <w:sz w:val="19"/>
                <w:szCs w:val="17"/>
              </w:rPr>
              <w:t>SooHoo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7E548BF5"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0C8A2D85" w14:textId="77777777" w:rsidR="009262C4" w:rsidRDefault="00000000">
            <w:pPr>
              <w:spacing w:after="40" w:line="240" w:lineRule="auto"/>
              <w:jc w:val="left"/>
            </w:pPr>
            <w:r>
              <w:rPr>
                <w:rFonts w:ascii="Palatino Linotype" w:hAnsi="Palatino Linotype" w:cs="Palatino Linotype"/>
                <w:color w:val="000000"/>
                <w:sz w:val="19"/>
                <w:szCs w:val="17"/>
              </w:rPr>
              <w:t xml:space="preserve">Development of the authentication and authorization processes for the iAgree portal, a platform for patient-controlled data sharing across health systems</w:t>
            </w:r>
          </w:p>
        </w:tc>
        <w:tc>
          <w:tcPr>
            <w:tcW w:w="1814" w:type="dxa"/>
            <w:tcBorders>
              <w:top w:val="nil"/>
              <w:left w:val="nil"/>
              <w:bottom w:val="nil"/>
              <w:right w:val="nil"/>
              <w:insideH w:val="nil"/>
              <w:insideV w:val="nil"/>
            </w:tcBorders>
            <w:tcMar>
              <w:top w:w="40" w:type="dxa"/>
              <w:left w:w="80" w:type="dxa"/>
              <w:bottom w:w="40" w:type="dxa"/>
              <w:right w:w="80" w:type="dxa"/>
            </w:tcMar>
          </w:tcPr>
          <w:p w14:paraId="2C00F001" w14:textId="77777777" w:rsidR="009262C4" w:rsidRDefault="00000000">
            <w:pPr>
              <w:spacing w:after="40" w:line="240" w:lineRule="auto"/>
              <w:jc w:val="left"/>
            </w:pPr>
            <w:r>
              <w:rPr>
                <w:rFonts w:ascii="Palatino Linotype" w:hAnsi="Palatino Linotype" w:cs="Palatino Linotype"/>
                <w:color w:val="000000"/>
                <w:sz w:val="19"/>
                <w:szCs w:val="17"/>
              </w:rPr>
              <w:t>Consent representation (Req 1)</w:t>
            </w:r>
          </w:p>
        </w:tc>
      </w:tr>
      <w:tr w:rsidR="009262C4" w14:paraId="731DDFDF"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289AC502" w14:textId="77777777" w:rsidR="009262C4" w:rsidRDefault="00000000">
            <w:pPr>
              <w:spacing w:after="40" w:line="240" w:lineRule="auto"/>
              <w:jc w:val="left"/>
            </w:pPr>
            <w:r>
              <w:rPr>
                <w:rFonts w:ascii="Palatino Linotype" w:hAnsi="Palatino Linotype" w:cs="Palatino Linotype"/>
                <w:color w:val="000000"/>
                <w:sz w:val="19"/>
                <w:szCs w:val="17"/>
              </w:rPr>
              <w:t>S20</w:t>
            </w:r>
          </w:p>
        </w:tc>
        <w:tc>
          <w:tcPr>
            <w:tcW w:w="1814" w:type="dxa"/>
            <w:tcBorders>
              <w:top w:val="nil"/>
              <w:left w:val="nil"/>
              <w:bottom w:val="nil"/>
              <w:right w:val="nil"/>
              <w:insideH w:val="nil"/>
              <w:insideV w:val="nil"/>
            </w:tcBorders>
            <w:tcMar>
              <w:top w:w="40" w:type="dxa"/>
              <w:left w:w="80" w:type="dxa"/>
              <w:bottom w:w="40" w:type="dxa"/>
              <w:right w:w="80" w:type="dxa"/>
            </w:tcMar>
          </w:tcPr>
          <w:p w14:paraId="54849C5E" w14:textId="77777777" w:rsidR="009262C4" w:rsidRDefault="00000000">
            <w:pPr>
              <w:spacing w:after="40" w:line="240" w:lineRule="auto"/>
              <w:jc w:val="left"/>
            </w:pPr>
            <w:r>
              <w:rPr>
                <w:rFonts w:ascii="Palatino Linotype" w:hAnsi="Palatino Linotype" w:cs="Palatino Linotype"/>
                <w:color w:val="000000"/>
                <w:sz w:val="19"/>
                <w:szCs w:val="17"/>
              </w:rPr>
              <w:t>Tan et al. (2024)</w:t>
            </w:r>
          </w:p>
        </w:tc>
        <w:tc>
          <w:tcPr>
            <w:tcW w:w="680" w:type="dxa"/>
            <w:tcBorders>
              <w:top w:val="nil"/>
              <w:left w:val="nil"/>
              <w:bottom w:val="nil"/>
              <w:right w:val="nil"/>
              <w:insideH w:val="nil"/>
              <w:insideV w:val="nil"/>
            </w:tcBorders>
            <w:tcMar>
              <w:top w:w="40" w:type="dxa"/>
              <w:left w:w="80" w:type="dxa"/>
              <w:bottom w:w="40" w:type="dxa"/>
              <w:right w:w="80" w:type="dxa"/>
            </w:tcMar>
          </w:tcPr>
          <w:p w14:paraId="7E6F964A" w14:textId="77777777" w:rsidR="009262C4" w:rsidRDefault="00000000">
            <w:pPr>
              <w:spacing w:after="40" w:line="240" w:lineRule="auto"/>
              <w:jc w:val="left"/>
            </w:pPr>
            <w:r>
              <w:rPr>
                <w:rFonts w:ascii="Palatino Linotype" w:hAnsi="Palatino Linotype" w:cs="Palatino Linotype"/>
                <w:color w:val="000000"/>
                <w:sz w:val="19"/>
                <w:szCs w:val="17"/>
              </w:rPr>
              <w:t>2024</w:t>
            </w:r>
          </w:p>
        </w:tc>
        <w:tc>
          <w:tcPr>
            <w:tcW w:w="3515" w:type="dxa"/>
            <w:tcBorders>
              <w:top w:val="nil"/>
              <w:left w:val="nil"/>
              <w:bottom w:val="nil"/>
              <w:right w:val="nil"/>
              <w:insideH w:val="nil"/>
              <w:insideV w:val="nil"/>
            </w:tcBorders>
            <w:tcMar>
              <w:top w:w="40" w:type="dxa"/>
              <w:left w:w="80" w:type="dxa"/>
              <w:bottom w:w="40" w:type="dxa"/>
              <w:right w:w="80" w:type="dxa"/>
            </w:tcMar>
          </w:tcPr>
          <w:p w14:paraId="19E5946A" w14:textId="77777777" w:rsidR="009262C4" w:rsidRDefault="00000000">
            <w:pPr>
              <w:spacing w:after="40" w:line="240" w:lineRule="auto"/>
              <w:jc w:val="left"/>
            </w:pPr>
            <w:r>
              <w:rPr>
                <w:rFonts w:ascii="Palatino Linotype" w:hAnsi="Palatino Linotype" w:cs="Palatino Linotype"/>
                <w:color w:val="000000"/>
                <w:sz w:val="19"/>
                <w:szCs w:val="17"/>
              </w:rPr>
              <w:t>Secure and privacy-preserving sharing of personal health records with multi-party pre-authorization verification</w:t>
            </w:r>
          </w:p>
        </w:tc>
        <w:tc>
          <w:tcPr>
            <w:tcW w:w="1814" w:type="dxa"/>
            <w:tcBorders>
              <w:top w:val="nil"/>
              <w:left w:val="nil"/>
              <w:bottom w:val="nil"/>
              <w:right w:val="nil"/>
              <w:insideH w:val="nil"/>
              <w:insideV w:val="nil"/>
            </w:tcBorders>
            <w:tcMar>
              <w:top w:w="40" w:type="dxa"/>
              <w:left w:w="80" w:type="dxa"/>
              <w:bottom w:w="40" w:type="dxa"/>
              <w:right w:w="80" w:type="dxa"/>
            </w:tcMar>
          </w:tcPr>
          <w:p w14:paraId="177B5FFB"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2D5A344C"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C2256FC" w14:textId="77777777" w:rsidR="009262C4" w:rsidRDefault="00000000">
            <w:pPr>
              <w:spacing w:after="40" w:line="240" w:lineRule="auto"/>
              <w:jc w:val="left"/>
            </w:pPr>
            <w:r>
              <w:rPr>
                <w:rFonts w:ascii="Palatino Linotype" w:hAnsi="Palatino Linotype" w:cs="Palatino Linotype"/>
                <w:color w:val="000000"/>
                <w:sz w:val="19"/>
                <w:szCs w:val="17"/>
              </w:rPr>
              <w:t>S21</w:t>
            </w:r>
          </w:p>
        </w:tc>
        <w:tc>
          <w:tcPr>
            <w:tcW w:w="1814" w:type="dxa"/>
            <w:tcBorders>
              <w:top w:val="nil"/>
              <w:left w:val="nil"/>
              <w:bottom w:val="nil"/>
              <w:right w:val="nil"/>
              <w:insideH w:val="nil"/>
              <w:insideV w:val="nil"/>
            </w:tcBorders>
            <w:tcMar>
              <w:top w:w="40" w:type="dxa"/>
              <w:left w:w="80" w:type="dxa"/>
              <w:bottom w:w="40" w:type="dxa"/>
              <w:right w:w="80" w:type="dxa"/>
            </w:tcMar>
          </w:tcPr>
          <w:p w14:paraId="2C6FEDD2" w14:textId="77777777" w:rsidR="009262C4" w:rsidRDefault="00000000">
            <w:pPr>
              <w:spacing w:after="40" w:line="240" w:lineRule="auto"/>
              <w:jc w:val="left"/>
            </w:pPr>
            <w:r>
              <w:rPr>
                <w:rFonts w:ascii="Palatino Linotype" w:hAnsi="Palatino Linotype" w:cs="Palatino Linotype"/>
                <w:color w:val="000000"/>
                <w:sz w:val="19"/>
                <w:szCs w:val="17"/>
              </w:rPr>
              <w:t>Tith et al. (2020)</w:t>
            </w:r>
          </w:p>
        </w:tc>
        <w:tc>
          <w:tcPr>
            <w:tcW w:w="680" w:type="dxa"/>
            <w:tcBorders>
              <w:top w:val="nil"/>
              <w:left w:val="nil"/>
              <w:bottom w:val="nil"/>
              <w:right w:val="nil"/>
              <w:insideH w:val="nil"/>
              <w:insideV w:val="nil"/>
            </w:tcBorders>
            <w:tcMar>
              <w:top w:w="40" w:type="dxa"/>
              <w:left w:w="80" w:type="dxa"/>
              <w:bottom w:w="40" w:type="dxa"/>
              <w:right w:w="80" w:type="dxa"/>
            </w:tcMar>
          </w:tcPr>
          <w:p w14:paraId="5D0356D2" w14:textId="77777777" w:rsidR="009262C4" w:rsidRDefault="00000000">
            <w:pPr>
              <w:spacing w:after="40" w:line="240" w:lineRule="auto"/>
              <w:jc w:val="left"/>
            </w:pPr>
            <w:r>
              <w:rPr>
                <w:rFonts w:ascii="Palatino Linotype" w:hAnsi="Palatino Linotype" w:cs="Palatino Linotype"/>
                <w:color w:val="000000"/>
                <w:sz w:val="19"/>
                <w:szCs w:val="17"/>
              </w:rPr>
              <w:t>2020</w:t>
            </w:r>
          </w:p>
        </w:tc>
        <w:tc>
          <w:tcPr>
            <w:tcW w:w="3515" w:type="dxa"/>
            <w:tcBorders>
              <w:top w:val="nil"/>
              <w:left w:val="nil"/>
              <w:bottom w:val="nil"/>
              <w:right w:val="nil"/>
              <w:insideH w:val="nil"/>
              <w:insideV w:val="nil"/>
            </w:tcBorders>
            <w:tcMar>
              <w:top w:w="40" w:type="dxa"/>
              <w:left w:w="80" w:type="dxa"/>
              <w:bottom w:w="40" w:type="dxa"/>
              <w:right w:w="80" w:type="dxa"/>
            </w:tcMar>
          </w:tcPr>
          <w:p w14:paraId="6426A5B5" w14:textId="77777777" w:rsidR="009262C4" w:rsidRDefault="00000000">
            <w:pPr>
              <w:spacing w:after="40" w:line="240" w:lineRule="auto"/>
              <w:jc w:val="left"/>
            </w:pPr>
            <w:r>
              <w:rPr>
                <w:rFonts w:ascii="Palatino Linotype" w:hAnsi="Palatino Linotype" w:cs="Palatino Linotype"/>
                <w:color w:val="000000"/>
                <w:sz w:val="19"/>
                <w:szCs w:val="17"/>
              </w:rPr>
              <w:t>Patient consent management by a purpose-based consent model for electronic health record based on blockchain technology</w:t>
            </w:r>
          </w:p>
        </w:tc>
        <w:tc>
          <w:tcPr>
            <w:tcW w:w="1814" w:type="dxa"/>
            <w:tcBorders>
              <w:top w:val="nil"/>
              <w:left w:val="nil"/>
              <w:bottom w:val="nil"/>
              <w:right w:val="nil"/>
              <w:insideH w:val="nil"/>
              <w:insideV w:val="nil"/>
            </w:tcBorders>
            <w:tcMar>
              <w:top w:w="40" w:type="dxa"/>
              <w:left w:w="80" w:type="dxa"/>
              <w:bottom w:w="40" w:type="dxa"/>
              <w:right w:w="80" w:type="dxa"/>
            </w:tcMar>
          </w:tcPr>
          <w:p w14:paraId="39AFEE6A" w14:textId="77777777" w:rsidR="009262C4" w:rsidRDefault="00000000">
            <w:pPr>
              <w:spacing w:after="40" w:line="240" w:lineRule="auto"/>
              <w:jc w:val="left"/>
            </w:pPr>
            <w:r>
              <w:rPr>
                <w:rFonts w:ascii="Palatino Linotype" w:hAnsi="Palatino Linotype" w:cs="Palatino Linotype"/>
                <w:color w:val="000000"/>
                <w:sz w:val="19"/>
                <w:szCs w:val="17"/>
              </w:rPr>
              <w:t>Policy and context (Req 4)</w:t>
            </w:r>
          </w:p>
        </w:tc>
      </w:tr>
      <w:tr w:rsidR="009262C4" w14:paraId="7A2F173A"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78950EA3" w14:textId="77777777" w:rsidR="009262C4" w:rsidRDefault="00000000">
            <w:pPr>
              <w:spacing w:after="40" w:line="240" w:lineRule="auto"/>
              <w:jc w:val="left"/>
            </w:pPr>
            <w:r>
              <w:rPr>
                <w:rFonts w:ascii="Palatino Linotype" w:hAnsi="Palatino Linotype" w:cs="Palatino Linotype"/>
                <w:color w:val="000000"/>
                <w:sz w:val="19"/>
                <w:szCs w:val="17"/>
              </w:rPr>
              <w:t>S22</w:t>
            </w:r>
          </w:p>
        </w:tc>
        <w:tc>
          <w:tcPr>
            <w:tcW w:w="1814" w:type="dxa"/>
            <w:tcBorders>
              <w:top w:val="nil"/>
              <w:left w:val="nil"/>
              <w:bottom w:val="nil"/>
              <w:right w:val="nil"/>
              <w:insideH w:val="nil"/>
              <w:insideV w:val="nil"/>
            </w:tcBorders>
            <w:tcMar>
              <w:top w:w="40" w:type="dxa"/>
              <w:left w:w="80" w:type="dxa"/>
              <w:bottom w:w="40" w:type="dxa"/>
              <w:right w:w="80" w:type="dxa"/>
            </w:tcMar>
          </w:tcPr>
          <w:p w14:paraId="095F8AEA" w14:textId="77777777" w:rsidR="009262C4" w:rsidRDefault="00000000">
            <w:pPr>
              <w:spacing w:after="40" w:line="240" w:lineRule="auto"/>
              <w:jc w:val="left"/>
            </w:pPr>
            <w:r>
              <w:rPr>
                <w:rFonts w:ascii="Palatino Linotype" w:hAnsi="Palatino Linotype" w:cs="Palatino Linotype"/>
                <w:color w:val="000000"/>
                <w:sz w:val="19"/>
                <w:szCs w:val="17"/>
              </w:rPr>
              <w:t>Tremper et al. (2026)</w:t>
            </w:r>
          </w:p>
        </w:tc>
        <w:tc>
          <w:tcPr>
            <w:tcW w:w="680" w:type="dxa"/>
            <w:tcBorders>
              <w:top w:val="nil"/>
              <w:left w:val="nil"/>
              <w:bottom w:val="nil"/>
              <w:right w:val="nil"/>
              <w:insideH w:val="nil"/>
              <w:insideV w:val="nil"/>
            </w:tcBorders>
            <w:tcMar>
              <w:top w:w="40" w:type="dxa"/>
              <w:left w:w="80" w:type="dxa"/>
              <w:bottom w:w="40" w:type="dxa"/>
              <w:right w:w="80" w:type="dxa"/>
            </w:tcMar>
          </w:tcPr>
          <w:p w14:paraId="3160E4B0" w14:textId="77777777" w:rsidR="009262C4" w:rsidRDefault="00000000">
            <w:pPr>
              <w:spacing w:after="40" w:line="240" w:lineRule="auto"/>
              <w:jc w:val="left"/>
            </w:pPr>
            <w:r>
              <w:rPr>
                <w:rFonts w:ascii="Palatino Linotype" w:hAnsi="Palatino Linotype" w:cs="Palatino Linotype"/>
                <w:color w:val="000000"/>
                <w:sz w:val="19"/>
                <w:szCs w:val="17"/>
              </w:rPr>
              <w:t>2026</w:t>
            </w:r>
          </w:p>
        </w:tc>
        <w:tc>
          <w:tcPr>
            <w:tcW w:w="3515" w:type="dxa"/>
            <w:tcBorders>
              <w:top w:val="nil"/>
              <w:left w:val="nil"/>
              <w:bottom w:val="nil"/>
              <w:right w:val="nil"/>
              <w:insideH w:val="nil"/>
              <w:insideV w:val="nil"/>
            </w:tcBorders>
            <w:tcMar>
              <w:top w:w="40" w:type="dxa"/>
              <w:left w:w="80" w:type="dxa"/>
              <w:bottom w:w="40" w:type="dxa"/>
              <w:right w:w="80" w:type="dxa"/>
            </w:tcMar>
          </w:tcPr>
          <w:p w14:paraId="6D31F7D2" w14:textId="77777777" w:rsidR="009262C4" w:rsidRDefault="00000000">
            <w:pPr>
              <w:spacing w:after="40" w:line="240" w:lineRule="auto"/>
              <w:jc w:val="left"/>
            </w:pPr>
            <w:r>
              <w:rPr>
                <w:rFonts w:ascii="Palatino Linotype" w:hAnsi="Palatino Linotype" w:cs="Palatino Linotype"/>
                <w:color w:val="000000"/>
                <w:sz w:val="19"/>
                <w:szCs w:val="17"/>
              </w:rPr>
              <w:t>Mainzelliste: Ten years of pseudonymization, record linkage, and informed consent management</w:t>
            </w:r>
          </w:p>
        </w:tc>
        <w:tc>
          <w:tcPr>
            <w:tcW w:w="1814" w:type="dxa"/>
            <w:tcBorders>
              <w:top w:val="nil"/>
              <w:left w:val="nil"/>
              <w:bottom w:val="nil"/>
              <w:right w:val="nil"/>
              <w:insideH w:val="nil"/>
              <w:insideV w:val="nil"/>
            </w:tcBorders>
            <w:tcMar>
              <w:top w:w="40" w:type="dxa"/>
              <w:left w:w="80" w:type="dxa"/>
              <w:bottom w:w="40" w:type="dxa"/>
              <w:right w:w="80" w:type="dxa"/>
            </w:tcMar>
          </w:tcPr>
          <w:p w14:paraId="30FD22DC" w14:textId="77777777" w:rsidR="009262C4" w:rsidRDefault="00000000">
            <w:pPr>
              <w:spacing w:after="40" w:line="240" w:lineRule="auto"/>
              <w:jc w:val="left"/>
            </w:pPr>
            <w:r>
              <w:rPr>
                <w:rFonts w:ascii="Palatino Linotype" w:hAnsi="Palatino Linotype" w:cs="Palatino Linotype"/>
                <w:color w:val="000000"/>
                <w:sz w:val="19"/>
                <w:szCs w:val="17"/>
              </w:rPr>
              <w:t>Consent representation (Req 1)</w:t>
            </w:r>
          </w:p>
        </w:tc>
      </w:tr>
      <w:tr w:rsidR="009262C4" w14:paraId="5562642B"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7B9B0CF2" w14:textId="77777777" w:rsidR="009262C4" w:rsidRDefault="00000000">
            <w:pPr>
              <w:spacing w:after="40" w:line="240" w:lineRule="auto"/>
              <w:jc w:val="left"/>
            </w:pPr>
            <w:r>
              <w:rPr>
                <w:rFonts w:ascii="Palatino Linotype" w:hAnsi="Palatino Linotype" w:cs="Palatino Linotype"/>
                <w:color w:val="000000"/>
                <w:sz w:val="19"/>
                <w:szCs w:val="17"/>
              </w:rPr>
              <w:t>S23</w:t>
            </w:r>
          </w:p>
        </w:tc>
        <w:tc>
          <w:tcPr>
            <w:tcW w:w="1814" w:type="dxa"/>
            <w:tcBorders>
              <w:top w:val="nil"/>
              <w:left w:val="nil"/>
              <w:bottom w:val="nil"/>
              <w:right w:val="nil"/>
              <w:insideH w:val="nil"/>
              <w:insideV w:val="nil"/>
            </w:tcBorders>
            <w:tcMar>
              <w:top w:w="40" w:type="dxa"/>
              <w:left w:w="80" w:type="dxa"/>
              <w:bottom w:w="40" w:type="dxa"/>
              <w:right w:w="80" w:type="dxa"/>
            </w:tcMar>
          </w:tcPr>
          <w:p w14:paraId="064C89F1" w14:textId="77777777" w:rsidR="009262C4" w:rsidRDefault="00000000">
            <w:pPr>
              <w:spacing w:after="40" w:line="240" w:lineRule="auto"/>
              <w:jc w:val="left"/>
            </w:pPr>
            <w:r>
              <w:rPr>
                <w:rFonts w:ascii="Palatino Linotype" w:hAnsi="Palatino Linotype" w:cs="Palatino Linotype"/>
                <w:color w:val="000000"/>
                <w:sz w:val="19"/>
                <w:szCs w:val="17"/>
              </w:rPr>
              <w:t>Tseng et al. (2025)</w:t>
            </w:r>
          </w:p>
        </w:tc>
        <w:tc>
          <w:tcPr>
            <w:tcW w:w="680" w:type="dxa"/>
            <w:tcBorders>
              <w:top w:val="nil"/>
              <w:left w:val="nil"/>
              <w:bottom w:val="nil"/>
              <w:right w:val="nil"/>
              <w:insideH w:val="nil"/>
              <w:insideV w:val="nil"/>
            </w:tcBorders>
            <w:tcMar>
              <w:top w:w="40" w:type="dxa"/>
              <w:left w:w="80" w:type="dxa"/>
              <w:bottom w:w="40" w:type="dxa"/>
              <w:right w:w="80" w:type="dxa"/>
            </w:tcMar>
          </w:tcPr>
          <w:p w14:paraId="415496ED"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515" w:type="dxa"/>
            <w:tcBorders>
              <w:top w:val="nil"/>
              <w:left w:val="nil"/>
              <w:bottom w:val="nil"/>
              <w:right w:val="nil"/>
              <w:insideH w:val="nil"/>
              <w:insideV w:val="nil"/>
            </w:tcBorders>
            <w:tcMar>
              <w:top w:w="40" w:type="dxa"/>
              <w:left w:w="80" w:type="dxa"/>
              <w:bottom w:w="40" w:type="dxa"/>
              <w:right w:w="80" w:type="dxa"/>
            </w:tcMar>
          </w:tcPr>
          <w:p w14:paraId="652EDAA9" w14:textId="77777777" w:rsidR="009262C4" w:rsidRDefault="00000000">
            <w:pPr>
              <w:spacing w:after="40" w:line="240" w:lineRule="auto"/>
              <w:jc w:val="left"/>
            </w:pPr>
            <w:r>
              <w:rPr>
                <w:rFonts w:ascii="Palatino Linotype" w:hAnsi="Palatino Linotype" w:cs="Palatino Linotype"/>
                <w:color w:val="000000"/>
                <w:sz w:val="19"/>
                <w:szCs w:val="17"/>
              </w:rPr>
              <w:t>EMR-Chain: Decentralized Electronic Medical Record Exchange System</w:t>
            </w:r>
          </w:p>
        </w:tc>
        <w:tc>
          <w:tcPr>
            <w:tcW w:w="1814" w:type="dxa"/>
            <w:tcBorders>
              <w:top w:val="nil"/>
              <w:left w:val="nil"/>
              <w:bottom w:val="nil"/>
              <w:right w:val="nil"/>
              <w:insideH w:val="nil"/>
              <w:insideV w:val="nil"/>
            </w:tcBorders>
            <w:tcMar>
              <w:top w:w="40" w:type="dxa"/>
              <w:left w:w="80" w:type="dxa"/>
              <w:bottom w:w="40" w:type="dxa"/>
              <w:right w:w="80" w:type="dxa"/>
            </w:tcMar>
          </w:tcPr>
          <w:p w14:paraId="51877A0F" w14:textId="77777777" w:rsidR="009262C4" w:rsidRDefault="00000000">
            <w:pPr>
              <w:spacing w:after="40" w:line="240" w:lineRule="auto"/>
              <w:jc w:val="left"/>
            </w:pPr>
            <w:r>
              <w:rPr>
                <w:rFonts w:ascii="Palatino Linotype" w:hAnsi="Palatino Linotype" w:cs="Palatino Linotype"/>
                <w:color w:val="000000"/>
                <w:sz w:val="19"/>
                <w:szCs w:val="17"/>
              </w:rPr>
              <w:t>Identity and authority (Req 2)</w:t>
            </w:r>
          </w:p>
        </w:tc>
      </w:tr>
      <w:tr w:rsidR="009262C4" w14:paraId="025A53E1"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3AA9B3D7" w14:textId="77777777" w:rsidR="009262C4" w:rsidRDefault="00000000">
            <w:pPr>
              <w:spacing w:after="40" w:line="240" w:lineRule="auto"/>
              <w:jc w:val="left"/>
            </w:pPr>
            <w:r>
              <w:rPr>
                <w:rFonts w:ascii="Palatino Linotype" w:hAnsi="Palatino Linotype" w:cs="Palatino Linotype"/>
                <w:color w:val="000000"/>
                <w:sz w:val="19"/>
                <w:szCs w:val="17"/>
              </w:rPr>
              <w:t>S24</w:t>
            </w:r>
          </w:p>
        </w:tc>
        <w:tc>
          <w:tcPr>
            <w:tcW w:w="1814" w:type="dxa"/>
            <w:tcBorders>
              <w:top w:val="nil"/>
              <w:left w:val="nil"/>
              <w:bottom w:val="nil"/>
              <w:right w:val="nil"/>
              <w:insideH w:val="nil"/>
              <w:insideV w:val="nil"/>
            </w:tcBorders>
            <w:tcMar>
              <w:top w:w="40" w:type="dxa"/>
              <w:left w:w="80" w:type="dxa"/>
              <w:bottom w:w="40" w:type="dxa"/>
              <w:right w:w="80" w:type="dxa"/>
            </w:tcMar>
          </w:tcPr>
          <w:p w14:paraId="1B65205D" w14:textId="77777777" w:rsidR="009262C4" w:rsidRDefault="00000000">
            <w:pPr>
              <w:spacing w:after="40" w:line="240" w:lineRule="auto"/>
              <w:jc w:val="left"/>
            </w:pPr>
            <w:r>
              <w:rPr>
                <w:rFonts w:ascii="Palatino Linotype" w:hAnsi="Palatino Linotype" w:cs="Palatino Linotype"/>
                <w:color w:val="000000"/>
                <w:sz w:val="19"/>
                <w:szCs w:val="17"/>
              </w:rPr>
              <w:t>Wu et al. (2022)</w:t>
            </w:r>
          </w:p>
        </w:tc>
        <w:tc>
          <w:tcPr>
            <w:tcW w:w="680" w:type="dxa"/>
            <w:tcBorders>
              <w:top w:val="nil"/>
              <w:left w:val="nil"/>
              <w:bottom w:val="nil"/>
              <w:right w:val="nil"/>
              <w:insideH w:val="nil"/>
              <w:insideV w:val="nil"/>
            </w:tcBorders>
            <w:tcMar>
              <w:top w:w="40" w:type="dxa"/>
              <w:left w:w="80" w:type="dxa"/>
              <w:bottom w:w="40" w:type="dxa"/>
              <w:right w:w="80" w:type="dxa"/>
            </w:tcMar>
          </w:tcPr>
          <w:p w14:paraId="119760C9" w14:textId="77777777" w:rsidR="009262C4" w:rsidRDefault="00000000">
            <w:pPr>
              <w:spacing w:after="40" w:line="240" w:lineRule="auto"/>
              <w:jc w:val="left"/>
            </w:pPr>
            <w:r>
              <w:rPr>
                <w:rFonts w:ascii="Palatino Linotype" w:hAnsi="Palatino Linotype" w:cs="Palatino Linotype"/>
                <w:color w:val="000000"/>
                <w:sz w:val="19"/>
                <w:szCs w:val="17"/>
              </w:rPr>
              <w:t>2022</w:t>
            </w:r>
          </w:p>
        </w:tc>
        <w:tc>
          <w:tcPr>
            <w:tcW w:w="3515" w:type="dxa"/>
            <w:tcBorders>
              <w:top w:val="nil"/>
              <w:left w:val="nil"/>
              <w:bottom w:val="nil"/>
              <w:right w:val="nil"/>
              <w:insideH w:val="nil"/>
              <w:insideV w:val="nil"/>
            </w:tcBorders>
            <w:tcMar>
              <w:top w:w="40" w:type="dxa"/>
              <w:left w:w="80" w:type="dxa"/>
              <w:bottom w:w="40" w:type="dxa"/>
              <w:right w:w="80" w:type="dxa"/>
            </w:tcMar>
          </w:tcPr>
          <w:p w14:paraId="7768C00E" w14:textId="77777777" w:rsidR="009262C4" w:rsidRDefault="00000000">
            <w:pPr>
              <w:spacing w:after="40" w:line="240" w:lineRule="auto"/>
              <w:jc w:val="left"/>
            </w:pPr>
            <w:r>
              <w:rPr>
                <w:rFonts w:ascii="Palatino Linotype" w:hAnsi="Palatino Linotype" w:cs="Palatino Linotype"/>
                <w:color w:val="000000"/>
                <w:sz w:val="19"/>
                <w:szCs w:val="17"/>
              </w:rPr>
              <w:t xml:space="preserve">Apply Trust Computing and Privacy Preserving Smart Contracts to Manage, Share, and Analyze Multi-site Clinical Trial Data</w:t>
            </w:r>
          </w:p>
        </w:tc>
        <w:tc>
          <w:tcPr>
            <w:tcW w:w="1814" w:type="dxa"/>
            <w:tcBorders>
              <w:top w:val="nil"/>
              <w:left w:val="nil"/>
              <w:bottom w:val="nil"/>
              <w:right w:val="nil"/>
              <w:insideH w:val="nil"/>
              <w:insideV w:val="nil"/>
            </w:tcBorders>
            <w:tcMar>
              <w:top w:w="40" w:type="dxa"/>
              <w:left w:w="80" w:type="dxa"/>
              <w:bottom w:w="40" w:type="dxa"/>
              <w:right w:w="80" w:type="dxa"/>
            </w:tcMar>
          </w:tcPr>
          <w:p w14:paraId="089CCC67" w14:textId="77777777" w:rsidR="009262C4" w:rsidRDefault="00000000">
            <w:pPr>
              <w:spacing w:after="40" w:line="240" w:lineRule="auto"/>
              <w:jc w:val="left"/>
            </w:pPr>
            <w:r>
              <w:rPr>
                <w:rFonts w:ascii="Palatino Linotype" w:hAnsi="Palatino Linotype" w:cs="Palatino Linotype"/>
                <w:color w:val="000000"/>
                <w:sz w:val="19"/>
                <w:szCs w:val="17"/>
              </w:rPr>
              <w:t>Multi-party authorisation (Req 3)</w:t>
            </w:r>
          </w:p>
        </w:tc>
      </w:tr>
      <w:tr w:rsidR="009262C4" w14:paraId="75EC961A" w14:textId="77777777">
        <w:trPr>
          <w:cantSplit/>
        </w:trPr>
        <w:tc>
          <w:tcPr>
            <w:tcW w:w="680" w:type="dxa"/>
            <w:tcBorders>
              <w:top w:val="nil"/>
              <w:left w:val="nil"/>
              <w:bottom w:val="nil"/>
              <w:right w:val="nil"/>
              <w:insideH w:val="nil"/>
              <w:insideV w:val="nil"/>
            </w:tcBorders>
            <w:tcMar>
              <w:top w:w="40" w:type="dxa"/>
              <w:left w:w="80" w:type="dxa"/>
              <w:bottom w:w="40" w:type="dxa"/>
              <w:right w:w="80" w:type="dxa"/>
            </w:tcMar>
          </w:tcPr>
          <w:p w14:paraId="5E5084A7" w14:textId="77777777" w:rsidR="009262C4" w:rsidRDefault="00000000">
            <w:pPr>
              <w:spacing w:after="40" w:line="240" w:lineRule="auto"/>
              <w:jc w:val="left"/>
            </w:pPr>
            <w:r>
              <w:rPr>
                <w:rFonts w:ascii="Palatino Linotype" w:hAnsi="Palatino Linotype" w:cs="Palatino Linotype"/>
                <w:color w:val="000000"/>
                <w:sz w:val="19"/>
                <w:szCs w:val="17"/>
              </w:rPr>
              <w:t>S25</w:t>
            </w:r>
          </w:p>
        </w:tc>
        <w:tc>
          <w:tcPr>
            <w:tcW w:w="1814" w:type="dxa"/>
            <w:tcBorders>
              <w:top w:val="nil"/>
              <w:left w:val="nil"/>
              <w:bottom w:val="nil"/>
              <w:right w:val="nil"/>
              <w:insideH w:val="nil"/>
              <w:insideV w:val="nil"/>
            </w:tcBorders>
            <w:tcMar>
              <w:top w:w="40" w:type="dxa"/>
              <w:left w:w="80" w:type="dxa"/>
              <w:bottom w:w="40" w:type="dxa"/>
              <w:right w:w="80" w:type="dxa"/>
            </w:tcMar>
          </w:tcPr>
          <w:p w14:paraId="51FDD110" w14:textId="77777777" w:rsidR="009262C4" w:rsidRDefault="00000000">
            <w:pPr>
              <w:spacing w:after="40" w:line="240" w:lineRule="auto"/>
              <w:jc w:val="left"/>
            </w:pPr>
            <w:r>
              <w:rPr>
                <w:rFonts w:ascii="Palatino Linotype" w:hAnsi="Palatino Linotype" w:cs="Palatino Linotype"/>
                <w:color w:val="000000"/>
                <w:sz w:val="19"/>
                <w:szCs w:val="17"/>
              </w:rPr>
              <w:t>Wu and Zhang (2025)</w:t>
            </w:r>
          </w:p>
        </w:tc>
        <w:tc>
          <w:tcPr>
            <w:tcW w:w="680" w:type="dxa"/>
            <w:tcBorders>
              <w:top w:val="nil"/>
              <w:left w:val="nil"/>
              <w:bottom w:val="nil"/>
              <w:right w:val="nil"/>
              <w:insideH w:val="nil"/>
              <w:insideV w:val="nil"/>
            </w:tcBorders>
            <w:tcMar>
              <w:top w:w="40" w:type="dxa"/>
              <w:left w:w="80" w:type="dxa"/>
              <w:bottom w:w="40" w:type="dxa"/>
              <w:right w:w="80" w:type="dxa"/>
            </w:tcMar>
          </w:tcPr>
          <w:p w14:paraId="114A2DDB" w14:textId="77777777" w:rsidR="009262C4" w:rsidRDefault="00000000">
            <w:pPr>
              <w:spacing w:after="40" w:line="240" w:lineRule="auto"/>
              <w:jc w:val="left"/>
            </w:pPr>
            <w:r>
              <w:rPr>
                <w:rFonts w:ascii="Palatino Linotype" w:hAnsi="Palatino Linotype" w:cs="Palatino Linotype"/>
                <w:color w:val="000000"/>
                <w:sz w:val="19"/>
                <w:szCs w:val="17"/>
              </w:rPr>
              <w:t>2025</w:t>
            </w:r>
          </w:p>
        </w:tc>
        <w:tc>
          <w:tcPr>
            <w:tcW w:w="3515" w:type="dxa"/>
            <w:tcBorders>
              <w:top w:val="nil"/>
              <w:left w:val="nil"/>
              <w:bottom w:val="nil"/>
              <w:right w:val="nil"/>
              <w:insideH w:val="nil"/>
              <w:insideV w:val="nil"/>
            </w:tcBorders>
            <w:tcMar>
              <w:top w:w="40" w:type="dxa"/>
              <w:left w:w="80" w:type="dxa"/>
              <w:bottom w:w="40" w:type="dxa"/>
              <w:right w:w="80" w:type="dxa"/>
            </w:tcMar>
          </w:tcPr>
          <w:p w14:paraId="65CDD245" w14:textId="77777777" w:rsidR="009262C4" w:rsidRDefault="00000000">
            <w:pPr>
              <w:spacing w:after="40" w:line="240" w:lineRule="auto"/>
              <w:jc w:val="left"/>
            </w:pPr>
            <w:r>
              <w:rPr>
                <w:rFonts w:ascii="Palatino Linotype" w:hAnsi="Palatino Linotype" w:cs="Palatino Linotype"/>
                <w:color w:val="000000"/>
                <w:sz w:val="19"/>
                <w:szCs w:val="17"/>
              </w:rPr>
              <w:t>HealthDID: An efficient and authorizable multi-party privacy-preserving EMR sharing system based on DID</w:t>
            </w:r>
          </w:p>
        </w:tc>
        <w:tc>
          <w:tcPr>
            <w:tcW w:w="1814" w:type="dxa"/>
            <w:tcBorders>
              <w:top w:val="nil"/>
              <w:left w:val="nil"/>
              <w:bottom w:val="nil"/>
              <w:right w:val="nil"/>
              <w:insideH w:val="nil"/>
              <w:insideV w:val="nil"/>
            </w:tcBorders>
            <w:tcMar>
              <w:top w:w="40" w:type="dxa"/>
              <w:left w:w="80" w:type="dxa"/>
              <w:bottom w:w="40" w:type="dxa"/>
              <w:right w:w="80" w:type="dxa"/>
            </w:tcMar>
          </w:tcPr>
          <w:p w14:paraId="2408853F" w14:textId="77777777" w:rsidR="009262C4" w:rsidRDefault="00000000">
            <w:pPr>
              <w:spacing w:after="40" w:line="240" w:lineRule="auto"/>
              <w:jc w:val="left"/>
            </w:pPr>
            <w:r>
              <w:rPr>
                <w:rFonts w:ascii="Palatino Linotype" w:hAnsi="Palatino Linotype" w:cs="Palatino Linotype"/>
                <w:color w:val="000000"/>
                <w:sz w:val="19"/>
                <w:szCs w:val="17"/>
              </w:rPr>
              <w:t>Security assurance (Req 6)</w:t>
            </w:r>
          </w:p>
        </w:tc>
      </w:tr>
    </w:tbl>
    <w:p w14:paraId="104769F2" w14:textId="77777777" w:rsidR="009262C4" w:rsidRDefault="009262C4">
      <w:pPr>
        <w:spacing w:after="160"/>
      </w:pPr>
    </w:p>
    <w:p>
      <w:pPr>
        <w:pStyle w:val="2"/>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t>Table 2.5 summarises the description, the issues and limitations, and the requirement grades of the studies in this stream.</w:t>
      </w:r>
    </w:p>
    <w:p>
      <w:pPr>
        <w:keepNext/>
        <w:spacing w:before="160" w:after="160"/>
        <w:jc w:val="center"/>
      </w:pPr>
      <w:r>
        <w:rPr>
          <w:sz w:val="20"/>
        </w:rPr>
        <w:t>Table 2.5: Descriptions, issues and limitations of the studies on consent representation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S3 Al Amin et al. (2023)</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Informed consent is modelled as a patient-driven policy object with hash integrity, which an authorisation module conjoins with other policies inside a smart contract.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Purpose is not a condition, the time and expiry conditions are specified but not enforced, the only multi-party element is a 2-of-2 co-signature at registration, and the Goerli evaluation reports no measured results.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S19 SooHoo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authentication and authorisation processes of the iAgree portal across three United States health systems, using OAuth2, SMART on FHIR, and one-time passwords, with a permissioned Ethereum audit contract.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Consent enforcement is outside its scope, a single patient decides, identity and authority are not separated, revocation is claimed but not tested, and there are no formal methods.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S22 Tremper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Ten years of the Mainzelliste production service for pseudonymisation, record linkage, and informed consent management, with purpose-scoped FHIR consent directives and automated consent checks.</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consent checks have no specified semantics and no demonstrated enforcement of withdrawal, its multi-party computation parties are linkage units rather than authorisers, and no consent decision is verified.</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2.4.2 Decentralised identity and authority trust (Req 2)</w:t>
      </w:r>
    </w:p>
    <w:p w14:paraId="5A8E98C4" w14:textId="77777777" w:rsidR="009262C4" w:rsidRDefault="00000000">
      <w:pPr>
        <w:spacing w:after="110" w:line="264" w:lineRule="auto"/>
        <w:jc w:val="both"/>
      </w:pPr>
      <w:r/>
      <w:r>
        <w:t>Req 2, which needs both identity and authority, is graded Yes in only 7 of the 25 studies in Table 2.11.</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t>Table 2.6 summarises the description, the issues and limitations, and the requirement grades of the studies in this stream.</w:t>
      </w:r>
    </w:p>
    <w:p>
      <w:pPr>
        <w:keepNext/>
        <w:spacing w:before="160" w:after="160"/>
        <w:jc w:val="center"/>
      </w:pPr>
      <w:r>
        <w:rPr>
          <w:sz w:val="20"/>
        </w:rPr>
        <w:t>Table 2.6: Descriptions, issues and limitations of the studies on identity and authority</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S14 Phuyal et al. (2026b)</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single patient grants consent, the stored expiry is not checked, purpose is handled only at the interface, and there is no threat model.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S15 Phuyal et al. (2026a)</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design-science architecture for dynamic and auditable patient consent in secondary use, using FHIR Consent with purpose, scope, actors, and validity period, anchored on chain, with conceptual VC validation at a gateway.</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architecture is design-only and is neither implemented nor evaluated, and delegation through VCs is not joint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S23 Tseng et al.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EMR-Chain, a decentralised electronic medical record exchange that verifies authority-issued roles separately from X.509 identities and enforces token expiry at the validator.</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2.4.3 Multi-party authorisation and collaborative consent (Req 3)</w:t>
      </w:r>
    </w:p>
    <w:p w14:paraId="2B876E6C" w14:textId="77777777" w:rsidR="009262C4" w:rsidRDefault="00000000">
      <w:pPr>
        <w:spacing w:after="110" w:line="264" w:lineRule="auto"/>
        <w:jc w:val="both"/>
      </w:pPr>
      <w:r/>
      <w: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t>Table 2.7 summarises the description, the issues and limitations, and the requirement grades of the studies in this stream.</w:t>
      </w:r>
    </w:p>
    <w:p>
      <w:pPr>
        <w:keepNext/>
        <w:spacing w:before="160" w:after="160"/>
        <w:jc w:val="center"/>
      </w:pPr>
      <w:r>
        <w:rPr>
          <w:sz w:val="20"/>
        </w:rPr>
        <w:t>Table 2.7: Descriptions, issues and limitations of the studies on multi-party authorisation</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 Abbasi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Decentralised EHR management in which a Shamir (5, 3) threshold reconstructs a symmetric key, and automated oracles release their shares according to the requester's on-chain role.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threshold is over key custodians rather than authorisers, the patient share is not required, purpose is not evaluated, and no authorisation decision is verified despite extensive performance measurement.</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S4 Ekholm et al.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deployed electronic informed consent platform for rare disease genomics, in which a minor's consent is valid only when all legal guardians sign, and guardianship is verified against the Swedish Population Register.</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guardian co-consent applies at registration rather than at each access request, the platform is centralised and described with little technical detail, and there is no temporal, purpose, or formal assurance condition.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S6 Hagström et al. (2024)</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comparative case study of national patient portals, in which a clinician's capacity assessment and the minor's consent jointly gate guardian access, with register-verified guardianship and enforced age windows.</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mechanism is centralised and applied at documentation time, and the guardian is the party whose proxy access is gated rather than a co-authoriser of the patient's access decision.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S10 Madine et al. (2020)</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Fully decentralised multi-party consent management in which, on the incapacitated path, approvals from a regulator and a guardian threshold are required on one access request, and stale attestations stop counting.</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On the normal path a single patient key authorises, so multi-party approval is a contingency. Purpose and data-category policy are absent, revocation after delivery is not possible, and there is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S16 Punia et al.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MedXBlock, a blockchain-driven access control system for cloud healthcare that combines an institutional M-of-N multi-signature with a conjunctive role and attribute policy evaluated with deny-by-default.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S20 Tan et al. (2024)</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Sharing of personal health records with multi-party pre-authorisation verification, in which a (t, n) threshold of patient-appointed verifiers each validate the grant, its expiry, and the revocation list before releasing a key share.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joint approval is a pre-delegated contingency for an unconscious patient rather than a standing condition, purpose and data scope are not evaluated, and the gate is not evaluated empirically as an authorisation decision.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S24 Wu et al. (2022)</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Trust computing and privacy-preserving smart contracts for multi-site clinical trial data, in which a (t, n) investigator threshold signature governs trial admission to the ledger and consent revocation.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consent grant is unilateral, the voters are institution-side investigators, the vote reduces to a hash-integrity check, there is no policy engine, and there is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t>Req 4 is graded Yes in 10 studies and No in 15 in Table 2.11.</w:t>
      </w:r>
      <w:r>
        <w:t xml:space="preserve"> However, purpose-of-use enters the decision in only six studies (Eneh et al. 2026; Panagoulias et al. 2026), </w:t>
      </w:r>
      <w:r>
        <w:t>and every one is graded No on Req 3</w:t>
      </w:r>
      <w:r>
        <w:t>. Consequently, purpose and data-scope constraints are not carried by the consent object C and evaluated together with the identity, authority, and multi-party conditions.</w:t>
      </w:r>
    </w:p>
    <w:p>
      <w:pPr/>
      <w:r>
        <w:t>Table 2.8 summarises the description, the issues and limitations, and the requirement grades of the studies in this stream.</w:t>
      </w:r>
    </w:p>
    <w:p>
      <w:pPr>
        <w:keepNext/>
        <w:spacing w:before="160" w:after="160"/>
        <w:jc w:val="center"/>
      </w:pPr>
      <w:r>
        <w:rPr>
          <w:sz w:val="20"/>
        </w:rPr>
        <w:t>Table 2.8: Descriptions, issues and limitations of the studies on policy and context</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 Albalwy et al. (2021)</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blockchain-based dynamic consent proof of concept for clinical genomic data, in which a hashed policy tree of data type, role, and purpose is evaluated by the smart contract.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single patient sets and cancels consent, the requester's role and credentials are not verified, time is applied only at the delivery layer, and there is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S7 Jaiman and Urovi (2020)</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consent model in which ontology terms requested by a data requester are matched against the patient's consent inside the smart contract, with denial tested across requester profiles.</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Security assurance is explicitly outside its scope, and there is no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S17 Román-Martínez et al. (2023)</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blockchain-based service-oriented architecture on Hyperledger Fabric for consent management, access control, and auditing, in which FHIR purpose-of-use limits are evaluated per resource through XACML.</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There is no withdrawal or expiry path, and the experiments validate only the blockchain component.</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S21 Tith et al. (2020)</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purpose-based consent model on Hyperledger Fabric, in which a consent tuple of role, doctor identifiers, action, and intended purpose is matched against a purpose tree in chaincode at request time.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Consent is given by a single patient, the tuple has no temporal element, the effect of withdrawal is not tested, identity uses Fabric certificates without DID or VC, and there is no formal verification.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t>Req 5 is graded Yes in 8 studies, a post-revocation</w:t>
      </w:r>
      <w:r>
        <w:t xml:space="preserve"> denial is demonstrated only by (Phuyal et al. 2026b), and the four stream-5 systems that enforce time inside the decision are all single-party, with Li et al. (2026a) doing so through the credential rather than the consent.</w:t>
      </w:r>
    </w:p>
    <w:p>
      <w:pPr/>
      <w:r>
        <w:t>Table 2.9 summarises the description, the issues and limitations, and the requirement grades of the studies in this stream.</w:t>
      </w:r>
    </w:p>
    <w:p>
      <w:pPr>
        <w:keepNext/>
        <w:spacing w:before="160" w:after="160"/>
        <w:jc w:val="center"/>
      </w:pPr>
      <w:r>
        <w:rPr>
          <w:sz w:val="20"/>
        </w:rPr>
        <w:t>Table 2.9: Descriptions, issues and limitations of the studies on temporal validity and lifecycle</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S5 Eneh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EdgeConsent, a demonstration of on-chain attribute-based access control in which consent rules with purpose, data category, and notBefore and notAfter bounds are evaluated at decision time.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two-page demonstration with weak identity and authority trust and no DID or VC, no multi-party approval, a lifecycle that is only an active flag, and preliminary local evaluation without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S9 Li et al. (2026a)</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hybrid RBAC and smart contract scheme with attribute-based authentication for fine-grained EMR access in IoMT, which enforces credential expiry at every sharing interaction.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Time is enforced in the decision through the credential rather than the consent, which is why Req 5 is graded Yes, but the consent itself carries no enforced validity window, and there is no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S13 Panagoulias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simulated single-node prototype with set-membership policy and aggregate deny attribution, without multi-party approval or identity depth, and the authors declare no formal assurance.</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S18 Hema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Consent is issued from a single patient key, identity relies on a cloud authentication service without DID or VC, and assurance is limited to an adversary model.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r>
    </w:tbl>
    <w:p>
      <w:pPr/>
      <w:r/>
    </w:p>
    <w:p>
      <w:pPr>
        <w:pStyle w:val="3"/>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t>Table 2.10 summarises the description, the issues and limitations, and the requirement grades of the studies in this stream.</w:t>
      </w:r>
    </w:p>
    <w:p>
      <w:pPr>
        <w:keepNext/>
        <w:spacing w:before="160" w:after="160"/>
        <w:jc w:val="center"/>
      </w:pPr>
      <w:r>
        <w:rPr>
          <w:sz w:val="20"/>
        </w:rPr>
        <w:t>Table 2.10: Descriptions, issues and limitations of the studies on security assurance</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Study</w:t>
            </w:r>
          </w:p>
        </w:tc>
        <w:tc>
          <w:tcPr>
            <w:tcW w:type="dxa" w:w="221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Description of the study</w:t>
            </w:r>
          </w:p>
        </w:tc>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Issues/Limitations</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1</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2</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3</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4</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5</w:t>
            </w:r>
          </w:p>
        </w:tc>
        <w:tc>
          <w:tcPr>
            <w:tcW w:type="dxa" w:w="539"/>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6"/>
              </w:rPr>
            </w:r>
            <w:r>
              <w:rPr>
                <w:rFonts w:ascii="Palatino Linotype" w:hAnsi="Palatino Linotype" w:cs="Palatino Linotype"/>
                <w:b/>
                <w:color w:val="000000"/>
                <w:sz w:val="16"/>
              </w:rPr>
              <w:t>Req 6</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S8 Zhao and Su (2024)</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 threshold traceable delegation scheme in which the patient delegates a threshold of l already-authorised users, who must jointly authorise an out-of-policy requester, with unforgeability argued under DBDH.</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authorisers are consumer-side delegates rather than patient-side stakeholders, the patient's own decision is unilateral, a trusted authority escrows keys, and there is no temporal, lifecycle, or purpose condition.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S11 Maruthi and Singh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Protection of IoMT data for unconscious patients, in which t-of-n patient-designated relatives release access through threshold proxy re-encryption, and the hospital and relatives are authenticated on chain.</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Policy and temporal conditions are not evaluated, and the proofs cover the threshold gate in isolation rather than the complete decision.</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S12 Mei et al. (2026)</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An efficient dual-revocation CP-ABE scheme for IoMT that terminates access immediately through ciphertext update, motivated by consent withdrawal, with a security reduction under q-BDHE.</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proof covers a static encryption predicate, revocation operates at scheme level rather than on a consent object, and there is no multi-party approval.</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r>
        <w:trPr>
          <w:cantSplit/>
        </w:trPr>
        <w:tc>
          <w:tcPr>
            <w:tcW w:type="dxa" w:w="1020"/>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S25 Wu and Zhang (2025)</w:t>
            </w:r>
          </w:p>
        </w:tc>
        <w:tc>
          <w:tcPr>
            <w:tcW w:type="dxa" w:w="221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HealthDID, a DID-based privacy-preserving EMR sharing system with three game-based definitions and three theorems proved by reduction, in which a zero-knowledge proof binds the authorisation to a specific requester.</w:t>
            </w:r>
          </w:p>
        </w:tc>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The proofs cover only the identity and authority fragment, multi-party refers to the privacy requirements of several stakeholders rather than joint approval, and there are no policy, temporal, or lifecycle conditions.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No</w:t>
            </w:r>
          </w:p>
        </w:tc>
        <w:tc>
          <w:tcPr>
            <w:tcW w:type="dxa" w:w="539"/>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6"/>
              </w:rPr>
            </w:r>
            <w:r>
              <w:rPr>
                <w:rFonts w:ascii="Palatino Linotype" w:hAnsi="Palatino Linotype" w:cs="Palatino Linotype"/>
                <w:color w:val="000000"/>
                <w:sz w:val="16"/>
              </w:rPr>
              <w:t>Yes</w:t>
            </w:r>
          </w:p>
        </w:tc>
      </w:tr>
    </w:tbl>
    <w:p>
      <w:pPr/>
      <w:r/>
    </w:p>
    <w:p>
      <w:pPr>
        <w:pStyle w:val="3"/>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t>Table 2.11 summarises</w:t>
      </w:r>
      <w:r>
        <w:t xml:space="preserve"> the 25 studies against the six requirements, where Yes denotes that the requirement is fully satisfied and No that it is not fully satisfied. Req 6 combines review questions 6 and 7, so in that column each study takes the higher of its formal assurance grade and its empirical validation grade.</w:t>
      </w:r>
    </w:p>
    <w:p w14:paraId="40EF47DB" w14:textId="77777777" w:rsidR="009262C4" w:rsidRDefault="00000000">
      <w:pPr>
        <w:keepNext/>
        <w:spacing w:before="160" w:after="160"/>
        <w:jc w:val="center"/>
      </w:pPr>
      <w:r>
        <w:rPr>
          <w:b/>
          <w:bCs/>
          <w:sz w:val="20"/>
          <w:szCs w:val="18"/>
        </w:rPr>
        <w:t>Table 2.11:</w:t>
      </w:r>
      <w:r>
        <w:rPr>
          <w:b/>
          <w:bCs/>
          <w:sz w:val="20"/>
          <w:szCs w:val="18"/>
        </w:rPr>
        <w:t xml:space="preserve"> </w:t>
      </w:r>
      <w:r>
        <w:rPr>
          <w:sz w:val="20"/>
          <w:szCs w:val="18"/>
        </w:rPr>
        <w:t>Comparison of the included studies against the key requirements</w:t>
      </w:r>
    </w:p>
    <w:tbl>
      <w:tblPr>
        <w:tblW w:w="9128" w:type="dxa"/>
        <w:jc w:val="center"/>
        <w:tblBorders>
          <w:top w:val="single" w:sz="12" w:color="000000" w:space="0"/>
          <w:left w:val="nil"/>
          <w:bottom w:val="single" w:sz="12" w:color="000000" w:space="0"/>
          <w:right w:val="nil"/>
          <w:insideH w:val="nil"/>
          <w:insideV w:val="nil"/>
        </w:tblBorders>
        <w:tblLayout w:type="fixed"/>
        <w:tblCellMar>
          <w:left w:w="10" w:type="dxa"/>
          <w:right w:w="10" w:type="dxa"/>
        </w:tblCellMar>
        <w:tblLook w:val="0000" w:firstRow="0" w:lastRow="0" w:firstColumn="0" w:lastColumn="0" w:noHBand="0" w:noVBand="0"/>
      </w:tblPr>
      <w:tblGrid>
        <w:gridCol w:w="3402"/>
        <w:gridCol w:w="850"/>
        <w:gridCol w:w="850"/>
        <w:gridCol w:w="850"/>
        <w:gridCol w:w="850"/>
        <w:gridCol w:w="850"/>
        <w:gridCol w:w="850"/>
      </w:tblGrid>
      <w:tr w:rsidR="009262C4" w14:paraId="7BC8D64E" w14:textId="77777777">
        <w:trPr>
          <w:cantSplit/>
          <w:tblHeader/>
        </w:trPr>
        <w:tc>
          <w:tcPr>
            <w:tcW w:w="3402" w:type="dxa"/>
            <w:tcBorders>
              <w:top w:val="nil"/>
              <w:left w:val="nil"/>
              <w:bottom w:val="single" w:sz="6" w:color="000000" w:space="0"/>
              <w:right w:val="nil"/>
              <w:insideH w:val="nil"/>
              <w:insideV w:val="nil"/>
            </w:tcBorders>
            <w:tcMar>
              <w:top w:w="40" w:type="dxa"/>
              <w:left w:w="80" w:type="dxa"/>
              <w:bottom w:w="40" w:type="dxa"/>
              <w:right w:w="80" w:type="dxa"/>
            </w:tcMar>
          </w:tcPr>
          <w:p w14:paraId="36A48349" w14:textId="77777777" w:rsidR="009262C4" w:rsidRDefault="00000000">
            <w:pPr>
              <w:keepNext/>
              <w:spacing w:after="40" w:line="240" w:lineRule="auto"/>
              <w:jc w:val="left"/>
            </w:pPr>
            <w:r>
              <w:rPr>
                <w:rFonts w:ascii="Palatino Linotype" w:hAnsi="Palatino Linotype" w:cs="Palatino Linotype"/>
                <w:b/>
                <w:bCs/>
                <w:color w:val="000000"/>
                <w:sz w:val="19"/>
                <w:szCs w:val="17"/>
              </w:rPr>
              <w:t>Study</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604D627B" w14:textId="77777777" w:rsidR="009262C4" w:rsidRDefault="00000000">
            <w:pPr>
              <w:keepNext/>
              <w:spacing w:after="40" w:line="240" w:lineRule="auto"/>
              <w:jc w:val="left"/>
            </w:pPr>
            <w:r>
              <w:rPr>
                <w:rFonts w:ascii="Palatino Linotype" w:hAnsi="Palatino Linotype" w:cs="Palatino Linotype"/>
                <w:b/>
                <w:bCs/>
                <w:color w:val="000000"/>
                <w:sz w:val="19"/>
                <w:szCs w:val="17"/>
              </w:rPr>
              <w:t>Req 1</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13C7F628" w14:textId="77777777" w:rsidR="009262C4" w:rsidRDefault="00000000">
            <w:pPr>
              <w:keepNext/>
              <w:spacing w:after="40" w:line="240" w:lineRule="auto"/>
              <w:jc w:val="left"/>
            </w:pPr>
            <w:r>
              <w:rPr>
                <w:rFonts w:ascii="Palatino Linotype" w:hAnsi="Palatino Linotype" w:cs="Palatino Linotype"/>
                <w:b/>
                <w:bCs/>
                <w:color w:val="000000"/>
                <w:sz w:val="19"/>
                <w:szCs w:val="17"/>
              </w:rPr>
              <w:t>Req 2</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793B1E77" w14:textId="77777777" w:rsidR="009262C4" w:rsidRDefault="00000000">
            <w:pPr>
              <w:keepNext/>
              <w:spacing w:after="40" w:line="240" w:lineRule="auto"/>
              <w:jc w:val="left"/>
            </w:pPr>
            <w:r>
              <w:rPr>
                <w:rFonts w:ascii="Palatino Linotype" w:hAnsi="Palatino Linotype" w:cs="Palatino Linotype"/>
                <w:b/>
                <w:bCs/>
                <w:color w:val="000000"/>
                <w:sz w:val="19"/>
                <w:szCs w:val="17"/>
              </w:rPr>
              <w:t>Req 3</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6C0CB570" w14:textId="77777777" w:rsidR="009262C4" w:rsidRDefault="00000000">
            <w:pPr>
              <w:keepNext/>
              <w:spacing w:after="40" w:line="240" w:lineRule="auto"/>
              <w:jc w:val="left"/>
            </w:pPr>
            <w:r>
              <w:rPr>
                <w:rFonts w:ascii="Palatino Linotype" w:hAnsi="Palatino Linotype" w:cs="Palatino Linotype"/>
                <w:b/>
                <w:bCs/>
                <w:color w:val="000000"/>
                <w:sz w:val="19"/>
                <w:szCs w:val="17"/>
              </w:rPr>
              <w:t>Req 4</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3E996D6B" w14:textId="77777777" w:rsidR="009262C4" w:rsidRDefault="00000000">
            <w:pPr>
              <w:keepNext/>
              <w:spacing w:after="40" w:line="240" w:lineRule="auto"/>
              <w:jc w:val="left"/>
            </w:pPr>
            <w:r>
              <w:rPr>
                <w:rFonts w:ascii="Palatino Linotype" w:hAnsi="Palatino Linotype" w:cs="Palatino Linotype"/>
                <w:b/>
                <w:bCs/>
                <w:color w:val="000000"/>
                <w:sz w:val="19"/>
                <w:szCs w:val="17"/>
              </w:rPr>
              <w:t>Req 5</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tcPr>
          <w:p w14:paraId="1F0772B9" w14:textId="77777777" w:rsidR="009262C4" w:rsidRDefault="00000000">
            <w:pPr>
              <w:keepNext/>
              <w:spacing w:after="40" w:line="240" w:lineRule="auto"/>
              <w:jc w:val="left"/>
            </w:pPr>
            <w:r>
              <w:rPr>
                <w:rFonts w:ascii="Palatino Linotype" w:hAnsi="Palatino Linotype" w:cs="Palatino Linotype"/>
                <w:b/>
                <w:bCs/>
                <w:color w:val="000000"/>
                <w:sz w:val="19"/>
                <w:szCs w:val="17"/>
              </w:rPr>
              <w:t>Req 6</w:t>
            </w:r>
          </w:p>
        </w:tc>
      </w:tr>
      <w:tr w:rsidR="009262C4" w14:paraId="1198B3A7"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2D269E4" w14:textId="77777777" w:rsidR="009262C4" w:rsidRDefault="00000000">
            <w:pPr>
              <w:spacing w:after="40" w:line="240" w:lineRule="auto"/>
              <w:jc w:val="left"/>
            </w:pPr>
            <w:r>
              <w:rPr>
                <w:rFonts w:ascii="Palatino Linotype" w:hAnsi="Palatino Linotype" w:cs="Palatino Linotype"/>
                <w:color w:val="000000"/>
                <w:sz w:val="19"/>
                <w:szCs w:val="17"/>
              </w:rPr>
              <w:t>S1 Abbasi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3D353DE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E9473E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02E319D"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7323AA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D0245F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B41AD0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2E0525FB"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A30BEAC" w14:textId="77777777" w:rsidR="009262C4" w:rsidRDefault="00000000">
            <w:pPr>
              <w:spacing w:after="40" w:line="240" w:lineRule="auto"/>
              <w:jc w:val="left"/>
            </w:pPr>
            <w:r>
              <w:rPr>
                <w:rFonts w:ascii="Palatino Linotype" w:hAnsi="Palatino Linotype" w:cs="Palatino Linotype"/>
                <w:color w:val="000000"/>
                <w:sz w:val="19"/>
                <w:szCs w:val="17"/>
              </w:rPr>
              <w:t xml:space="preserve">S2 Albalwy et al. (2021)</w:t>
            </w:r>
          </w:p>
        </w:tc>
        <w:tc>
          <w:tcPr>
            <w:tcW w:w="850" w:type="dxa"/>
            <w:tcBorders>
              <w:top w:val="nil"/>
              <w:left w:val="nil"/>
              <w:bottom w:val="nil"/>
              <w:right w:val="nil"/>
              <w:insideH w:val="nil"/>
              <w:insideV w:val="nil"/>
            </w:tcBorders>
            <w:tcMar>
              <w:top w:w="40" w:type="dxa"/>
              <w:left w:w="80" w:type="dxa"/>
              <w:bottom w:w="40" w:type="dxa"/>
              <w:right w:w="80" w:type="dxa"/>
            </w:tcMar>
          </w:tcPr>
          <w:p w14:paraId="2B0F9E62"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13BDD8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AE92A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43C1DB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14D505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E102FC3"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38873140"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168ED55E" w14:textId="77777777" w:rsidR="009262C4" w:rsidRDefault="00000000">
            <w:pPr>
              <w:spacing w:after="40" w:line="240" w:lineRule="auto"/>
              <w:jc w:val="left"/>
            </w:pPr>
            <w:r>
              <w:rPr>
                <w:rFonts w:ascii="Palatino Linotype" w:hAnsi="Palatino Linotype" w:cs="Palatino Linotype"/>
                <w:color w:val="000000"/>
                <w:sz w:val="19"/>
                <w:szCs w:val="17"/>
              </w:rPr>
              <w:t>S3 Al Amin et al. (2023)</w:t>
            </w:r>
          </w:p>
        </w:tc>
        <w:tc>
          <w:tcPr>
            <w:tcW w:w="850" w:type="dxa"/>
            <w:tcBorders>
              <w:top w:val="nil"/>
              <w:left w:val="nil"/>
              <w:bottom w:val="nil"/>
              <w:right w:val="nil"/>
              <w:insideH w:val="nil"/>
              <w:insideV w:val="nil"/>
            </w:tcBorders>
            <w:tcMar>
              <w:top w:w="40" w:type="dxa"/>
              <w:left w:w="80" w:type="dxa"/>
              <w:bottom w:w="40" w:type="dxa"/>
              <w:right w:w="80" w:type="dxa"/>
            </w:tcMar>
          </w:tcPr>
          <w:p w14:paraId="009C400F"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55228D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BF4713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BA8B63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263250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090A7E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CFEF1BA"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5794249" w14:textId="77777777" w:rsidR="009262C4" w:rsidRDefault="00000000">
            <w:pPr>
              <w:spacing w:after="40" w:line="240" w:lineRule="auto"/>
              <w:jc w:val="left"/>
            </w:pPr>
            <w:r>
              <w:rPr>
                <w:rFonts w:ascii="Palatino Linotype" w:hAnsi="Palatino Linotype" w:cs="Palatino Linotype"/>
                <w:color w:val="000000"/>
                <w:sz w:val="19"/>
                <w:szCs w:val="17"/>
              </w:rPr>
              <w:t>S4 Ekholm et al. (2025)</w:t>
            </w:r>
          </w:p>
        </w:tc>
        <w:tc>
          <w:tcPr>
            <w:tcW w:w="850" w:type="dxa"/>
            <w:tcBorders>
              <w:top w:val="nil"/>
              <w:left w:val="nil"/>
              <w:bottom w:val="nil"/>
              <w:right w:val="nil"/>
              <w:insideH w:val="nil"/>
              <w:insideV w:val="nil"/>
            </w:tcBorders>
            <w:tcMar>
              <w:top w:w="40" w:type="dxa"/>
              <w:left w:w="80" w:type="dxa"/>
              <w:bottom w:w="40" w:type="dxa"/>
              <w:right w:w="80" w:type="dxa"/>
            </w:tcMar>
          </w:tcPr>
          <w:p w14:paraId="07F0C2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A6D71CF"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3B3F56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9DA5D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933F70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999D14A"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33BC8B0"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B8C5159" w14:textId="77777777" w:rsidR="009262C4" w:rsidRDefault="00000000">
            <w:pPr>
              <w:spacing w:after="40" w:line="240" w:lineRule="auto"/>
              <w:jc w:val="left"/>
            </w:pPr>
            <w:r>
              <w:rPr>
                <w:rFonts w:ascii="Palatino Linotype" w:hAnsi="Palatino Linotype" w:cs="Palatino Linotype"/>
                <w:color w:val="000000"/>
                <w:sz w:val="19"/>
                <w:szCs w:val="17"/>
              </w:rPr>
              <w:t>S5 Eneh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0119A8F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072BE5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CFD614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F88E8C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25634C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0331867"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54CCACD"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78ED44A" w14:textId="77777777" w:rsidR="009262C4" w:rsidRDefault="00000000">
            <w:pPr>
              <w:spacing w:after="40" w:line="240" w:lineRule="auto"/>
              <w:jc w:val="left"/>
            </w:pPr>
            <w:r>
              <w:rPr>
                <w:rFonts w:ascii="Palatino Linotype" w:hAnsi="Palatino Linotype" w:cs="Palatino Linotype"/>
                <w:color w:val="000000"/>
                <w:sz w:val="19"/>
                <w:szCs w:val="17"/>
              </w:rPr>
              <w:t>S6 Hagström et al. (2024)</w:t>
            </w:r>
          </w:p>
        </w:tc>
        <w:tc>
          <w:tcPr>
            <w:tcW w:w="850" w:type="dxa"/>
            <w:tcBorders>
              <w:top w:val="nil"/>
              <w:left w:val="nil"/>
              <w:bottom w:val="nil"/>
              <w:right w:val="nil"/>
              <w:insideH w:val="nil"/>
              <w:insideV w:val="nil"/>
            </w:tcBorders>
            <w:tcMar>
              <w:top w:w="40" w:type="dxa"/>
              <w:left w:w="80" w:type="dxa"/>
              <w:bottom w:w="40" w:type="dxa"/>
              <w:right w:w="80" w:type="dxa"/>
            </w:tcMar>
          </w:tcPr>
          <w:p w14:paraId="6D7306A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0D22FF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A87231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D594B9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5B6E3B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4499101"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5437E801"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E0CE2A1" w14:textId="77777777" w:rsidR="009262C4" w:rsidRDefault="00000000">
            <w:pPr>
              <w:spacing w:after="40" w:line="240" w:lineRule="auto"/>
              <w:jc w:val="left"/>
            </w:pPr>
            <w:r>
              <w:rPr>
                <w:rFonts w:ascii="Palatino Linotype" w:hAnsi="Palatino Linotype" w:cs="Palatino Linotype"/>
                <w:color w:val="000000"/>
                <w:sz w:val="19"/>
                <w:szCs w:val="17"/>
              </w:rPr>
              <w:t xml:space="preserve">S7 Jaiman and Urovi (2020)</w:t>
            </w:r>
          </w:p>
        </w:tc>
        <w:tc>
          <w:tcPr>
            <w:tcW w:w="850" w:type="dxa"/>
            <w:tcBorders>
              <w:top w:val="nil"/>
              <w:left w:val="nil"/>
              <w:bottom w:val="nil"/>
              <w:right w:val="nil"/>
              <w:insideH w:val="nil"/>
              <w:insideV w:val="nil"/>
            </w:tcBorders>
            <w:tcMar>
              <w:top w:w="40" w:type="dxa"/>
              <w:left w:w="80" w:type="dxa"/>
              <w:bottom w:w="40" w:type="dxa"/>
              <w:right w:w="80" w:type="dxa"/>
            </w:tcMar>
          </w:tcPr>
          <w:p w14:paraId="3F5F114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D25D17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EE2914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4ED68EE"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2DF353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8099F7A"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0BDCE4B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7FCC62A6" w14:textId="77777777" w:rsidR="009262C4" w:rsidRDefault="00000000">
            <w:pPr>
              <w:spacing w:after="40" w:line="240" w:lineRule="auto"/>
              <w:jc w:val="left"/>
            </w:pPr>
            <w:r>
              <w:rPr>
                <w:rFonts w:ascii="Palatino Linotype" w:hAnsi="Palatino Linotype" w:cs="Palatino Linotype"/>
                <w:color w:val="000000"/>
                <w:sz w:val="19"/>
                <w:szCs w:val="17"/>
              </w:rPr>
              <w:t>S8 Zhao and Su (2024)</w:t>
            </w:r>
          </w:p>
        </w:tc>
        <w:tc>
          <w:tcPr>
            <w:tcW w:w="850" w:type="dxa"/>
            <w:tcBorders>
              <w:top w:val="nil"/>
              <w:left w:val="nil"/>
              <w:bottom w:val="nil"/>
              <w:right w:val="nil"/>
              <w:insideH w:val="nil"/>
              <w:insideV w:val="nil"/>
            </w:tcBorders>
            <w:tcMar>
              <w:top w:w="40" w:type="dxa"/>
              <w:left w:w="80" w:type="dxa"/>
              <w:bottom w:w="40" w:type="dxa"/>
              <w:right w:w="80" w:type="dxa"/>
            </w:tcMar>
          </w:tcPr>
          <w:p w14:paraId="5EF176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06BA52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CACBC1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9B7907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22D4F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F41D6DF"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005AA4C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43FAADB" w14:textId="77777777" w:rsidR="009262C4" w:rsidRDefault="00000000">
            <w:pPr>
              <w:spacing w:after="40" w:line="240" w:lineRule="auto"/>
              <w:jc w:val="left"/>
            </w:pPr>
            <w:r>
              <w:rPr>
                <w:rFonts w:ascii="Palatino Linotype" w:hAnsi="Palatino Linotype" w:cs="Palatino Linotype"/>
                <w:color w:val="000000"/>
                <w:sz w:val="19"/>
                <w:szCs w:val="17"/>
              </w:rPr>
              <w:t>S9 Li et al. (2026a)</w:t>
            </w:r>
          </w:p>
        </w:tc>
        <w:tc>
          <w:tcPr>
            <w:tcW w:w="850" w:type="dxa"/>
            <w:tcBorders>
              <w:top w:val="nil"/>
              <w:left w:val="nil"/>
              <w:bottom w:val="nil"/>
              <w:right w:val="nil"/>
              <w:insideH w:val="nil"/>
              <w:insideV w:val="nil"/>
            </w:tcBorders>
            <w:tcMar>
              <w:top w:w="40" w:type="dxa"/>
              <w:left w:w="80" w:type="dxa"/>
              <w:bottom w:w="40" w:type="dxa"/>
              <w:right w:w="80" w:type="dxa"/>
            </w:tcMar>
          </w:tcPr>
          <w:p w14:paraId="098A73FF"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F90A85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B97265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A6A07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365B17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F552433"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ED5A622"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0711215" w14:textId="77777777" w:rsidR="009262C4" w:rsidRDefault="00000000">
            <w:pPr>
              <w:spacing w:after="40" w:line="240" w:lineRule="auto"/>
              <w:jc w:val="left"/>
            </w:pPr>
            <w:r>
              <w:rPr>
                <w:rFonts w:ascii="Palatino Linotype" w:hAnsi="Palatino Linotype" w:cs="Palatino Linotype"/>
                <w:color w:val="000000"/>
                <w:sz w:val="19"/>
                <w:szCs w:val="17"/>
              </w:rPr>
              <w:t>S10 Madine et al. (2020)</w:t>
            </w:r>
          </w:p>
        </w:tc>
        <w:tc>
          <w:tcPr>
            <w:tcW w:w="850" w:type="dxa"/>
            <w:tcBorders>
              <w:top w:val="nil"/>
              <w:left w:val="nil"/>
              <w:bottom w:val="nil"/>
              <w:right w:val="nil"/>
              <w:insideH w:val="nil"/>
              <w:insideV w:val="nil"/>
            </w:tcBorders>
            <w:tcMar>
              <w:top w:w="40" w:type="dxa"/>
              <w:left w:w="80" w:type="dxa"/>
              <w:bottom w:w="40" w:type="dxa"/>
              <w:right w:w="80" w:type="dxa"/>
            </w:tcMar>
          </w:tcPr>
          <w:p w14:paraId="7CCF7FA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F61119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9ECCBA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C4DEB4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4472D2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99BF368"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32FA4AE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45535FE3" w14:textId="77777777" w:rsidR="009262C4" w:rsidRDefault="00000000">
            <w:pPr>
              <w:spacing w:after="40" w:line="240" w:lineRule="auto"/>
              <w:jc w:val="left"/>
            </w:pPr>
            <w:r>
              <w:rPr>
                <w:rFonts w:ascii="Palatino Linotype" w:hAnsi="Palatino Linotype" w:cs="Palatino Linotype"/>
                <w:color w:val="000000"/>
                <w:sz w:val="19"/>
                <w:szCs w:val="17"/>
              </w:rPr>
              <w:t>S11 Maruthi and Singh (2025)</w:t>
            </w:r>
          </w:p>
        </w:tc>
        <w:tc>
          <w:tcPr>
            <w:tcW w:w="850" w:type="dxa"/>
            <w:tcBorders>
              <w:top w:val="nil"/>
              <w:left w:val="nil"/>
              <w:bottom w:val="nil"/>
              <w:right w:val="nil"/>
              <w:insideH w:val="nil"/>
              <w:insideV w:val="nil"/>
            </w:tcBorders>
            <w:tcMar>
              <w:top w:w="40" w:type="dxa"/>
              <w:left w:w="80" w:type="dxa"/>
              <w:bottom w:w="40" w:type="dxa"/>
              <w:right w:w="80" w:type="dxa"/>
            </w:tcMar>
          </w:tcPr>
          <w:p w14:paraId="2A9252C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A7E181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26F4A5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2834AC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1D8EB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9DA9E5D"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2848767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47182FB9" w14:textId="77777777" w:rsidR="009262C4" w:rsidRDefault="00000000">
            <w:pPr>
              <w:spacing w:after="40" w:line="240" w:lineRule="auto"/>
              <w:jc w:val="left"/>
            </w:pPr>
            <w:r>
              <w:rPr>
                <w:rFonts w:ascii="Palatino Linotype" w:hAnsi="Palatino Linotype" w:cs="Palatino Linotype"/>
                <w:color w:val="000000"/>
                <w:sz w:val="19"/>
                <w:szCs w:val="17"/>
              </w:rPr>
              <w:t>S12 Mei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05EBA1B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BA7338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870CAA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A1AAE1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C94E718"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772558A"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6B6FB79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7EF552D9" w14:textId="77777777" w:rsidR="009262C4" w:rsidRDefault="00000000">
            <w:pPr>
              <w:spacing w:after="40" w:line="240" w:lineRule="auto"/>
              <w:jc w:val="left"/>
            </w:pPr>
            <w:r>
              <w:rPr>
                <w:rFonts w:ascii="Palatino Linotype" w:hAnsi="Palatino Linotype" w:cs="Palatino Linotype"/>
                <w:color w:val="000000"/>
                <w:sz w:val="19"/>
                <w:szCs w:val="17"/>
              </w:rPr>
              <w:t>S13 Panagoulias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247841B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47D350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2687F4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DE7749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370049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B6C0E5C"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30EE1003"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7E3D3DC" w14:textId="77777777" w:rsidR="009262C4" w:rsidRDefault="00000000">
            <w:pPr>
              <w:spacing w:after="40" w:line="240" w:lineRule="auto"/>
              <w:jc w:val="left"/>
            </w:pPr>
            <w:r>
              <w:rPr>
                <w:rFonts w:ascii="Palatino Linotype" w:hAnsi="Palatino Linotype" w:cs="Palatino Linotype"/>
                <w:color w:val="000000"/>
                <w:sz w:val="19"/>
                <w:szCs w:val="17"/>
              </w:rPr>
              <w:t>S14 Phuyal et al. (2026b)</w:t>
            </w:r>
          </w:p>
        </w:tc>
        <w:tc>
          <w:tcPr>
            <w:tcW w:w="850" w:type="dxa"/>
            <w:tcBorders>
              <w:top w:val="nil"/>
              <w:left w:val="nil"/>
              <w:bottom w:val="nil"/>
              <w:right w:val="nil"/>
              <w:insideH w:val="nil"/>
              <w:insideV w:val="nil"/>
            </w:tcBorders>
            <w:tcMar>
              <w:top w:w="40" w:type="dxa"/>
              <w:left w:w="80" w:type="dxa"/>
              <w:bottom w:w="40" w:type="dxa"/>
              <w:right w:w="80" w:type="dxa"/>
            </w:tcMar>
          </w:tcPr>
          <w:p w14:paraId="3A435FE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5C24D7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A22014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597EC1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0490C6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D6D3099" w14:textId="77777777" w:rsidR="009262C4" w:rsidRDefault="00000000">
            <w:pPr>
              <w:spacing w:after="40" w:line="240" w:lineRule="auto"/>
              <w:jc w:val="left"/>
            </w:pPr>
            <w:r>
              <w:rPr>
                <w:rFonts w:ascii="Palatino Linotype" w:hAnsi="Palatino Linotype" w:cs="Palatino Linotype"/>
                <w:color w:val="000000"/>
                <w:sz w:val="19"/>
                <w:szCs w:val="17"/>
              </w:rPr>
              <w:t>Yes</w:t>
            </w:r>
          </w:p>
        </w:tc>
      </w:tr>
      <w:tr w:rsidR="009262C4" w14:paraId="6BDE0A2F"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37E90E4D" w14:textId="77777777" w:rsidR="009262C4" w:rsidRDefault="00000000">
            <w:pPr>
              <w:spacing w:after="40" w:line="240" w:lineRule="auto"/>
              <w:jc w:val="left"/>
            </w:pPr>
            <w:r>
              <w:rPr>
                <w:rFonts w:ascii="Palatino Linotype" w:hAnsi="Palatino Linotype" w:cs="Palatino Linotype"/>
                <w:color w:val="000000"/>
                <w:sz w:val="19"/>
                <w:szCs w:val="17"/>
              </w:rPr>
              <w:t>S15 Phuyal et al. (2026a)</w:t>
            </w:r>
          </w:p>
        </w:tc>
        <w:tc>
          <w:tcPr>
            <w:tcW w:w="850" w:type="dxa"/>
            <w:tcBorders>
              <w:top w:val="nil"/>
              <w:left w:val="nil"/>
              <w:bottom w:val="nil"/>
              <w:right w:val="nil"/>
              <w:insideH w:val="nil"/>
              <w:insideV w:val="nil"/>
            </w:tcBorders>
            <w:tcMar>
              <w:top w:w="40" w:type="dxa"/>
              <w:left w:w="80" w:type="dxa"/>
              <w:bottom w:w="40" w:type="dxa"/>
              <w:right w:w="80" w:type="dxa"/>
            </w:tcMar>
          </w:tcPr>
          <w:p w14:paraId="02D6696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966E8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41C2B2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7AF975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64D8BDE"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7FBA461"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1EADAE9B"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40398AF6" w14:textId="77777777" w:rsidR="009262C4" w:rsidRDefault="00000000">
            <w:pPr>
              <w:spacing w:after="40" w:line="240" w:lineRule="auto"/>
              <w:jc w:val="left"/>
            </w:pPr>
            <w:r>
              <w:rPr>
                <w:rFonts w:ascii="Palatino Linotype" w:hAnsi="Palatino Linotype" w:cs="Palatino Linotype"/>
                <w:color w:val="000000"/>
                <w:sz w:val="19"/>
                <w:szCs w:val="17"/>
              </w:rPr>
              <w:t>S16 Punia et al. (2025)</w:t>
            </w:r>
          </w:p>
        </w:tc>
        <w:tc>
          <w:tcPr>
            <w:tcW w:w="850" w:type="dxa"/>
            <w:tcBorders>
              <w:top w:val="nil"/>
              <w:left w:val="nil"/>
              <w:bottom w:val="nil"/>
              <w:right w:val="nil"/>
              <w:insideH w:val="nil"/>
              <w:insideV w:val="nil"/>
            </w:tcBorders>
            <w:tcMar>
              <w:top w:w="40" w:type="dxa"/>
              <w:left w:w="80" w:type="dxa"/>
              <w:bottom w:w="40" w:type="dxa"/>
              <w:right w:w="80" w:type="dxa"/>
            </w:tcMar>
          </w:tcPr>
          <w:p w14:paraId="7A94C9C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90D729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3F10302"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00D57DD"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AF0A7F3"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7D682057"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436A2F1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081033AC" w14:textId="77777777" w:rsidR="009262C4" w:rsidRDefault="00000000">
            <w:pPr>
              <w:spacing w:after="40" w:line="240" w:lineRule="auto"/>
              <w:jc w:val="left"/>
            </w:pPr>
            <w:r>
              <w:rPr>
                <w:rFonts w:ascii="Palatino Linotype" w:hAnsi="Palatino Linotype" w:cs="Palatino Linotype"/>
                <w:color w:val="000000"/>
                <w:sz w:val="19"/>
                <w:szCs w:val="17"/>
              </w:rPr>
              <w:t>S17 Román-Martínez et al. (2023)</w:t>
            </w:r>
          </w:p>
        </w:tc>
        <w:tc>
          <w:tcPr>
            <w:tcW w:w="850" w:type="dxa"/>
            <w:tcBorders>
              <w:top w:val="nil"/>
              <w:left w:val="nil"/>
              <w:bottom w:val="nil"/>
              <w:right w:val="nil"/>
              <w:insideH w:val="nil"/>
              <w:insideV w:val="nil"/>
            </w:tcBorders>
            <w:tcMar>
              <w:top w:w="40" w:type="dxa"/>
              <w:left w:w="80" w:type="dxa"/>
              <w:bottom w:w="40" w:type="dxa"/>
              <w:right w:w="80" w:type="dxa"/>
            </w:tcMar>
          </w:tcPr>
          <w:p w14:paraId="709B0C46"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0732BB8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50619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6BC9EE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D28842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66247D2"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2EB5DA8"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5B9E2D9F" w14:textId="77777777" w:rsidR="009262C4" w:rsidRDefault="00000000">
            <w:pPr>
              <w:spacing w:after="40" w:line="240" w:lineRule="auto"/>
              <w:jc w:val="left"/>
            </w:pPr>
            <w:r>
              <w:rPr>
                <w:rFonts w:ascii="Palatino Linotype" w:hAnsi="Palatino Linotype" w:cs="Palatino Linotype"/>
                <w:color w:val="000000"/>
                <w:sz w:val="19"/>
                <w:szCs w:val="17"/>
              </w:rPr>
              <w:t>S18 Hema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5E490E8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33BFC5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F18463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149E21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4A73D58A"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8D3DDA8"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B04A2AC"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A74D7E4" w14:textId="77777777" w:rsidR="009262C4" w:rsidRDefault="00000000">
            <w:pPr>
              <w:spacing w:after="40" w:line="240" w:lineRule="auto"/>
              <w:jc w:val="left"/>
            </w:pPr>
            <w:r>
              <w:rPr>
                <w:rFonts w:ascii="Palatino Linotype" w:hAnsi="Palatino Linotype" w:cs="Palatino Linotype"/>
                <w:color w:val="000000"/>
                <w:sz w:val="19"/>
                <w:szCs w:val="17"/>
              </w:rPr>
              <w:t>S19 SooHoo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5F8B01D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2D2A84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68E08A8"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61EEC15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F7B015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CEE3F71"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1B995D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BE18B69" w14:textId="77777777" w:rsidR="009262C4" w:rsidRDefault="00000000">
            <w:pPr>
              <w:spacing w:after="40" w:line="240" w:lineRule="auto"/>
              <w:jc w:val="left"/>
            </w:pPr>
            <w:r>
              <w:rPr>
                <w:rFonts w:ascii="Palatino Linotype" w:hAnsi="Palatino Linotype" w:cs="Palatino Linotype"/>
                <w:color w:val="000000"/>
                <w:sz w:val="19"/>
                <w:szCs w:val="17"/>
              </w:rPr>
              <w:t>S20 Tan et al. (2024)</w:t>
            </w:r>
          </w:p>
        </w:tc>
        <w:tc>
          <w:tcPr>
            <w:tcW w:w="850" w:type="dxa"/>
            <w:tcBorders>
              <w:top w:val="nil"/>
              <w:left w:val="nil"/>
              <w:bottom w:val="nil"/>
              <w:right w:val="nil"/>
              <w:insideH w:val="nil"/>
              <w:insideV w:val="nil"/>
            </w:tcBorders>
            <w:tcMar>
              <w:top w:w="40" w:type="dxa"/>
              <w:left w:w="80" w:type="dxa"/>
              <w:bottom w:w="40" w:type="dxa"/>
              <w:right w:w="80" w:type="dxa"/>
            </w:tcMar>
          </w:tcPr>
          <w:p w14:paraId="06ADF66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AD30DFB"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DCC4F5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520CB1C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C0D95E2"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03BD079"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5A0D7B05"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57B61173" w14:textId="77777777" w:rsidR="009262C4" w:rsidRDefault="00000000">
            <w:pPr>
              <w:spacing w:after="40" w:line="240" w:lineRule="auto"/>
              <w:jc w:val="left"/>
            </w:pPr>
            <w:r>
              <w:rPr>
                <w:rFonts w:ascii="Palatino Linotype" w:hAnsi="Palatino Linotype" w:cs="Palatino Linotype"/>
                <w:color w:val="000000"/>
                <w:sz w:val="19"/>
                <w:szCs w:val="17"/>
              </w:rPr>
              <w:t>S21 Tith et al. (2020)</w:t>
            </w:r>
          </w:p>
        </w:tc>
        <w:tc>
          <w:tcPr>
            <w:tcW w:w="850" w:type="dxa"/>
            <w:tcBorders>
              <w:top w:val="nil"/>
              <w:left w:val="nil"/>
              <w:bottom w:val="nil"/>
              <w:right w:val="nil"/>
              <w:insideH w:val="nil"/>
              <w:insideV w:val="nil"/>
            </w:tcBorders>
            <w:tcMar>
              <w:top w:w="40" w:type="dxa"/>
              <w:left w:w="80" w:type="dxa"/>
              <w:bottom w:w="40" w:type="dxa"/>
              <w:right w:w="80" w:type="dxa"/>
            </w:tcMar>
          </w:tcPr>
          <w:p w14:paraId="7EC8596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71A51C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7BF3FD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F00F611"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2ECD7C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31F7D0F"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B457C76"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52354F19" w14:textId="77777777" w:rsidR="009262C4" w:rsidRDefault="00000000">
            <w:pPr>
              <w:spacing w:after="40" w:line="240" w:lineRule="auto"/>
              <w:jc w:val="left"/>
            </w:pPr>
            <w:r>
              <w:rPr>
                <w:rFonts w:ascii="Palatino Linotype" w:hAnsi="Palatino Linotype" w:cs="Palatino Linotype"/>
                <w:color w:val="000000"/>
                <w:sz w:val="19"/>
                <w:szCs w:val="17"/>
              </w:rPr>
              <w:t>S22 Tremper et al. (2026)</w:t>
            </w:r>
          </w:p>
        </w:tc>
        <w:tc>
          <w:tcPr>
            <w:tcW w:w="850" w:type="dxa"/>
            <w:tcBorders>
              <w:top w:val="nil"/>
              <w:left w:val="nil"/>
              <w:bottom w:val="nil"/>
              <w:right w:val="nil"/>
              <w:insideH w:val="nil"/>
              <w:insideV w:val="nil"/>
            </w:tcBorders>
            <w:tcMar>
              <w:top w:w="40" w:type="dxa"/>
              <w:left w:w="80" w:type="dxa"/>
              <w:bottom w:w="40" w:type="dxa"/>
              <w:right w:w="80" w:type="dxa"/>
            </w:tcMar>
          </w:tcPr>
          <w:p w14:paraId="62285B9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14E336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015D851"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1189197"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961290"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530DCE"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6F2BEA30"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63C4B8F8" w14:textId="77777777" w:rsidR="009262C4" w:rsidRDefault="00000000">
            <w:pPr>
              <w:spacing w:after="40" w:line="240" w:lineRule="auto"/>
              <w:jc w:val="left"/>
            </w:pPr>
            <w:r>
              <w:rPr>
                <w:rFonts w:ascii="Palatino Linotype" w:hAnsi="Palatino Linotype" w:cs="Palatino Linotype"/>
                <w:color w:val="000000"/>
                <w:sz w:val="19"/>
                <w:szCs w:val="17"/>
              </w:rPr>
              <w:t>S23 Tseng et al. (2025)</w:t>
            </w:r>
          </w:p>
        </w:tc>
        <w:tc>
          <w:tcPr>
            <w:tcW w:w="850" w:type="dxa"/>
            <w:tcBorders>
              <w:top w:val="nil"/>
              <w:left w:val="nil"/>
              <w:bottom w:val="nil"/>
              <w:right w:val="nil"/>
              <w:insideH w:val="nil"/>
              <w:insideV w:val="nil"/>
            </w:tcBorders>
            <w:tcMar>
              <w:top w:w="40" w:type="dxa"/>
              <w:left w:w="80" w:type="dxa"/>
              <w:bottom w:w="40" w:type="dxa"/>
              <w:right w:w="80" w:type="dxa"/>
            </w:tcMar>
          </w:tcPr>
          <w:p w14:paraId="0CF8F6E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462502F0"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14EE972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02A084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78BE2A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1C832B96"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166EB1DF"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02C42555" w14:textId="77777777" w:rsidR="009262C4" w:rsidRDefault="00000000">
            <w:pPr>
              <w:spacing w:after="40" w:line="240" w:lineRule="auto"/>
              <w:jc w:val="left"/>
            </w:pPr>
            <w:r>
              <w:rPr>
                <w:rFonts w:ascii="Palatino Linotype" w:hAnsi="Palatino Linotype" w:cs="Palatino Linotype"/>
                <w:color w:val="000000"/>
                <w:sz w:val="19"/>
                <w:szCs w:val="17"/>
              </w:rPr>
              <w:t>S24 Wu et al. (2022)</w:t>
            </w:r>
          </w:p>
        </w:tc>
        <w:tc>
          <w:tcPr>
            <w:tcW w:w="850" w:type="dxa"/>
            <w:tcBorders>
              <w:top w:val="nil"/>
              <w:left w:val="nil"/>
              <w:bottom w:val="nil"/>
              <w:right w:val="nil"/>
              <w:insideH w:val="nil"/>
              <w:insideV w:val="nil"/>
            </w:tcBorders>
            <w:tcMar>
              <w:top w:w="40" w:type="dxa"/>
              <w:left w:w="80" w:type="dxa"/>
              <w:bottom w:w="40" w:type="dxa"/>
              <w:right w:w="80" w:type="dxa"/>
            </w:tcMar>
          </w:tcPr>
          <w:p w14:paraId="39D8E4F4"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50D42B86"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6969E13"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0B3B3C69"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A89453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7F3103E0" w14:textId="77777777" w:rsidR="009262C4" w:rsidRDefault="00000000">
            <w:pPr>
              <w:spacing w:after="40" w:line="240" w:lineRule="auto"/>
              <w:jc w:val="left"/>
            </w:pPr>
            <w:r>
              <w:rPr>
                <w:rFonts w:ascii="Palatino Linotype" w:hAnsi="Palatino Linotype" w:cs="Palatino Linotype"/>
                <w:color w:val="000000"/>
                <w:sz w:val="19"/>
                <w:szCs w:val="17"/>
              </w:rPr>
              <w:t>No</w:t>
            </w:r>
          </w:p>
        </w:tc>
      </w:tr>
      <w:tr w:rsidR="009262C4" w14:paraId="75A90F3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tcPr>
          <w:p w14:paraId="2FAA777A" w14:textId="77777777" w:rsidR="009262C4" w:rsidRDefault="00000000">
            <w:pPr>
              <w:spacing w:after="40" w:line="240" w:lineRule="auto"/>
              <w:jc w:val="left"/>
            </w:pPr>
            <w:r>
              <w:rPr>
                <w:rFonts w:ascii="Palatino Linotype" w:hAnsi="Palatino Linotype" w:cs="Palatino Linotype"/>
                <w:color w:val="000000"/>
                <w:sz w:val="19"/>
                <w:szCs w:val="17"/>
              </w:rPr>
              <w:t>S25 Wu and Zhang (2025)</w:t>
            </w:r>
          </w:p>
        </w:tc>
        <w:tc>
          <w:tcPr>
            <w:tcW w:w="850" w:type="dxa"/>
            <w:tcBorders>
              <w:top w:val="nil"/>
              <w:left w:val="nil"/>
              <w:bottom w:val="nil"/>
              <w:right w:val="nil"/>
              <w:insideH w:val="nil"/>
              <w:insideV w:val="nil"/>
            </w:tcBorders>
            <w:tcMar>
              <w:top w:w="40" w:type="dxa"/>
              <w:left w:w="80" w:type="dxa"/>
              <w:bottom w:w="40" w:type="dxa"/>
              <w:right w:w="80" w:type="dxa"/>
            </w:tcMar>
          </w:tcPr>
          <w:p w14:paraId="39B65764"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23436987" w14:textId="77777777" w:rsidR="009262C4" w:rsidRDefault="00000000">
            <w:pPr>
              <w:spacing w:after="40" w:line="240" w:lineRule="auto"/>
              <w:jc w:val="left"/>
            </w:pPr>
            <w:r>
              <w:rPr>
                <w:rFonts w:ascii="Palatino Linotype" w:hAnsi="Palatino Linotype" w:cs="Palatino Linotype"/>
                <w:color w:val="000000"/>
                <w:sz w:val="19"/>
                <w:szCs w:val="17"/>
              </w:rPr>
              <w:t>Yes</w:t>
            </w:r>
          </w:p>
        </w:tc>
        <w:tc>
          <w:tcPr>
            <w:tcW w:w="850" w:type="dxa"/>
            <w:tcBorders>
              <w:top w:val="nil"/>
              <w:left w:val="nil"/>
              <w:bottom w:val="nil"/>
              <w:right w:val="nil"/>
              <w:insideH w:val="nil"/>
              <w:insideV w:val="nil"/>
            </w:tcBorders>
            <w:tcMar>
              <w:top w:w="40" w:type="dxa"/>
              <w:left w:w="80" w:type="dxa"/>
              <w:bottom w:w="40" w:type="dxa"/>
              <w:right w:w="80" w:type="dxa"/>
            </w:tcMar>
          </w:tcPr>
          <w:p w14:paraId="6C341D7B"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65BF5CA"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30F114D5" w14:textId="77777777" w:rsidR="009262C4" w:rsidRDefault="00000000">
            <w:pPr>
              <w:spacing w:after="40" w:line="240" w:lineRule="auto"/>
              <w:jc w:val="left"/>
            </w:pPr>
            <w:r>
              <w:rPr>
                <w:rFonts w:ascii="Palatino Linotype" w:hAnsi="Palatino Linotype" w:cs="Palatino Linotype"/>
                <w:color w:val="000000"/>
                <w:sz w:val="19"/>
                <w:szCs w:val="17"/>
              </w:rPr>
              <w:t>No</w:t>
            </w:r>
          </w:p>
        </w:tc>
        <w:tc>
          <w:tcPr>
            <w:tcW w:w="850" w:type="dxa"/>
            <w:tcBorders>
              <w:top w:val="nil"/>
              <w:left w:val="nil"/>
              <w:bottom w:val="nil"/>
              <w:right w:val="nil"/>
              <w:insideH w:val="nil"/>
              <w:insideV w:val="nil"/>
            </w:tcBorders>
            <w:tcMar>
              <w:top w:w="40" w:type="dxa"/>
              <w:left w:w="80" w:type="dxa"/>
              <w:bottom w:w="40" w:type="dxa"/>
              <w:right w:w="80" w:type="dxa"/>
            </w:tcMar>
          </w:tcPr>
          <w:p w14:paraId="2BB9100A" w14:textId="77777777" w:rsidR="009262C4" w:rsidRDefault="00000000">
            <w:pPr>
              <w:spacing w:after="40" w:line="240" w:lineRule="auto"/>
              <w:jc w:val="left"/>
            </w:pPr>
            <w:r>
              <w:rPr>
                <w:rFonts w:ascii="Palatino Linotype" w:hAnsi="Palatino Linotype" w:cs="Palatino Linotype"/>
                <w:color w:val="000000"/>
                <w:sz w:val="19"/>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t>(Chapters 9 and 10)</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t>Req 6 in Table 2.11</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since co-existing conditions are neither proved nor tested as an authorisation decision,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t>stated in Chapter 3</w:t>
      </w:r>
      <w:r>
        <w:t xml:space="preserve">, and each gap corresponds to the research question and objective of the same number </w:t>
      </w:r>
      <w:r>
        <w:t>in Chapter 3</w:t>
      </w:r>
      <w:r>
        <w:t>.</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60" w:before="160"/>
        <w:jc w:val="center"/>
      </w:pPr>
      <w:r>
        <w:rPr>
          <w:b/>
          <w:bCs/>
          <w:sz w:val="20"/>
          <w:szCs w:val="18"/>
        </w:rPr>
        <w:t xml:space="preserve">Figure 2.2: </w:t>
      </w:r>
      <w:r>
        <w:rPr>
          <w:sz w:val="20"/>
          <w:szCs w:val="18"/>
        </w:rPr>
        <w:t xml:space="preserve">Synthesis of the review: the conjunction gap and the assurance gap addressed by the proposed framework, with the number of the 25 analysed studies graded Yes for each requirement </w:t>
      </w:r>
      <w:r>
        <w:rPr>
          <w:sz w:val="20"/>
          <w:szCs w:val="18"/>
        </w:rPr>
        <w:t>in Table 2.11.</w:t>
      </w:r>
    </w:p>
    <w:p>
      <w:pPr/>
      <w:r>
        <w:t>As presented in Tables 2.5 to 2.11,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t>•</w:t>
        <w:tab/>
      </w:r>
      <w:r>
        <w:rPr>
          <w:i/>
          <w:u w:val="single"/>
        </w:rPr>
        <w:t>Inability to represent consent as an evaluable authorisation object (Req 1):</w:t>
      </w:r>
      <w: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t>•</w:t>
        <w:tab/>
      </w:r>
      <w:r>
        <w:rPr>
          <w:i/>
          <w:u w:val="single"/>
        </w:rPr>
        <w:t>Inability to verify authority separately from identity (Req 2):</w:t>
      </w:r>
      <w: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2.11). Without this separation, an authenticated participant is treated as an authorised one.</w:t>
      </w:r>
    </w:p>
    <w:p>
      <w:pPr>
        <w:tabs>
          <w:tab w:pos="510" w:val="left"/>
        </w:tabs>
        <w:spacing w:after="120"/>
        <w:ind w:left="510" w:hanging="283"/>
      </w:pPr>
      <w:r>
        <w:t>•</w:t>
        <w:tab/>
      </w:r>
      <w:r>
        <w:rPr>
          <w:i/>
          <w:u w:val="single"/>
        </w:rPr>
        <w:t>Absence of multi-party approval as a standing condition of every access decision (Req 3):</w:t>
      </w:r>
      <w: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2.11). None of the papers examined makes approval by a patient-defined set a condition of every access decision.</w:t>
      </w:r>
    </w:p>
    <w:p>
      <w:pPr>
        <w:tabs>
          <w:tab w:pos="510" w:val="left"/>
        </w:tabs>
        <w:spacing w:after="120"/>
        <w:ind w:left="510" w:hanging="283"/>
      </w:pPr>
      <w:r>
        <w:t>•</w:t>
        <w:tab/>
      </w:r>
      <w:r>
        <w:rPr>
          <w:i/>
          <w:u w:val="single"/>
        </w:rPr>
        <w:t>Inability to bind purpose and data scope to the same decision as identity, authority and approval (Req 4):</w:t>
      </w:r>
      <w:r>
        <w:t xml:space="preserve"> Purpose and data-scope constraints are enforced by 10 of the 25 studies (Table 2.11), but in none of them are they bound to the same decision as identity, authority and multi-party approval; in the reviewed studies,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t>•</w:t>
        <w:tab/>
      </w:r>
      <w:r>
        <w:rPr>
          <w:i/>
          <w:u w:val="single"/>
        </w:rPr>
        <w:t>Absence of temporal and lifecycle evaluation at the time of each access request (Req 5):</w:t>
      </w:r>
      <w:r>
        <w:t xml:space="preserve"> Req 5 is graded Yes in 8 of the 25 studies (Table 2.11). In these studies, the validity period, the lifecycle state and the revocation of a consent are enforced on a credential or at registration rather than evaluated when the request is made. Without such evaluation, a consent that has expired or been revoked remains usable once its approvals have been recorded.</w:t>
      </w:r>
    </w:p>
    <w:p>
      <w:pPr>
        <w:tabs>
          <w:tab w:pos="510" w:val="left"/>
        </w:tabs>
        <w:spacing w:after="120"/>
        <w:ind w:left="510" w:hanging="283"/>
      </w:pPr>
      <w:r>
        <w:t>•</w:t>
        <w:tab/>
      </w:r>
      <w:r>
        <w:rPr>
          <w:i/>
          <w:u w:val="single"/>
        </w:rPr>
        <w:t>Absence of formal and empirical assurance of the complete decision (Req 6):</w:t>
      </w:r>
      <w: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t>In the next section, we present our proposed framework to address the gaps.</w:t>
      </w:r>
    </w:p>
    <w:p>
      <w:pPr>
        <w:pStyle w:val="2"/>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t>Sections 2.5.1 to 2.5.6 state how the proposed framework, implemented in the HALAH prototype, addresses each requirement and the research objective that delivers it.</w:t>
      </w:r>
    </w:p>
    <w:p>
      <w:pPr>
        <w:pStyle w:val="3"/>
      </w:pPr>
      <w:r>
        <w:t>2.5.1 Representation of Consent as an Evaluable Authorisation Object (Req 1)</w:t>
      </w:r>
    </w:p>
    <w:p>
      <w:pPr/>
      <w:r>
        <w:t xml:space="preserve">Consent is represented as the evaluable object C = (I, A, P, T, L, E), created through Algorithm 1 and evaluated at every access request. </w:t>
      </w:r>
      <w:r>
        <w:t>This requirement is delivered by RO1, presented in Chapter 5.</w:t>
      </w:r>
    </w:p>
    <w:p>
      <w:pPr>
        <w:pStyle w:val="3"/>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Full DID resolution is planned for the next stage. </w:t>
      </w:r>
      <w:r>
        <w:t>This requirement is delivered by RO2, presented in Chapter 6.</w:t>
      </w:r>
    </w:p>
    <w:p>
      <w:pPr>
        <w:pStyle w:val="3"/>
      </w:pPr>
      <w:r>
        <w:t>2.5.3 Multi-Party Authorisation through a Verifiable Threshold (Req 3)</w:t>
      </w:r>
    </w:p>
    <w:p>
      <w:pPr/>
      <w:r>
        <w:t xml:space="preserve">N-of-N approval by the guardian set G with EIP-712 guardian signatures (Bloemen, Logvinov &amp; Evans 2017), evaluated as VA through Algorithm 3. </w:t>
      </w:r>
      <w:r>
        <w:t>This requirement is delivered by RO3, presented in Chapter 7.</w:t>
      </w:r>
    </w:p>
    <w:p>
      <w:pPr>
        <w:pStyle w:val="3"/>
      </w:pPr>
      <w:r>
        <w:t>2.5.4 Policy- and Context-Aware Enforcement at the Time of Access (Req 4)</w:t>
      </w:r>
    </w:p>
    <w:p>
      <w:pPr/>
      <w:r>
        <w:t xml:space="preserve">Purpose and a non-empty data scope within the consent are evaluated as VP through Algorithm 4. </w:t>
      </w:r>
      <w:r>
        <w:t>This requirement is delivered by RO4, presented in Chapter 8.</w:t>
      </w:r>
    </w:p>
    <w:p>
      <w:pPr>
        <w:pStyle w:val="3"/>
      </w:pPr>
      <w:r>
        <w:t>2.5.5 Temporal Validity and Lifecycle Control of Consent (Req 5)</w:t>
      </w:r>
    </w:p>
    <w:p>
      <w:pPr/>
      <w:r>
        <w:t xml:space="preserve">The validity window VT, revocation, the lifecycle states, and the on-chain revocation on Sepolia are implemented, as specified in Algorithm 5. The SUSPENDED state and the lifecycle transition check are not yet implemented. </w:t>
      </w:r>
      <w:r>
        <w:t>This requirement is delivered by RO5, presented in Chapter 9.</w:t>
      </w:r>
    </w:p>
    <w:p>
      <w:pPr>
        <w:pStyle w:val="3"/>
      </w:pPr>
      <w:r>
        <w:t>2.5.6 Verifiable Auditability and Security Assurance (Req 6)</w:t>
      </w:r>
    </w:p>
    <w:p>
      <w:pPr/>
      <w:r>
        <w:t xml:space="preserve">Audit ledger evidence and 46 automated tests, including twelve attack scenarios A1 to A12. The testing part of Algorithm 6 is done. Formal analysis is left for the next stage. </w:t>
      </w:r>
      <w:r>
        <w:t>This requirement is delivered by RO6, presented in Chapter 10.</w:t>
      </w:r>
    </w:p>
    <w:p>
      <w:pPr>
        <w:pStyle w:val="2"/>
      </w:pPr>
      <w:r>
        <w:t>2.6 Conclusion</w:t>
      </w:r>
    </w:p>
    <w:p>
      <w:pPr/>
      <w:r>
        <w:t>This chapter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the combined decision is neither proved nor systematically tested. These findings form the conjunction gap and the assurance gap. The next chapter states these gaps, the research questions that follow from them, and the objectives of this thesis.</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3</w:t>
            </w:r>
          </w:p>
        </w:tc>
      </w:tr>
    </w:tbl>
    <w:p>
      <w:pPr>
        <w:pStyle w:val="1"/>
        <w:spacing w:before="360"/>
      </w:pPr>
      <w:r/>
      <w:r>
        <w:rPr>
          <w:vanish/>
        </w:rPr>
        <w:t xml:space="preserve">3. </w:t>
      </w:r>
      <w:r>
        <w:rPr>
          <w:smallCaps/>
        </w:rPr>
        <w:t>Research Questions and Objectives</w:t>
      </w:r>
    </w:p>
    <w:p>
      <w:pPr>
        <w:pStyle w:val="2"/>
      </w:pPr>
      <w:r>
        <w:t>3.1 Introduction</w:t>
      </w:r>
    </w:p>
    <w:p>
      <w:pPr/>
      <w:r>
        <w:t>Chapter 2 reviewed the literature on multi-party consent and trustworthy data sharing in healthcare and found that the conditions for a trustworthy access decision exist in the literature but are never joined in one decision that is evaluated at every request, and that where they are joined the decision is neither proved nor tested. This chapter turns that finding into the research problem of the thesis. Section 3.2 states the research gap, first as a whole and then as six requirement-level gaps. Section 3.3 defines the terms used in the rest of the thesis: the patient, the guardian set, the threshold, the requester and the consent object. Section 3.4 states the main research question and the six sub-research questions, and shows that they form one integrated problem rather than six separate ones. Section 3.5 states the six research objectives and the relationship between each objective and its question. Section 3.6 concludes the chapter.</w:t>
      </w:r>
    </w:p>
    <w:p>
      <w:pPr>
        <w:pStyle w:val="2"/>
      </w:pPr>
      <w:r>
        <w:t>3.2 Gaps in the Literature</w:t>
      </w:r>
    </w:p>
    <w:p>
      <w:pPr/>
      <w:r>
        <w:t>From a thorough review of the existing literature documented in Chapter 2, we have identified the following six gaps:</w:t>
      </w:r>
    </w:p>
    <w:p>
      <w:pPr>
        <w:tabs>
          <w:tab w:pos="624" w:val="left"/>
        </w:tabs>
        <w:spacing w:after="120"/>
        <w:ind w:left="624" w:hanging="397"/>
      </w:pPr>
      <w:r>
        <w:t>1.</w:t>
        <w:tab/>
        <w:t>There is no existing representation of patient consent that carries the identity, authority, threshold, policy, temporal and lifecycle conditions of access as one evaluable object. Consent is recorded as a permission, and the evaluable objects that exist carry only a subset of the conditions and are issued by a single party.</w:t>
      </w:r>
    </w:p>
    <w:p>
      <w:pPr>
        <w:tabs>
          <w:tab w:pos="624" w:val="left"/>
        </w:tabs>
        <w:spacing w:after="120"/>
        <w:ind w:left="624" w:hanging="397"/>
      </w:pPr>
      <w:r>
        <w:t>2.</w:t>
        <w:tab/>
        <w:t>There is no method that verifies the authority of a participant separately from the authentication of that participant within the same access decision, so a valid identity is taken as permission.</w:t>
      </w:r>
    </w:p>
    <w:p>
      <w:pPr>
        <w:tabs>
          <w:tab w:pos="624" w:val="left"/>
        </w:tabs>
        <w:spacing w:after="120"/>
        <w:ind w:left="624" w:hanging="397"/>
      </w:pPr>
      <w:r>
        <w:t>3.</w:t>
        <w:tab/>
        <w:t>There is no mechanism by which multi-party approval, with the approving set defined by the patient, is a standing condition of every access decision rather than a contingency path, an admission gate or a registration-time co-consent.</w:t>
      </w:r>
    </w:p>
    <w:p>
      <w:pPr>
        <w:tabs>
          <w:tab w:pos="624" w:val="left"/>
        </w:tabs>
        <w:spacing w:after="120"/>
        <w:ind w:left="624" w:hanging="397"/>
      </w:pPr>
      <w:r>
        <w:t>4.</w:t>
        <w:tab/>
        <w:t>There is no enforcement that binds the purpose and the data scope of a request to the same decision as identity, authority and collective approval.</w:t>
      </w:r>
    </w:p>
    <w:p>
      <w:pPr>
        <w:tabs>
          <w:tab w:pos="624" w:val="left"/>
        </w:tabs>
        <w:spacing w:after="120"/>
        <w:ind w:left="624" w:hanging="397"/>
      </w:pPr>
      <w:r>
        <w:t>5.</w:t>
        <w:tab/>
        <w:t>There is no evaluation of temporal validity, lifecycle state and revocation at the moment of each access request; where they exist, they are enforced on a credential or at registration.</w:t>
      </w:r>
    </w:p>
    <w:p>
      <w:pPr>
        <w:tabs>
          <w:tab w:pos="624" w:val="left"/>
        </w:tabs>
        <w:spacing w:after="120"/>
        <w:ind w:left="624" w:hanging="397"/>
      </w:pPr>
      <w:r>
        <w:t>6.</w:t>
        <w:tab/>
        <w:t>There is no formal definition or systematic testing of the complete authorisation decision under valid, invalid and adversarial conditions; any proof covers only a fragment of it.</w:t>
      </w:r>
    </w:p>
    <w:p>
      <w:pPr>
        <w:pStyle w:val="2"/>
      </w:pPr>
      <w:r>
        <w:t>3.3 Key Definitions</w:t>
      </w:r>
    </w:p>
    <w:p w14:paraId="108018B1" w14:textId="77777777" w:rsidR="009262C4" w:rsidRDefault="00000000">
      <w:pPr>
        <w:spacing w:after="110" w:line="264" w:lineRule="auto"/>
        <w:jc w:val="both"/>
      </w:pPr>
      <w:r>
        <w:t>The patient, as the data subject, may create a consent specification and identify the relevant healthcare participant, authorised purpose, permitted data categories, and required approval conditions. The guardian set G is the set of designated participants whose independent approval is required. Depending on the consent configuration, G may contain healthcare professionals, guardians, institutional representatives, or other authorised parties. In the current prototype, the members of G are guardians. Each member of G is checked to determine whether the individual or entity possesses the required authority to participate in consent-related decisions. The threshold N is the number of valid approvals from members of G needed for activation. If the number of valid approvals is below the required threshold N, the consent cannot produce an effective authorisation decision. The authorised doctor D is the requester whose access request R is evaluated against the consent object C.</w:t>
      </w:r>
    </w:p>
    <w:p w14:paraId="4EF9B0E8" w14:textId="77777777" w:rsidR="009262C4" w:rsidRDefault="00000000">
      <w:pPr>
        <w:spacing w:after="110" w:line="264" w:lineRule="auto"/>
        <w:jc w:val="both"/>
      </w:pPr>
      <w:r>
        <w:t xml:space="preserve">The consent object against which these questions are evaluated is defined in Equation (3.1), where I represents identity information, A represents authority and authorisation requirements, P represents policy and data-scope constraints, and E represents authorisation evidence. Within A, the guardian set G and the threshold N define the required approvals. T is the temporal validity window, and L represents the current state of the consent object and its permissible transitions, including whether the consent remains active or has been revoked. This formulation changes the role of consent from a passive record into an evaluable authorisation object.</w:t>
      </w:r>
    </w:p>
    <w:p w14:paraId="5C049E27"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t>(3.1)</w:t>
      </w:r>
    </w:p>
    <w:p>
      <w:pPr>
        <w:pStyle w:val="2"/>
      </w:pPr>
      <w:r>
        <w:t>3.4 Research Questions</w:t>
      </w:r>
    </w:p>
    <w:p>
      <w:pPr/>
      <w:r>
        <w:t>From the systematic literature review documented in Chapter 2, and the shortcomings outlined in Section 2.4.7, it is clear that there are several gaps in the existing literature on trustworthy multi-party consent authorisation for healthcare data sharing.</w:t>
      </w:r>
    </w:p>
    <w:p w14:paraId="390E7242" w14:textId="77777777" w:rsidR="009262C4" w:rsidRDefault="00000000">
      <w:pPr>
        <w:spacing w:after="110" w:line="264" w:lineRule="auto"/>
        <w:jc w:val="both"/>
      </w:pPr>
      <w:r>
        <w:t xml:space="preserve">Based on the identified research gap, the overarching research question is formulated as follows: </w:t>
      </w:r>
      <w:r>
        <w:rPr>
          <w:b/>
          <w:bCs/>
        </w:rPr>
        <w:t>"How can a trust-oriented computing framework establish and enforce trustworthy multi-party consent for decentralised healthcare data sharing under identity, authority, and policy constraints?"</w:t>
      </w:r>
      <w:r>
        <w:t xml:space="preserve"> The formulation of this question deliberately emphasises trust-oriented computing rather than any individual implementation technology. The terms establish and enforce represent two complementary aspects of the research problem. Establishment concerns how trustworthy participants, authority relationships, and collective consent decisions are created. Enforcement concerns how these established conditions are evaluated when a healthcare data-access request is made.</w:t>
      </w:r>
    </w:p>
    <w:p w14:paraId="575A4A75" w14:textId="77777777" w:rsidR="009262C4" w:rsidRDefault="00000000">
      <w:pPr>
        <w:spacing w:after="110" w:line="264" w:lineRule="auto"/>
        <w:jc w:val="both"/>
      </w:pPr>
      <w:r>
        <w:t>The research objectives are operationalised through six corresponding sub-research questions. Each sub-research question addresses a distinct dimension of the proposed trust-oriented healthcare authorisation framework. For brevity, SRQ1 to SRQ6 are referred to as RQ1 to RQ6 throughout this report.</w:t>
      </w:r>
    </w:p>
    <w:p w14:paraId="3DE7599F" w14:textId="77777777" w:rsidR="009262C4" w:rsidRDefault="00000000">
      <w:pPr>
        <w:pStyle w:val="a4"/>
        <w:numPr>
          <w:ilvl w:val="0"/>
          <w:numId w:val="1"/>
        </w:numPr>
        <w:spacing w:after="80" w:line="288" w:lineRule="auto"/>
        <w:jc w:val="both"/>
      </w:pPr>
      <w:r>
        <w:rPr>
          <w:b/>
          <w:bCs/>
        </w:rPr>
        <w:t>SRQ1 (Trust-Centric Consent Modelling):</w:t>
      </w:r>
      <w:r>
        <w:t xml:space="preserve"> How can patient consent be modelled as a trust-aware authorisation object that explicitly represents identity, authority requirements, policy constraints, and authorisation evidence?</w:t>
      </w:r>
    </w:p>
    <w:p w14:paraId="6F6610E9" w14:textId="77777777" w:rsidR="009262C4" w:rsidRDefault="00000000">
      <w:pPr>
        <w:pStyle w:val="a4"/>
        <w:numPr>
          <w:ilvl w:val="0"/>
          <w:numId w:val="1"/>
        </w:numPr>
        <w:spacing w:after="80" w:line="288" w:lineRule="auto"/>
        <w:jc w:val="both"/>
      </w:pPr>
      <w:r>
        <w:rPr>
          <w:b/>
          <w:bCs/>
        </w:rPr>
        <w:t>SRQ2 (Decentralised Identity and Authority Trust):</w:t>
      </w:r>
      <w:r>
        <w:t xml:space="preserve"> How can decentralised identities and verifiable credentials establish trustworthy participants while explicitly separating identity authentication from authorisation authority?</w:t>
      </w:r>
    </w:p>
    <w:p w14:paraId="39A3A6EB" w14:textId="77777777" w:rsidR="009262C4" w:rsidRDefault="00000000">
      <w:pPr>
        <w:pStyle w:val="a4"/>
        <w:numPr>
          <w:ilvl w:val="0"/>
          <w:numId w:val="1"/>
        </w:numPr>
        <w:spacing w:after="80" w:line="288" w:lineRule="auto"/>
        <w:jc w:val="both"/>
      </w:pPr>
      <w:r>
        <w:rPr>
          <w:b/>
          <w:bCs/>
        </w:rPr>
        <w:t>SRQ3 (Trustworthy Multi-Party Authorisation):</w:t>
      </w:r>
      <w:r>
        <w:t xml:space="preserve"> How can multiple independently verified participants jointly establish a trustworthy consent decision without allowing a single participant to unilaterally authorise sensitive healthcare data access?</w:t>
      </w:r>
    </w:p>
    <w:p w14:paraId="56474AFA" w14:textId="77777777" w:rsidR="009262C4" w:rsidRDefault="00000000">
      <w:pPr>
        <w:pStyle w:val="a4"/>
        <w:numPr>
          <w:ilvl w:val="0"/>
          <w:numId w:val="1"/>
        </w:numPr>
        <w:spacing w:after="80" w:line="288" w:lineRule="auto"/>
        <w:jc w:val="both"/>
      </w:pPr>
      <w:r>
        <w:rPr>
          <w:b/>
          <w:bCs/>
        </w:rPr>
        <w:t>SRQ4 (Policy- and Context-Aware Access Control):</w:t>
      </w:r>
      <w:r>
        <w:t xml:space="preserve"> How can policy, purpose, and data-scope constraints be incorporated into authorisation decisions so that valid identities and sufficient approvals cannot be used to obtain unauthorised healthcare data?</w:t>
      </w:r>
    </w:p>
    <w:p w14:paraId="08144F36" w14:textId="77777777" w:rsidR="009262C4" w:rsidRDefault="00000000">
      <w:pPr>
        <w:pStyle w:val="a4"/>
        <w:numPr>
          <w:ilvl w:val="0"/>
          <w:numId w:val="1"/>
        </w:numPr>
        <w:spacing w:after="80" w:line="288" w:lineRule="auto"/>
        <w:jc w:val="both"/>
      </w:pPr>
      <w:r>
        <w:rPr>
          <w:b/>
          <w:bCs/>
        </w:rPr>
        <w:t>SRQ5 (Temporal and Lifecycle Trust):</w:t>
      </w:r>
      <w:r>
        <w:t xml:space="preserve"> How can temporal validity and consent lifecycle controls ensure that an authorisation remains valid only within its permitted time interval and lifecycle state, and is rejected after expiration, revocation, or an unauthorised state transition?</w:t>
      </w:r>
    </w:p>
    <w:p w14:paraId="0E2F7DCC" w14:textId="77777777" w:rsidR="009262C4" w:rsidRDefault="00000000">
      <w:pPr>
        <w:pStyle w:val="a4"/>
        <w:numPr>
          <w:ilvl w:val="0"/>
          <w:numId w:val="1"/>
        </w:numPr>
        <w:spacing w:after="80" w:line="288" w:lineRule="auto"/>
        <w:jc w:val="both"/>
      </w:pPr>
      <w:r>
        <w:rPr>
          <w:b/>
          <w:bCs/>
        </w:rPr>
        <w:t>SRQ6 (Formal Security Assurance and Empirical Validation):</w:t>
      </w:r>
      <w:r>
        <w:t xml:space="preserve"> How can the security properties of the proposed trust-oriented authorisation mechanism be formally defined and empirically evaluated to demonstrate that the implemented framework correctly enforces authorised and unauthorised healthcare data-access decisions?</w:t>
      </w:r>
    </w:p>
    <w:p>
      <w:pPr>
        <w:pStyle w:val="3"/>
      </w:pPr>
      <w:r>
        <w:t>3.4.1 Research Questions as an Integrated Problem</w:t>
      </w:r>
    </w:p>
    <w:p w14:paraId="45528AD1" w14:textId="77777777" w:rsidR="009262C4" w:rsidRDefault="00000000">
      <w:pPr>
        <w:spacing w:after="110" w:line="264" w:lineRule="auto"/>
        <w:jc w:val="both"/>
      </w:pPr>
      <w:r>
        <w:t>The six sub-research questions are not independent technical questions. RQ1 establishes the conceptual object. RQ2 establishes the trustworthiness of the participants. RQ3 then extends this participant-level trust into a collective decision. RQ4 determines whether the resulting authorisation is applicable to the specific data-access request. RQ5 further introduces the dynamic dimension of trust by determining whether the authorisation remains valid with respect to its temporal conditions and lifecycle state. Finally, RQ6 establishes the assurance layer by formally defining the resulting security properties and empirically evaluating whether the implemented framework enforces them correctly. The integrated authorisation condition can therefore be expressed as Equation (3.2). Here, V</w:t>
      </w:r>
      <w:r>
        <w:rPr>
          <w:vertAlign w:val="subscript"/>
        </w:rPr>
        <w:t>I</w:t>
      </w:r>
      <w:r>
        <w:t xml:space="preserve"> represents identity and authority validity, V</w:t>
      </w:r>
      <w:r>
        <w:rPr>
          <w:vertAlign w:val="subscript"/>
        </w:rPr>
        <w:t>A</w:t>
      </w:r>
      <w:r>
        <w:t xml:space="preserve"> collective authorisation validity, V</w:t>
      </w:r>
      <w:r>
        <w:rPr>
          <w:vertAlign w:val="subscript"/>
        </w:rPr>
        <w:t>P</w:t>
      </w:r>
      <w:r>
        <w:t xml:space="preserve"> policy and contextual compliance, V</w:t>
      </w:r>
      <w:r>
        <w:rPr>
          <w:vertAlign w:val="subscript"/>
        </w:rPr>
        <w:t>T</w:t>
      </w:r>
      <w:r>
        <w:t xml:space="preserve"> temporal validity, and V</w:t>
      </w:r>
      <w:r>
        <w:rPr>
          <w:vertAlign w:val="subscript"/>
        </w:rPr>
        <w:t>L</w:t>
      </w:r>
      <w:r>
        <w:t xml:space="preserve"> consent lifecycle validity.</w:t>
      </w:r>
    </w:p>
    <w:p w14:paraId="0AA4459A"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Decision(C, R, t) = ALLOW ⟺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(u) ∧ 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 xml:space="preserve">(C) ∧ V</w:t>
      </w:r>
      <w:r>
        <w:rPr>
          <w:rFonts w:ascii="Cambria Math" w:eastAsia="Cambria Math" w:hAnsi="Cambria Math" w:cs="Cambria Math"/>
          <w:sz w:val="18"/>
          <w:szCs w:val="18"/>
          <w:vertAlign w:val="subscript"/>
        </w:rPr>
        <w:t>P</w:t>
      </w:r>
      <w:r>
        <w:rPr>
          <w:rFonts w:ascii="Cambria Math" w:eastAsia="Cambria Math" w:hAnsi="Cambria Math" w:cs="Cambria Math"/>
          <w:sz w:val="18"/>
          <w:szCs w:val="18"/>
        </w:rPr>
        <w:t xml:space="preserve">(C, R) ∧ V</w:t>
      </w:r>
      <w:r>
        <w:rPr>
          <w:rFonts w:ascii="Cambria Math" w:eastAsia="Cambria Math" w:hAnsi="Cambria Math" w:cs="Cambria Math"/>
          <w:sz w:val="18"/>
          <w:szCs w:val="18"/>
          <w:vertAlign w:val="subscript"/>
        </w:rPr>
        <w:t>T</w:t>
      </w:r>
      <w:r>
        <w:rPr>
          <w:rFonts w:ascii="Cambria Math" w:eastAsia="Cambria Math" w:hAnsi="Cambria Math" w:cs="Cambria Math"/>
          <w:sz w:val="18"/>
          <w:szCs w:val="18"/>
        </w:rPr>
        <w:t>(C, t) ∧ V</w:t>
      </w:r>
      <w:r>
        <w:rPr>
          <w:rFonts w:ascii="Cambria Math" w:eastAsia="Cambria Math" w:hAnsi="Cambria Math" w:cs="Cambria Math"/>
          <w:sz w:val="18"/>
          <w:szCs w:val="18"/>
          <w:vertAlign w:val="subscript"/>
        </w:rPr>
        <w:t>L</w:t>
      </w:r>
      <w:r>
        <w:rPr>
          <w:rFonts w:ascii="Cambria Math" w:eastAsia="Cambria Math" w:hAnsi="Cambria Math" w:cs="Cambria Math"/>
          <w:sz w:val="18"/>
          <w:szCs w:val="18"/>
        </w:rPr>
        <w:t>(C).</w:t>
      </w:r>
      <w:r>
        <w:tab/>
        <w:t>(3.2)</w:t>
      </w:r>
    </w:p>
    <w:p w14:paraId="5B0ED7F8" w14:textId="77777777" w:rsidR="009262C4" w:rsidRDefault="00000000">
      <w:pPr>
        <w:spacing w:after="110" w:line="264" w:lineRule="auto"/>
        <w:jc w:val="both"/>
      </w:pPr>
      <w:r>
        <w:lastRenderedPageBreak/>
        <w:t>A valid authorisation decision requires the simultaneous satisfaction of all relevant trust conditions. Consequently, failure of any individual condition results in denial. In the prototype, an ALLOW decision additionally requires the exploratory jurisdiction check V</w:t>
      </w:r>
      <w:r>
        <w:rPr>
          <w:vertAlign w:val="subscript"/>
        </w:rPr>
        <w:t>J</w:t>
      </w:r>
      <w:r>
        <w:t xml:space="preserve"> </w:t>
      </w:r>
      <w:r>
        <w:t>(Chapter 8)</w:t>
      </w:r>
      <w:r>
        <w:t xml:space="preserve"> to pass and the Groth16 ZK proof (Groth 2016) to verify, so a request that satisfies the five predicates is still denied when either fails, as in Scenario 4 </w:t>
      </w:r>
      <w:r>
        <w:t>(Chapter 10)</w:t>
      </w:r>
      <w:r>
        <w:t xml:space="preserve"> and attack A9 </w:t>
      </w:r>
      <w:r>
        <w:t>(Chapter 10)</w:t>
      </w:r>
      <w:r>
        <w:t>. Formal security assurance does not constitute another authorisation condition to be evaluated at runtime. Instead, it provides a means of specifying, analysing, and verifying the security properties of the integrated authorisation mechanism. Thus, RQ6 operates as an assurance layer over the mechanisms established by RQ1–RQ5.</w:t>
      </w:r>
    </w:p>
    <w:p>
      <w:pPr>
        <w:pStyle w:val="2"/>
      </w:pPr>
      <w:r>
        <w:t>3.5 Research Objectives</w:t>
      </w:r>
    </w:p>
    <w:p w14:paraId="4931BA54" w14:textId="77777777" w:rsidR="009262C4" w:rsidRDefault="00000000">
      <w:pPr>
        <w:spacing w:after="110" w:line="264" w:lineRule="auto"/>
        <w:jc w:val="both"/>
      </w:pPr>
      <w:r>
        <w:t>The research objectives turn the research gap into concrete research and development activities. The complete research programme consists of six research objectives, corresponding to six research questions.</w:t>
      </w:r>
    </w:p>
    <w:p>
      <w:pPr>
        <w:pStyle w:val="3"/>
      </w:pPr>
      <w:r>
        <w:t>3.5.1 RO1: Trust-Centric Consent Model</w:t>
      </w:r>
    </w:p>
    <w:p w14:paraId="2C4166A8" w14:textId="77777777" w:rsidR="009262C4" w:rsidRDefault="00000000">
      <w:pPr>
        <w:spacing w:after="110" w:line="264" w:lineRule="auto"/>
        <w:jc w:val="both"/>
      </w:pPr>
      <w:r>
        <w:t>The first research objective is to develop a trust-aware consent model that represents patient consent as a structured and evaluable authorisation object. The model incorporates identity information, authority requirements, policy constraints, and authorisation evidence so that a consent decision can be evaluated when a subsequent data-access request is made. RO1 directly addresses RQ1 and establishes the conceptual foundation for the remaining objectives. It defines the information that must be represented before consent can be interpreted as an authorisation decision rather than merely as a static approval record.</w:t>
      </w:r>
    </w:p>
    <w:p>
      <w:pPr>
        <w:pStyle w:val="3"/>
      </w:pPr>
      <w:r>
        <w:t>3.5.2 RO2: Decentralised Identity and Authority Trust</w:t>
      </w:r>
    </w:p>
    <w:p w14:paraId="3DBD69DE" w14:textId="77777777" w:rsidR="009262C4" w:rsidRDefault="00000000">
      <w:pPr>
        <w:spacing w:after="110" w:line="264" w:lineRule="auto"/>
        <w:jc w:val="both"/>
      </w:pPr>
      <w:r>
        <w:t>The second research objective is to develop a decentralised identity and authority verification mechanism using decentralised identifiers and verifiable credentials. The objective is to establish trustworthy participants while explicitly separating identity authentication from authorisation authority. RO2 addresses RQ2 and provides the trust inputs required by the subsequent multi-party authorisation process. The objective is based on the principle that successful identity verification does not automatically imply permission to access healthcare data.</w:t>
      </w:r>
    </w:p>
    <w:p>
      <w:pPr>
        <w:pStyle w:val="3"/>
      </w:pPr>
      <w:r>
        <w:t>3.5.3 RO3: Trustworthy Multi-Party Authorisation</w:t>
      </w:r>
    </w:p>
    <w:p w14:paraId="785A9D8E" w14:textId="77777777" w:rsidR="009262C4" w:rsidRDefault="00000000">
      <w:pPr>
        <w:spacing w:after="110" w:line="264" w:lineRule="auto"/>
        <w:jc w:val="both"/>
      </w:pPr>
      <w:r>
        <w:t>The third research objective is to develop a threshold-based multi-party authorisation mechanism through which multiple independently verified participants and guardians can jointly establish a trustworthy consent decision. The objective is to prevent unilateral authorisation where collective approval is required. The guardian set G, fixed at consent creation, defines which participants are eligible to contribute an approval to the authorisation process. Each participant must submit an approval that can be independently verified through EIP-712 signature recovery. Invalid approvals are rejected and must not contribute to the threshold count. In the current prototype, a valid signature is required from every listed guardian, so the threshold equals |G|, an N-of-N condition demonstrated in the 2-of-2 configuration. In this case, one valid approval is insufficient, whereas two valid approvals satisfy the threshold. RO3 addresses RQ3 and extends the consent model from an individual permission statement to a collective authorisation decision.</w:t>
      </w:r>
    </w:p>
    <w:p>
      <w:pPr>
        <w:pStyle w:val="3"/>
      </w:pPr>
      <w:r>
        <w:t>3.5.4 RO4: Policy- and Context-Aware Access Control</w:t>
      </w:r>
    </w:p>
    <w:p w14:paraId="16147D19" w14:textId="77777777" w:rsidR="009262C4" w:rsidRDefault="00000000">
      <w:pPr>
        <w:spacing w:after="110" w:line="264" w:lineRule="auto"/>
        <w:jc w:val="both"/>
      </w:pPr>
      <w:r>
        <w:t xml:space="preserve">The fourth research objective is to develop a policy-aware authorisation mechanism that evaluates the purpose and data scope of a requested operation against the constraints defined by the consent. The objective is to ensure that a valid identity and sufficient multi-party approval cannot be used to obtain healthcare information outside the authorised scope. A request is permitted only when the purpose is compatible with the consent and the requested data scope is a non-empty subset of the authorised EMR modules. In the current prototype, the request purpose is taken from the consent, so the purpose check confirms that the consent purpose is a supported healthcare use, while the comparison with a separately declared request purpose is left to the next stage. RO4 directly addresses RQ4 and completes the foundational authorisation model. Together, RO1–RO4 establish the representation, verification, collective authorisation, and policy-enforcement mechanisms required for a trust-oriented healthcare data-sharing decision.</w:t>
      </w:r>
    </w:p>
    <w:p>
      <w:pPr>
        <w:pStyle w:val="3"/>
      </w:pPr>
      <w:r>
        <w:t>3.5.5 RO5: Temporal and Lifecycle Trust</w:t>
      </w:r>
    </w:p>
    <w:p w14:paraId="1E85BF29" w14:textId="77777777" w:rsidR="009262C4" w:rsidRDefault="00000000">
      <w:pPr>
        <w:spacing w:after="110" w:line="264" w:lineRule="auto"/>
        <w:jc w:val="both"/>
      </w:pPr>
      <w:r>
        <w:t xml:space="preserve">The fifth research objective is to extend the trust-oriented framework with temporal validity and consent lifecycle controls. The objective is to ensure that an authorisation remains valid only within its permitted time interval and lifecycle state, and that expiration, revocation, and unauthorised state transitions are correctly enforced. RO5 addresses RQ5 and extends the foundational authorisation model into a dynamic consent environment. The current HALAH code already collects a start time and expiry time during consent creation. The prototype records them on-chain as notBefore and expiry within the consent token, enforces the temporal validity window at every access decision through V</w:t>
      </w:r>
      <w:r>
        <w:rPr>
          <w:vertAlign w:val="subscript"/>
        </w:rPr>
        <w:t>T</w:t>
      </w:r>
      <w:r>
        <w:t>, implements end-to-end revocation, including an on-chain revoke transaction, and manages the consent through an explicit lifecycle state machine. Access can be granted only in the ACTIVE state, and V</w:t>
      </w:r>
      <w:r>
        <w:rPr>
          <w:vertAlign w:val="subscript"/>
        </w:rPr>
        <w:t>L</w:t>
      </w:r>
      <w:r>
        <w:t xml:space="preserve"> checks this state at every access decision. A consent that has expired or been revoked must not remain usable merely because its original approval threshold was satisfied. The remaining work concerns the SUSPENDED state, the lifecycle transition check, a formal lifecycle model, and hardening these controls and extending them to consent modification, delegation, and guardian-set changes.</w:t>
      </w:r>
    </w:p>
    <w:p>
      <w:pPr>
        <w:pStyle w:val="3"/>
      </w:pPr>
      <w:r>
        <w:t>3.5.6 RO6: Formal Security Assurance and Empirical Validation</w:t>
      </w:r>
    </w:p>
    <w:p w14:paraId="764837CE" w14:textId="77777777" w:rsidR="009262C4" w:rsidRDefault="00000000">
      <w:pPr>
        <w:spacing w:after="110" w:line="264" w:lineRule="auto"/>
        <w:jc w:val="both"/>
      </w:pPr>
      <w:r>
        <w:t xml:space="preserve">The sixth research objective is to formally analyse and empirically evaluate whether the implemented framework satisfies its defined trust and authorisation properties under representative healthcare data-sharing scenarios. RO6 addresses RQ6 and combines formal security assurance with empirical validation of the proposed framework. The prototype must execute valid consent workflows, and it must also behave correctly when one or more trust conditions are violated. RO6 is partially completed through the implementation and initial scenario-based validation of the HALAH prototype. In particular, 46 automated tests cover signature rejection, proof tampering, credential checks, and twelve attack scenarios, A1 to A12, against the components of C and the contract. All twelve attacks are refused. Preliminary measurements of on-chain cost, confirmation latency, and processing time have been obtained, and a live out-of-jurisdiction request against a consent anchored on the deployed Sepolia contract was refused by the exploratory jurisdiction check of the application </w:t>
      </w:r>
      <w:r>
        <w:t>(Chapter 8)</w:t>
      </w:r>
      <w:r>
        <w:t>. The formal component will specify and analyse the security properties, consistency requirements, and soundness conditions of the trust-oriented authorisation mechanism. Although preliminary implementation and scenario-based testing support the current stage findings, the complete formal analysis, through proofs or model checking, and a larger evaluation under load will be conducted as part of next stage works.</w:t>
      </w:r>
    </w:p>
    <w:p>
      <w:pPr>
        <w:pStyle w:val="3"/>
      </w:pPr>
      <w:r>
        <w:t>3.5.7 Relationship Between Research Questions and Objectives</w:t>
      </w:r>
    </w:p>
    <w:p w14:paraId="35132735" w14:textId="77777777" w:rsidR="009262C4" w:rsidRDefault="00000000">
      <w:pPr>
        <w:spacing w:after="110" w:line="264" w:lineRule="auto"/>
        <w:jc w:val="both"/>
      </w:pPr>
      <w:r>
        <w:t xml:space="preserve">The relationship between the six research questions and the six research objectives, with the status of each objective, is summarised in </w:t>
      </w:r>
      <w:r>
        <w:t>Table 3.1</w:t>
      </w:r>
      <w:r>
        <w:t xml:space="preserve">. The mapping follows the structure of the research programme and maintains a direct correspondence between each research question and its associated objective. RO1 to RO6 are realised in </w:t>
      </w:r>
      <w:r>
        <w:t>Chapter 5 to Chapter 10</w:t>
      </w:r>
      <w:r>
        <w:t xml:space="preserve"> respectively, each in the section presenting the solution for the corresponding research question. Because each research question corresponds to one </w:t>
      </w:r>
      <w:r>
        <w:t>gap identified in Chapter 2</w:t>
      </w:r>
      <w:r>
        <w:t xml:space="preserve">, each objective addresses the gap of the same number, so that RO1 addresses Gap 1 and RO6 addresses Gap 6. Each research question therefore has one research activity, and each objective contributes to the framework. RO1 to RO4 are delivered in this stage, together with their validation and evaluation through the implemented prototype, whereas, </w:t>
      </w:r>
      <w:r>
        <w:t>as stated in Chapter 1</w:t>
      </w:r>
      <w:r>
        <w:t xml:space="preserve">, RO5 is in progress and RO6 is partially completed. Their remaining work is detailed in </w:t>
      </w:r>
      <w:r>
        <w:t>Chapter 9 and Chapter 10</w:t>
      </w:r>
      <w:r>
        <w:t xml:space="preserve">, and its schedule is </w:t>
      </w:r>
      <w:r>
        <w:t>presented in Chapter 11</w:t>
      </w:r>
      <w:r>
        <w:t>. The distinction between current stage and next stage is therefore based on research scope and maturity rather than on a different set of research questions or objectives.</w:t>
      </w:r>
    </w:p>
    <w:p w14:paraId="3AD3E1A3" w14:textId="77777777" w:rsidR="009262C4" w:rsidRDefault="00000000">
      <w:pPr>
        <w:keepNext/>
        <w:spacing w:before="160" w:after="160"/>
        <w:jc w:val="center"/>
      </w:pPr>
      <w:r>
        <w:rPr>
          <w:b/>
          <w:bCs/>
          <w:sz w:val="20"/>
          <w:szCs w:val="18"/>
        </w:rPr>
        <w:t>Table 3.1</w:t>
      </w:r>
      <w:r>
        <w:rPr>
          <w:b/>
          <w:bCs/>
          <w:sz w:val="20"/>
          <w:szCs w:val="18"/>
        </w:rPr>
        <w:t xml:space="preserve">: </w:t>
      </w:r>
      <w:r>
        <w:rPr>
          <w:sz w:val="20"/>
          <w:szCs w:val="18"/>
        </w:rPr>
        <w:t>Research questions, research objectives, and the status of each objective</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682"/>
        <w:gridCol w:w="2340"/>
        <w:gridCol w:w="4544"/>
        <w:gridCol w:w="1562"/>
      </w:tblGrid>
      <w:tr w:rsidR="009262C4" w14:paraId="2395EFA3" w14:textId="77777777">
        <w:trPr>
          <w:cantSplit/>
          <w:tblHeader/>
        </w:trPr>
        <w:tc>
          <w:tcPr>
            <w:tcW w:w="682" w:type="dxa"/>
            <w:tcBorders>
              <w:top w:val="nil"/>
              <w:left w:val="nil"/>
              <w:bottom w:val="single" w:sz="6" w:color="000000" w:space="0"/>
              <w:right w:val="nil"/>
              <w:insideH w:val="nil"/>
              <w:insideV w:val="nil"/>
            </w:tcBorders>
            <w:tcMar>
              <w:top w:w="40" w:type="dxa"/>
              <w:left w:w="80" w:type="dxa"/>
              <w:bottom w:w="40" w:type="dxa"/>
              <w:right w:w="80" w:type="dxa"/>
            </w:tcMar>
          </w:tcPr>
          <w:p w14:paraId="6D840BB2" w14:textId="77777777" w:rsidR="009262C4" w:rsidRDefault="00000000">
            <w:pPr>
              <w:keepNext/>
              <w:spacing w:after="40" w:line="240" w:lineRule="auto"/>
              <w:jc w:val="left"/>
            </w:pPr>
            <w:r>
              <w:rPr>
                <w:rFonts w:ascii="Palatino Linotype" w:hAnsi="Palatino Linotype" w:cs="Palatino Linotype"/>
                <w:b/>
                <w:bCs/>
                <w:color w:val="000000"/>
                <w:sz w:val="19"/>
                <w:szCs w:val="17"/>
              </w:rPr>
              <w:t>RQ</w:t>
            </w:r>
          </w:p>
        </w:tc>
        <w:tc>
          <w:tcPr>
            <w:tcW w:w="2340" w:type="dxa"/>
            <w:tcBorders>
              <w:top w:val="nil"/>
              <w:left w:val="nil"/>
              <w:bottom w:val="single" w:sz="6" w:color="000000" w:space="0"/>
              <w:right w:val="nil"/>
              <w:insideH w:val="nil"/>
              <w:insideV w:val="nil"/>
            </w:tcBorders>
            <w:tcMar>
              <w:top w:w="40" w:type="dxa"/>
              <w:left w:w="80" w:type="dxa"/>
              <w:bottom w:w="40" w:type="dxa"/>
              <w:right w:w="80" w:type="dxa"/>
            </w:tcMar>
          </w:tcPr>
          <w:p w14:paraId="7DC19190" w14:textId="77777777" w:rsidR="009262C4" w:rsidRDefault="00000000">
            <w:pPr>
              <w:keepNext/>
              <w:spacing w:after="40" w:line="240" w:lineRule="auto"/>
              <w:jc w:val="left"/>
            </w:pPr>
            <w:r>
              <w:rPr>
                <w:rFonts w:ascii="Palatino Linotype" w:hAnsi="Palatino Linotype" w:cs="Palatino Linotype"/>
                <w:b/>
                <w:bCs/>
                <w:color w:val="000000"/>
                <w:sz w:val="19"/>
                <w:szCs w:val="17"/>
              </w:rPr>
              <w:t>Research objective</w:t>
            </w:r>
          </w:p>
        </w:tc>
        <w:tc>
          <w:tcPr>
            <w:tcW w:w="4544" w:type="dxa"/>
            <w:tcBorders>
              <w:top w:val="nil"/>
              <w:left w:val="nil"/>
              <w:bottom w:val="single" w:sz="6" w:color="000000" w:space="0"/>
              <w:right w:val="nil"/>
              <w:insideH w:val="nil"/>
              <w:insideV w:val="nil"/>
            </w:tcBorders>
            <w:tcMar>
              <w:top w:w="40" w:type="dxa"/>
              <w:left w:w="80" w:type="dxa"/>
              <w:bottom w:w="40" w:type="dxa"/>
              <w:right w:w="80" w:type="dxa"/>
            </w:tcMar>
          </w:tcPr>
          <w:p w14:paraId="05FA42B8" w14:textId="77777777" w:rsidR="009262C4" w:rsidRDefault="00000000">
            <w:pPr>
              <w:keepNext/>
              <w:spacing w:after="40" w:line="240" w:lineRule="auto"/>
              <w:jc w:val="left"/>
            </w:pPr>
            <w:r>
              <w:rPr>
                <w:rFonts w:ascii="Palatino Linotype" w:hAnsi="Palatino Linotype" w:cs="Palatino Linotype"/>
                <w:b/>
                <w:bCs/>
                <w:color w:val="000000"/>
                <w:sz w:val="19"/>
                <w:szCs w:val="17"/>
              </w:rPr>
              <w:t>Description</w:t>
            </w:r>
          </w:p>
        </w:tc>
        <w:tc>
          <w:tcPr>
            <w:tcW w:w="1562" w:type="dxa"/>
            <w:tcBorders>
              <w:top w:val="nil"/>
              <w:left w:val="nil"/>
              <w:bottom w:val="single" w:sz="6" w:color="000000" w:space="0"/>
              <w:right w:val="nil"/>
              <w:insideH w:val="nil"/>
              <w:insideV w:val="nil"/>
            </w:tcBorders>
            <w:tcMar>
              <w:top w:w="40" w:type="dxa"/>
              <w:left w:w="80" w:type="dxa"/>
              <w:bottom w:w="40" w:type="dxa"/>
              <w:right w:w="80" w:type="dxa"/>
            </w:tcMar>
          </w:tcPr>
          <w:p w14:paraId="6CDE34A1" w14:textId="77777777" w:rsidR="009262C4" w:rsidRDefault="00000000">
            <w:pPr>
              <w:keepNext/>
              <w:spacing w:after="40" w:line="240" w:lineRule="auto"/>
              <w:jc w:val="left"/>
            </w:pPr>
            <w:r>
              <w:rPr>
                <w:rFonts w:ascii="Palatino Linotype" w:hAnsi="Palatino Linotype" w:cs="Palatino Linotype"/>
                <w:b/>
                <w:bCs/>
                <w:color w:val="000000"/>
                <w:sz w:val="19"/>
                <w:szCs w:val="17"/>
              </w:rPr>
              <w:t>Status</w:t>
            </w:r>
          </w:p>
        </w:tc>
      </w:tr>
      <w:tr w:rsidR="009262C4" w14:paraId="310366C5"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4A171076" w14:textId="77777777" w:rsidR="009262C4" w:rsidRDefault="00000000">
            <w:pPr>
              <w:keepNext/>
              <w:spacing w:after="40" w:line="240" w:lineRule="auto"/>
              <w:jc w:val="left"/>
            </w:pPr>
            <w:r>
              <w:rPr>
                <w:rFonts w:ascii="Palatino Linotype" w:hAnsi="Palatino Linotype" w:cs="Palatino Linotype"/>
                <w:color w:val="000000"/>
                <w:sz w:val="19"/>
                <w:szCs w:val="17"/>
              </w:rPr>
              <w:t>RQ1</w:t>
            </w:r>
          </w:p>
        </w:tc>
        <w:tc>
          <w:tcPr>
            <w:tcW w:w="2340" w:type="dxa"/>
            <w:tcBorders>
              <w:top w:val="nil"/>
              <w:left w:val="nil"/>
              <w:bottom w:val="nil"/>
              <w:right w:val="nil"/>
              <w:insideH w:val="nil"/>
              <w:insideV w:val="nil"/>
            </w:tcBorders>
            <w:tcMar>
              <w:top w:w="40" w:type="dxa"/>
              <w:left w:w="80" w:type="dxa"/>
              <w:bottom w:w="40" w:type="dxa"/>
              <w:right w:w="80" w:type="dxa"/>
            </w:tcMar>
          </w:tcPr>
          <w:p w14:paraId="71DF6D4F" w14:textId="77777777" w:rsidR="009262C4" w:rsidRDefault="00000000">
            <w:pPr>
              <w:keepNext/>
              <w:spacing w:after="40" w:line="240" w:lineRule="auto"/>
              <w:jc w:val="left"/>
            </w:pPr>
            <w:r>
              <w:rPr>
                <w:rFonts w:ascii="Palatino Linotype" w:hAnsi="Palatino Linotype" w:cs="Palatino Linotype"/>
                <w:color w:val="000000"/>
                <w:sz w:val="19"/>
                <w:szCs w:val="17"/>
              </w:rPr>
              <w:t>RO1: Trust-Centric Consent Model</w:t>
            </w:r>
          </w:p>
        </w:tc>
        <w:tc>
          <w:tcPr>
            <w:tcW w:w="4544" w:type="dxa"/>
            <w:tcBorders>
              <w:top w:val="nil"/>
              <w:left w:val="nil"/>
              <w:bottom w:val="nil"/>
              <w:right w:val="nil"/>
              <w:insideH w:val="nil"/>
              <w:insideV w:val="nil"/>
            </w:tcBorders>
            <w:tcMar>
              <w:top w:w="40" w:type="dxa"/>
              <w:left w:w="80" w:type="dxa"/>
              <w:bottom w:w="40" w:type="dxa"/>
              <w:right w:w="80" w:type="dxa"/>
            </w:tcMar>
          </w:tcPr>
          <w:p w14:paraId="237165DD" w14:textId="77777777" w:rsidR="009262C4" w:rsidRDefault="00000000">
            <w:pPr>
              <w:keepNext/>
              <w:spacing w:after="40" w:line="240" w:lineRule="auto"/>
              <w:jc w:val="left"/>
            </w:pPr>
            <w:r>
              <w:rPr>
                <w:rFonts w:ascii="Palatino Linotype" w:hAnsi="Palatino Linotype" w:cs="Palatino Linotype"/>
                <w:color w:val="000000"/>
                <w:sz w:val="19"/>
                <w:szCs w:val="17"/>
              </w:rPr>
              <w:t>To develop a trust-aware consent model that represents patient consent as a structured and evaluable authorisation object.</w:t>
            </w:r>
          </w:p>
        </w:tc>
        <w:tc>
          <w:tcPr>
            <w:tcW w:w="1562" w:type="dxa"/>
            <w:tcBorders>
              <w:top w:val="nil"/>
              <w:left w:val="nil"/>
              <w:bottom w:val="nil"/>
              <w:right w:val="nil"/>
              <w:insideH w:val="nil"/>
              <w:insideV w:val="nil"/>
            </w:tcBorders>
            <w:tcMar>
              <w:top w:w="40" w:type="dxa"/>
              <w:left w:w="80" w:type="dxa"/>
              <w:bottom w:w="40" w:type="dxa"/>
              <w:right w:w="80" w:type="dxa"/>
            </w:tcMar>
          </w:tcPr>
          <w:p w14:paraId="505D93FE"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6726E0D0"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A8A51D4" w14:textId="77777777" w:rsidR="009262C4" w:rsidRDefault="00000000">
            <w:pPr>
              <w:keepNext/>
              <w:spacing w:after="40" w:line="240" w:lineRule="auto"/>
              <w:jc w:val="left"/>
            </w:pPr>
            <w:r>
              <w:rPr>
                <w:rFonts w:ascii="Palatino Linotype" w:hAnsi="Palatino Linotype" w:cs="Palatino Linotype"/>
                <w:color w:val="000000"/>
                <w:sz w:val="19"/>
                <w:szCs w:val="17"/>
              </w:rPr>
              <w:t>RQ2</w:t>
            </w:r>
          </w:p>
        </w:tc>
        <w:tc>
          <w:tcPr>
            <w:tcW w:w="2340" w:type="dxa"/>
            <w:tcBorders>
              <w:top w:val="nil"/>
              <w:left w:val="nil"/>
              <w:bottom w:val="nil"/>
              <w:right w:val="nil"/>
              <w:insideH w:val="nil"/>
              <w:insideV w:val="nil"/>
            </w:tcBorders>
            <w:tcMar>
              <w:top w:w="40" w:type="dxa"/>
              <w:left w:w="80" w:type="dxa"/>
              <w:bottom w:w="40" w:type="dxa"/>
              <w:right w:w="80" w:type="dxa"/>
            </w:tcMar>
          </w:tcPr>
          <w:p w14:paraId="5772300B" w14:textId="77777777" w:rsidR="009262C4" w:rsidRDefault="00000000">
            <w:pPr>
              <w:keepNext/>
              <w:spacing w:after="40" w:line="240" w:lineRule="auto"/>
              <w:jc w:val="left"/>
            </w:pPr>
            <w:r>
              <w:rPr>
                <w:rFonts w:ascii="Palatino Linotype" w:hAnsi="Palatino Linotype" w:cs="Palatino Linotype"/>
                <w:color w:val="000000"/>
                <w:sz w:val="19"/>
                <w:szCs w:val="17"/>
              </w:rPr>
              <w:t>RO2: Decentralised Identity and Authority Trust</w:t>
            </w:r>
          </w:p>
        </w:tc>
        <w:tc>
          <w:tcPr>
            <w:tcW w:w="4544" w:type="dxa"/>
            <w:tcBorders>
              <w:top w:val="nil"/>
              <w:left w:val="nil"/>
              <w:bottom w:val="nil"/>
              <w:right w:val="nil"/>
              <w:insideH w:val="nil"/>
              <w:insideV w:val="nil"/>
            </w:tcBorders>
            <w:tcMar>
              <w:top w:w="40" w:type="dxa"/>
              <w:left w:w="80" w:type="dxa"/>
              <w:bottom w:w="40" w:type="dxa"/>
              <w:right w:w="80" w:type="dxa"/>
            </w:tcMar>
          </w:tcPr>
          <w:p w14:paraId="52AA03C4" w14:textId="77777777" w:rsidR="009262C4" w:rsidRDefault="00000000">
            <w:pPr>
              <w:keepNext/>
              <w:spacing w:after="40" w:line="240" w:lineRule="auto"/>
              <w:jc w:val="left"/>
            </w:pPr>
            <w:r>
              <w:rPr>
                <w:rFonts w:ascii="Palatino Linotype" w:hAnsi="Palatino Linotype" w:cs="Palatino Linotype"/>
                <w:color w:val="000000"/>
                <w:sz w:val="19"/>
                <w:szCs w:val="17"/>
              </w:rPr>
              <w:t>To develop a decentralised identity and authority verification mechanism using decentralised identifiers and verifiable credentials.</w:t>
            </w:r>
          </w:p>
        </w:tc>
        <w:tc>
          <w:tcPr>
            <w:tcW w:w="1562" w:type="dxa"/>
            <w:tcBorders>
              <w:top w:val="nil"/>
              <w:left w:val="nil"/>
              <w:bottom w:val="nil"/>
              <w:right w:val="nil"/>
              <w:insideH w:val="nil"/>
              <w:insideV w:val="nil"/>
            </w:tcBorders>
            <w:tcMar>
              <w:top w:w="40" w:type="dxa"/>
              <w:left w:w="80" w:type="dxa"/>
              <w:bottom w:w="40" w:type="dxa"/>
              <w:right w:w="80" w:type="dxa"/>
            </w:tcMar>
          </w:tcPr>
          <w:p w14:paraId="5F5F5403"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422D918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98B70B7" w14:textId="77777777" w:rsidR="009262C4" w:rsidRDefault="00000000">
            <w:pPr>
              <w:keepNext/>
              <w:spacing w:after="40" w:line="240" w:lineRule="auto"/>
              <w:jc w:val="left"/>
            </w:pPr>
            <w:r>
              <w:rPr>
                <w:rFonts w:ascii="Palatino Linotype" w:hAnsi="Palatino Linotype" w:cs="Palatino Linotype"/>
                <w:color w:val="000000"/>
                <w:sz w:val="19"/>
                <w:szCs w:val="17"/>
              </w:rPr>
              <w:t>RQ3</w:t>
            </w:r>
          </w:p>
        </w:tc>
        <w:tc>
          <w:tcPr>
            <w:tcW w:w="2340" w:type="dxa"/>
            <w:tcBorders>
              <w:top w:val="nil"/>
              <w:left w:val="nil"/>
              <w:bottom w:val="nil"/>
              <w:right w:val="nil"/>
              <w:insideH w:val="nil"/>
              <w:insideV w:val="nil"/>
            </w:tcBorders>
            <w:tcMar>
              <w:top w:w="40" w:type="dxa"/>
              <w:left w:w="80" w:type="dxa"/>
              <w:bottom w:w="40" w:type="dxa"/>
              <w:right w:w="80" w:type="dxa"/>
            </w:tcMar>
          </w:tcPr>
          <w:p w14:paraId="556FFE90" w14:textId="77777777" w:rsidR="009262C4" w:rsidRDefault="00000000">
            <w:pPr>
              <w:keepNext/>
              <w:spacing w:after="40" w:line="240" w:lineRule="auto"/>
              <w:jc w:val="left"/>
            </w:pPr>
            <w:r>
              <w:rPr>
                <w:rFonts w:ascii="Palatino Linotype" w:hAnsi="Palatino Linotype" w:cs="Palatino Linotype"/>
                <w:color w:val="000000"/>
                <w:sz w:val="19"/>
                <w:szCs w:val="17"/>
              </w:rPr>
              <w:t>RO3: Trustworthy Multi-Party Authorisation</w:t>
            </w:r>
          </w:p>
        </w:tc>
        <w:tc>
          <w:tcPr>
            <w:tcW w:w="4544" w:type="dxa"/>
            <w:tcBorders>
              <w:top w:val="nil"/>
              <w:left w:val="nil"/>
              <w:bottom w:val="nil"/>
              <w:right w:val="nil"/>
              <w:insideH w:val="nil"/>
              <w:insideV w:val="nil"/>
            </w:tcBorders>
            <w:tcMar>
              <w:top w:w="40" w:type="dxa"/>
              <w:left w:w="80" w:type="dxa"/>
              <w:bottom w:w="40" w:type="dxa"/>
              <w:right w:w="80" w:type="dxa"/>
            </w:tcMar>
          </w:tcPr>
          <w:p w14:paraId="4485AB3C" w14:textId="77777777" w:rsidR="009262C4" w:rsidRDefault="00000000">
            <w:pPr>
              <w:keepNext/>
              <w:spacing w:after="40" w:line="240" w:lineRule="auto"/>
              <w:jc w:val="left"/>
            </w:pPr>
            <w:r>
              <w:rPr>
                <w:rFonts w:ascii="Palatino Linotype" w:hAnsi="Palatino Linotype" w:cs="Palatino Linotype"/>
                <w:color w:val="000000"/>
                <w:sz w:val="19"/>
                <w:szCs w:val="17"/>
              </w:rPr>
              <w:t>To develop a threshold-based multi-party authorisation mechanism through which multiple independently verified participants and guardians can jointly establish a trustworthy consent decision.</w:t>
            </w:r>
          </w:p>
        </w:tc>
        <w:tc>
          <w:tcPr>
            <w:tcW w:w="1562" w:type="dxa"/>
            <w:tcBorders>
              <w:top w:val="nil"/>
              <w:left w:val="nil"/>
              <w:bottom w:val="nil"/>
              <w:right w:val="nil"/>
              <w:insideH w:val="nil"/>
              <w:insideV w:val="nil"/>
            </w:tcBorders>
            <w:tcMar>
              <w:top w:w="40" w:type="dxa"/>
              <w:left w:w="80" w:type="dxa"/>
              <w:bottom w:w="40" w:type="dxa"/>
              <w:right w:w="80" w:type="dxa"/>
            </w:tcMar>
          </w:tcPr>
          <w:p w14:paraId="5706FD3A"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29B69BC2"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6933F03B" w14:textId="77777777" w:rsidR="009262C4" w:rsidRDefault="00000000">
            <w:pPr>
              <w:keepNext/>
              <w:spacing w:after="40" w:line="240" w:lineRule="auto"/>
              <w:jc w:val="left"/>
            </w:pPr>
            <w:r>
              <w:rPr>
                <w:rFonts w:ascii="Palatino Linotype" w:hAnsi="Palatino Linotype" w:cs="Palatino Linotype"/>
                <w:color w:val="000000"/>
                <w:sz w:val="19"/>
                <w:szCs w:val="17"/>
              </w:rPr>
              <w:t>RQ4</w:t>
            </w:r>
          </w:p>
        </w:tc>
        <w:tc>
          <w:tcPr>
            <w:tcW w:w="2340" w:type="dxa"/>
            <w:tcBorders>
              <w:top w:val="nil"/>
              <w:left w:val="nil"/>
              <w:bottom w:val="nil"/>
              <w:right w:val="nil"/>
              <w:insideH w:val="nil"/>
              <w:insideV w:val="nil"/>
            </w:tcBorders>
            <w:tcMar>
              <w:top w:w="40" w:type="dxa"/>
              <w:left w:w="80" w:type="dxa"/>
              <w:bottom w:w="40" w:type="dxa"/>
              <w:right w:w="80" w:type="dxa"/>
            </w:tcMar>
          </w:tcPr>
          <w:p w14:paraId="0893F6A2" w14:textId="77777777" w:rsidR="009262C4" w:rsidRDefault="00000000">
            <w:pPr>
              <w:keepNext/>
              <w:spacing w:after="40" w:line="240" w:lineRule="auto"/>
              <w:jc w:val="left"/>
            </w:pPr>
            <w:r>
              <w:rPr>
                <w:rFonts w:ascii="Palatino Linotype" w:hAnsi="Palatino Linotype" w:cs="Palatino Linotype"/>
                <w:color w:val="000000"/>
                <w:sz w:val="19"/>
                <w:szCs w:val="17"/>
              </w:rPr>
              <w:t>RO4: Policy- and Context-Aware Access Control</w:t>
            </w:r>
          </w:p>
        </w:tc>
        <w:tc>
          <w:tcPr>
            <w:tcW w:w="4544" w:type="dxa"/>
            <w:tcBorders>
              <w:top w:val="nil"/>
              <w:left w:val="nil"/>
              <w:bottom w:val="nil"/>
              <w:right w:val="nil"/>
              <w:insideH w:val="nil"/>
              <w:insideV w:val="nil"/>
            </w:tcBorders>
            <w:tcMar>
              <w:top w:w="40" w:type="dxa"/>
              <w:left w:w="80" w:type="dxa"/>
              <w:bottom w:w="40" w:type="dxa"/>
              <w:right w:w="80" w:type="dxa"/>
            </w:tcMar>
          </w:tcPr>
          <w:p w14:paraId="2F69473F" w14:textId="77777777" w:rsidR="009262C4" w:rsidRDefault="00000000">
            <w:pPr>
              <w:keepNext/>
              <w:spacing w:after="40" w:line="240" w:lineRule="auto"/>
              <w:jc w:val="left"/>
            </w:pPr>
            <w:r>
              <w:rPr>
                <w:rFonts w:ascii="Palatino Linotype" w:hAnsi="Palatino Linotype" w:cs="Palatino Linotype"/>
                <w:color w:val="000000"/>
                <w:sz w:val="19"/>
                <w:szCs w:val="17"/>
              </w:rPr>
              <w:t>To develop a policy-aware authorisation mechanism that evaluates the purpose and data scope of a requested operation against the constraints defined by the consent.</w:t>
            </w:r>
          </w:p>
        </w:tc>
        <w:tc>
          <w:tcPr>
            <w:tcW w:w="1562" w:type="dxa"/>
            <w:tcBorders>
              <w:top w:val="nil"/>
              <w:left w:val="nil"/>
              <w:bottom w:val="nil"/>
              <w:right w:val="nil"/>
              <w:insideH w:val="nil"/>
              <w:insideV w:val="nil"/>
            </w:tcBorders>
            <w:tcMar>
              <w:top w:w="40" w:type="dxa"/>
              <w:left w:w="80" w:type="dxa"/>
              <w:bottom w:w="40" w:type="dxa"/>
              <w:right w:w="80" w:type="dxa"/>
            </w:tcMar>
          </w:tcPr>
          <w:p w14:paraId="74DEFDAC" w14:textId="77777777" w:rsidR="009262C4" w:rsidRDefault="00000000">
            <w:pPr>
              <w:keepNext/>
              <w:spacing w:after="40" w:line="240" w:lineRule="auto"/>
              <w:jc w:val="left"/>
            </w:pPr>
            <w:r>
              <w:rPr>
                <w:rFonts w:ascii="Palatino Linotype" w:hAnsi="Palatino Linotype" w:cs="Palatino Linotype"/>
                <w:color w:val="000000"/>
                <w:sz w:val="19"/>
                <w:szCs w:val="17"/>
              </w:rPr>
              <w:t>Done</w:t>
            </w:r>
          </w:p>
        </w:tc>
      </w:tr>
      <w:tr w:rsidR="009262C4" w14:paraId="0A812D5A"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5D822715" w14:textId="77777777" w:rsidR="009262C4" w:rsidRDefault="00000000">
            <w:pPr>
              <w:keepNext/>
              <w:spacing w:after="40" w:line="240" w:lineRule="auto"/>
              <w:jc w:val="left"/>
            </w:pPr>
            <w:r>
              <w:rPr>
                <w:rFonts w:ascii="Palatino Linotype" w:hAnsi="Palatino Linotype" w:cs="Palatino Linotype"/>
                <w:color w:val="000000"/>
                <w:sz w:val="19"/>
                <w:szCs w:val="17"/>
              </w:rPr>
              <w:t>RQ5</w:t>
            </w:r>
          </w:p>
        </w:tc>
        <w:tc>
          <w:tcPr>
            <w:tcW w:w="2340" w:type="dxa"/>
            <w:tcBorders>
              <w:top w:val="nil"/>
              <w:left w:val="nil"/>
              <w:bottom w:val="nil"/>
              <w:right w:val="nil"/>
              <w:insideH w:val="nil"/>
              <w:insideV w:val="nil"/>
            </w:tcBorders>
            <w:tcMar>
              <w:top w:w="40" w:type="dxa"/>
              <w:left w:w="80" w:type="dxa"/>
              <w:bottom w:w="40" w:type="dxa"/>
              <w:right w:w="80" w:type="dxa"/>
            </w:tcMar>
          </w:tcPr>
          <w:p w14:paraId="65224703" w14:textId="77777777" w:rsidR="009262C4" w:rsidRDefault="00000000">
            <w:pPr>
              <w:keepNext/>
              <w:spacing w:after="40" w:line="240" w:lineRule="auto"/>
              <w:jc w:val="left"/>
            </w:pPr>
            <w:r>
              <w:rPr>
                <w:rFonts w:ascii="Palatino Linotype" w:hAnsi="Palatino Linotype" w:cs="Palatino Linotype"/>
                <w:color w:val="000000"/>
                <w:sz w:val="19"/>
                <w:szCs w:val="17"/>
              </w:rPr>
              <w:t>RO5: Temporal and Lifecycle Trust</w:t>
            </w:r>
          </w:p>
        </w:tc>
        <w:tc>
          <w:tcPr>
            <w:tcW w:w="4544" w:type="dxa"/>
            <w:tcBorders>
              <w:top w:val="nil"/>
              <w:left w:val="nil"/>
              <w:bottom w:val="nil"/>
              <w:right w:val="nil"/>
              <w:insideH w:val="nil"/>
              <w:insideV w:val="nil"/>
            </w:tcBorders>
            <w:tcMar>
              <w:top w:w="40" w:type="dxa"/>
              <w:left w:w="80" w:type="dxa"/>
              <w:bottom w:w="40" w:type="dxa"/>
              <w:right w:w="80" w:type="dxa"/>
            </w:tcMar>
          </w:tcPr>
          <w:p w14:paraId="6F0B3DFD" w14:textId="77777777" w:rsidR="009262C4" w:rsidRDefault="00000000">
            <w:pPr>
              <w:keepNext/>
              <w:spacing w:after="40" w:line="240" w:lineRule="auto"/>
              <w:jc w:val="left"/>
            </w:pPr>
            <w:r>
              <w:rPr>
                <w:rFonts w:ascii="Palatino Linotype" w:hAnsi="Palatino Linotype" w:cs="Palatino Linotype"/>
                <w:color w:val="000000"/>
                <w:sz w:val="19"/>
                <w:szCs w:val="17"/>
              </w:rPr>
              <w:t>To extend the trust-oriented framework with temporal validity and consent lifecycle controls.</w:t>
            </w:r>
          </w:p>
        </w:tc>
        <w:tc>
          <w:tcPr>
            <w:tcW w:w="1562" w:type="dxa"/>
            <w:tcBorders>
              <w:top w:val="nil"/>
              <w:left w:val="nil"/>
              <w:bottom w:val="nil"/>
              <w:right w:val="nil"/>
              <w:insideH w:val="nil"/>
              <w:insideV w:val="nil"/>
            </w:tcBorders>
            <w:tcMar>
              <w:top w:w="40" w:type="dxa"/>
              <w:left w:w="80" w:type="dxa"/>
              <w:bottom w:w="40" w:type="dxa"/>
              <w:right w:w="80" w:type="dxa"/>
            </w:tcMar>
          </w:tcPr>
          <w:p w14:paraId="1D561570" w14:textId="77777777" w:rsidR="009262C4" w:rsidRDefault="00000000">
            <w:pPr>
              <w:keepNext/>
              <w:spacing w:after="40" w:line="240" w:lineRule="auto"/>
              <w:jc w:val="left"/>
            </w:pPr>
            <w:r>
              <w:rPr>
                <w:rFonts w:ascii="Palatino Linotype" w:hAnsi="Palatino Linotype" w:cs="Palatino Linotype"/>
                <w:color w:val="000000"/>
                <w:sz w:val="19"/>
                <w:szCs w:val="17"/>
              </w:rPr>
              <w:t>In Progress</w:t>
            </w:r>
          </w:p>
        </w:tc>
      </w:tr>
      <w:tr w:rsidR="009262C4" w14:paraId="7B2340AD" w14:textId="77777777">
        <w:trPr>
          <w:cantSplit/>
        </w:trPr>
        <w:tc>
          <w:tcPr>
            <w:tcW w:w="682" w:type="dxa"/>
            <w:tcBorders>
              <w:top w:val="nil"/>
              <w:left w:val="nil"/>
              <w:bottom w:val="nil"/>
              <w:right w:val="nil"/>
              <w:insideH w:val="nil"/>
              <w:insideV w:val="nil"/>
            </w:tcBorders>
            <w:tcMar>
              <w:top w:w="40" w:type="dxa"/>
              <w:left w:w="80" w:type="dxa"/>
              <w:bottom w:w="40" w:type="dxa"/>
              <w:right w:w="80" w:type="dxa"/>
            </w:tcMar>
          </w:tcPr>
          <w:p w14:paraId="18B589FF" w14:textId="77777777" w:rsidR="009262C4" w:rsidRDefault="00000000">
            <w:pPr>
              <w:spacing w:after="40" w:line="240" w:lineRule="auto"/>
              <w:jc w:val="left"/>
            </w:pPr>
            <w:r>
              <w:rPr>
                <w:rFonts w:ascii="Palatino Linotype" w:hAnsi="Palatino Linotype" w:cs="Palatino Linotype"/>
                <w:color w:val="000000"/>
                <w:sz w:val="19"/>
                <w:szCs w:val="17"/>
              </w:rPr>
              <w:t>RQ6</w:t>
            </w:r>
          </w:p>
        </w:tc>
        <w:tc>
          <w:tcPr>
            <w:tcW w:w="2340" w:type="dxa"/>
            <w:tcBorders>
              <w:top w:val="nil"/>
              <w:left w:val="nil"/>
              <w:bottom w:val="nil"/>
              <w:right w:val="nil"/>
              <w:insideH w:val="nil"/>
              <w:insideV w:val="nil"/>
            </w:tcBorders>
            <w:tcMar>
              <w:top w:w="40" w:type="dxa"/>
              <w:left w:w="80" w:type="dxa"/>
              <w:bottom w:w="40" w:type="dxa"/>
              <w:right w:w="80" w:type="dxa"/>
            </w:tcMar>
          </w:tcPr>
          <w:p w14:paraId="077BCD3D" w14:textId="77777777" w:rsidR="009262C4" w:rsidRDefault="00000000">
            <w:pPr>
              <w:spacing w:after="40" w:line="240" w:lineRule="auto"/>
              <w:jc w:val="left"/>
            </w:pPr>
            <w:r>
              <w:rPr>
                <w:rFonts w:ascii="Palatino Linotype" w:hAnsi="Palatino Linotype" w:cs="Palatino Linotype"/>
                <w:color w:val="000000"/>
                <w:sz w:val="19"/>
                <w:szCs w:val="17"/>
              </w:rPr>
              <w:t>RO6: Formal Security Assurance and Empirical Validation</w:t>
            </w:r>
          </w:p>
        </w:tc>
        <w:tc>
          <w:tcPr>
            <w:tcW w:w="4544" w:type="dxa"/>
            <w:tcBorders>
              <w:top w:val="nil"/>
              <w:left w:val="nil"/>
              <w:bottom w:val="nil"/>
              <w:right w:val="nil"/>
              <w:insideH w:val="nil"/>
              <w:insideV w:val="nil"/>
            </w:tcBorders>
            <w:tcMar>
              <w:top w:w="40" w:type="dxa"/>
              <w:left w:w="80" w:type="dxa"/>
              <w:bottom w:w="40" w:type="dxa"/>
              <w:right w:w="80" w:type="dxa"/>
            </w:tcMar>
          </w:tcPr>
          <w:p w14:paraId="337D4938" w14:textId="77777777" w:rsidR="009262C4" w:rsidRDefault="00000000">
            <w:pPr>
              <w:spacing w:after="40" w:line="240" w:lineRule="auto"/>
              <w:jc w:val="left"/>
            </w:pPr>
            <w:r>
              <w:rPr>
                <w:rFonts w:ascii="Palatino Linotype" w:hAnsi="Palatino Linotype" w:cs="Palatino Linotype"/>
                <w:color w:val="000000"/>
                <w:sz w:val="19"/>
                <w:szCs w:val="17"/>
              </w:rPr>
              <w:t>To formally analyse and empirically evaluate whether the implemented framework satisfies its defined trust and authorisation properties under representative healthcare data-sharing scenarios.</w:t>
            </w:r>
          </w:p>
        </w:tc>
        <w:tc>
          <w:tcPr>
            <w:tcW w:w="1562" w:type="dxa"/>
            <w:tcBorders>
              <w:top w:val="nil"/>
              <w:left w:val="nil"/>
              <w:bottom w:val="nil"/>
              <w:right w:val="nil"/>
              <w:insideH w:val="nil"/>
              <w:insideV w:val="nil"/>
            </w:tcBorders>
            <w:tcMar>
              <w:top w:w="40" w:type="dxa"/>
              <w:left w:w="80" w:type="dxa"/>
              <w:bottom w:w="40" w:type="dxa"/>
              <w:right w:w="80" w:type="dxa"/>
            </w:tcMar>
          </w:tcPr>
          <w:p w14:paraId="686EBBB0" w14:textId="77777777" w:rsidR="009262C4" w:rsidRDefault="00000000">
            <w:pPr>
              <w:spacing w:after="40" w:line="240" w:lineRule="auto"/>
              <w:jc w:val="left"/>
            </w:pPr>
            <w:r>
              <w:rPr>
                <w:rFonts w:ascii="Palatino Linotype" w:hAnsi="Palatino Linotype" w:cs="Palatino Linotype"/>
                <w:color w:val="000000"/>
                <w:sz w:val="19"/>
                <w:szCs w:val="17"/>
              </w:rPr>
              <w:t>Partially completed</w:t>
            </w:r>
          </w:p>
        </w:tc>
      </w:tr>
    </w:tbl>
    <w:p w14:paraId="127522B7" w14:textId="77777777" w:rsidR="009262C4" w:rsidRDefault="009262C4">
      <w:pPr>
        <w:spacing w:after="160"/>
      </w:pPr>
    </w:p>
    <w:p>
      <w:pPr>
        <w:pStyle w:val="2"/>
      </w:pPr>
      <w:r>
        <w:t>3.6 Conclusion</w:t>
      </w:r>
    </w:p>
    <w:p>
      <w:pPr/>
      <w:r>
        <w:t>This chapter stated the research problem. The gap found in Chapter 2 is the absence of an integrated model in which identity, authority, multi-party approval, policy, temporal validity and lifecycle state are evaluated together at every access request, with an approving set defined by the patient, and in which that joint decision is formally and empirically assured. The first five requirement-level gaps form the conjunction gap and the sixth forms the assurance gap.</w:t>
      </w:r>
    </w:p>
    <w:p>
      <w:pPr/>
      <w:r>
        <w:t>From this gap, one main research question was stated: how a trust-oriented computing framework can establish and enforce trustworthy multi-party consent for decentralised healthcare data sharing under identity, authority and policy constraints. The question was divided into six sub-research questions, one per gap, and each sub-research question was matched with one research objective. The six questions are not independent: the first defines the consent object, the second and third establish who may take part and how they decide together, the fourth and fifth decide whether a particular request is allowed now, and the sixth assures the whole. The next chapter presents the research methodology and an overview of the solution proposed for each question.</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4</w:t>
            </w:r>
          </w:p>
        </w:tc>
      </w:tr>
    </w:tbl>
    <w:p>
      <w:pPr>
        <w:pStyle w:val="1"/>
        <w:spacing w:before="360"/>
      </w:pPr>
      <w:r/>
      <w:r>
        <w:rPr>
          <w:vanish/>
        </w:rPr>
        <w:t xml:space="preserve">4. </w:t>
      </w:r>
      <w:r>
        <w:rPr>
          <w:smallCaps/>
        </w:rPr>
        <w:t>Research Methodology and Solution Overview</w:t>
      </w:r>
    </w:p>
    <w:p>
      <w:pPr>
        <w:pStyle w:val="2"/>
      </w:pPr>
      <w:r>
        <w:t>4.1 Introduction</w:t>
      </w:r>
    </w:p>
    <w:p>
      <w:pPr/>
      <w:r>
        <w:t>Chapter 3 stated the research gap, the main research question, the six sub-research questions and the six research objectives. This chapter explains how the research was carried out and gives an overview of the solution before the detailed chapters. Section 4.2 defines the terms that the solution uses and that Chapter 3 did not define. Section 4.3 presents the selected research methodology, Design Science Research, and shows what each of its stages produced in this thesis. Section 4.4 gives an overview of the solution as one end-to-end workflow, from the creation of a consent to the recording of an access decision. Sections 4.5 to 4.10 give an overview of the solution for each research question, RQ1 to RQ6, and name the chapter in which each solution is presented in full. Section 4.11 concludes the chapter.</w:t>
      </w:r>
    </w:p>
    <w:p>
      <w:pPr>
        <w:pStyle w:val="2"/>
      </w:pPr>
      <w:r>
        <w:t>4.2 Key Definitions</w:t>
      </w:r>
    </w:p>
    <w:p>
      <w:pPr/>
      <w:r>
        <w:t>The following terms are used in the overview of the solution and in the chapters that follow. The patient, the guardian set G, the threshold N, the authorised doctor D, the access request R and the consent object C were defined in Chapter 3.</w:t>
      </w:r>
    </w:p>
    <w:p>
      <w:pPr/>
      <w:r>
        <w:t>Trust predicate. A condition that must hold before access is allowed, evaluated as true or false at the time of the request. The framework has five: VI for identity and authority, VA for collective authorisation, VP for policy and context, VT for temporal validity and VL for the lifecycle state.</w:t>
      </w:r>
    </w:p>
    <w:p>
      <w:pPr/>
      <w:r>
        <w:t>Decision function. The rule Decision(C, R, t) that returns ALLOW only when all five trust predicates hold for the consent C, the request R and the time t, and DENY otherwise. It was stated as Equation (3.2).</w:t>
      </w:r>
    </w:p>
    <w:p>
      <w:pPr/>
      <w:r>
        <w:t>Approval. A signed statement by one guardian that approves one consent. An approval is valid only when it is signed by a member of G who has not already approved the same consent.</w:t>
      </w:r>
    </w:p>
    <w:p>
      <w:pPr/>
      <w:r>
        <w:t>Verified approving set Av. The subset of G whose approvals have been verified. The consent becomes active when |Av| reaches N.</w:t>
      </w:r>
    </w:p>
    <w:p>
      <w:pPr/>
      <w:r>
        <w:t>Lifecycle state. The state of a consent at a point in time: pending until the guardians have approved, not started before its start time, active while it can release data, and expired or revoked when it no longer can.</w:t>
      </w:r>
    </w:p>
    <w:p>
      <w:pPr/>
      <w:r>
        <w:t>Audit event. A record written to the audit ledger for every action on a consent, including its creation, each approval, each access decision with the result of the five predicates, and its revocation.</w:t>
      </w:r>
    </w:p>
    <w:p>
      <w:pPr/>
      <w:r>
        <w:t>Scenario. One complete run of the prototype that exercises a defined path, such as the creation and approval of a consent followed by an allowed request, or a request made after revocation.</w:t>
      </w:r>
    </w:p>
    <w:p>
      <w:pPr/>
      <w:r>
        <w:t>Attack scenario. A deliberate attempt to obtain access while one of the trust conditions is not satisfied, such as an approval from a signer outside G or a request outside the authorised data scope. The framework must refuse every attack scenario.</w:t>
      </w:r>
    </w:p>
    <w:p>
      <w:pPr/>
      <w:r>
        <w:t>Prototype. The HALAH implementation of the framework, used to show that the design can be built and to evaluate it against the scenarios and attack scenarios.</w:t>
      </w:r>
    </w:p>
    <w:p>
      <w:pPr>
        <w:pStyle w:val="2"/>
      </w:pPr>
      <w:r>
        <w:t>4.3 Selected Research Methodology</w:t>
      </w:r>
    </w:p>
    <w:p>
      <w:pPr>
        <w:spacing w:after="110" w:line="264" w:lineRule="auto"/>
        <w:jc w:val="both"/>
      </w:pPr>
      <w:r>
        <w:t xml:space="preserve">This research follows the Design Science Research (DSR) methodology, based on the process model of Peffers et al. (2007), as shown in Figure 4.1. DSR fits this research because its aim is to design and evaluate an artefact, the trust-oriented authorisation framework and its HALAH prototype, that addresses an identified problem. The process has five stages. Knowledge gained in each stage feeds back into the process through iteration, so that the design is refined over successive cycles.</w:t>
      </w:r>
    </w:p>
    <w:p>
      <w:pPr>
        <w:jc w:val="center"/>
      </w:pPr>
      <w:r>
        <w:drawing>
          <wp:inline xmlns:a="http://schemas.openxmlformats.org/drawingml/2006/main" xmlns:pic="http://schemas.openxmlformats.org/drawingml/2006/picture">
            <wp:extent cx="5400000" cy="2582437"/>
            <wp:docPr id="1228340193" name="Picture 1228340193"/>
            <wp:cNvGraphicFramePr>
              <a:graphicFrameLocks noChangeAspect="1"/>
            </wp:cNvGraphicFramePr>
            <a:graphic>
              <a:graphicData uri="http://schemas.openxmlformats.org/drawingml/2006/picture">
                <pic:pic>
                  <pic:nvPicPr>
                    <pic:cNvPr id="0" name="dsr_halah.png"/>
                    <pic:cNvPicPr/>
                  </pic:nvPicPr>
                  <pic:blipFill>
                    <a:blip r:embed="rId37"/>
                    <a:stretch>
                      <a:fillRect/>
                    </a:stretch>
                  </pic:blipFill>
                  <pic:spPr>
                    <a:xfrm>
                      <a:off x="0" y="0"/>
                      <a:ext cx="5400000" cy="2582437"/>
                    </a:xfrm>
                    <a:prstGeom prst="rect"/>
                  </pic:spPr>
                </pic:pic>
              </a:graphicData>
            </a:graphic>
          </wp:inline>
        </w:drawing>
      </w:r>
    </w:p>
    <w:p>
      <w:pPr>
        <w:spacing w:after="160" w:before="160"/>
        <w:jc w:val="center"/>
      </w:pPr>
      <w:r>
        <w:rPr>
          <w:b/>
          <w:bCs/>
          <w:sz w:val="20"/>
          <w:szCs w:val="18"/>
        </w:rPr>
        <w:t>Figure 4.1: The Design Science Research process of this thesis, with the output of each stage, adapted from Peffers et al. (2007).</w:t>
      </w:r>
    </w:p>
    <w:p>
      <w:pPr>
        <w:spacing w:after="110" w:line="264" w:lineRule="auto"/>
        <w:jc w:val="both"/>
      </w:pPr>
      <w:r>
        <w:t xml:space="preserve">In the awareness-of-problem stage, the </w:t>
      </w:r>
      <w:r>
        <w:t>systematic literature review of Chapter 2</w:t>
      </w:r>
      <w:r>
        <w:t xml:space="preserve"> identified the fragmentation of trust conditions in existing consent mechanisms, and its output is the research proposal. In the suggestion stage, the research gap was turned into the research questions RQ1 to RQ6, the research objectives RO1 to RO6, and the integrated trust model, which together form the tentative design. In the design and development stage, the consent object C, the MVC architecture, and Algorithms 1 to 6 were designed, and the HALAH artefact was implemented on the Sepolia testnet </w:t>
      </w:r>
      <w:r>
        <w:t>(Chapters 5 to 10)</w:t>
      </w:r>
      <w:r>
        <w:t xml:space="preserve">. In the evaluation stage, the artefact was evaluated through access scenarios, 46 automated tests including twelve attack scenarios, and measurements of gas and processing time, which provide the performance measures </w:t>
      </w:r>
      <w:r>
        <w:t>(Chapter 10)</w:t>
      </w:r>
      <w:r>
        <w:t>. In the conclusion stage, the results, the contributions, and the remaining lifecycle and assurance work are reported.</w:t>
      </w:r>
    </w:p>
    <w:p>
      <w:pPr>
        <w:pStyle w:val="2"/>
      </w:pPr>
      <w:r>
        <w:t>4.4 Solution Overview</w:t>
      </w:r>
    </w:p>
    <w:p>
      <w:pPr/>
      <w:r>
        <w:t>The framework is best understood as one workflow that starts when a patient creates a consent and ends when an access decision is recorded. This section presents that workflow and the two conditions that govern the collective authorisation step. The architecture that carries the workflow is presented in Chapter 5.</w:t>
      </w:r>
    </w:p>
    <w:p w14:paraId="2CACE7B1" w14:textId="77777777" w:rsidR="009262C4" w:rsidRDefault="00000000">
      <w:pPr>
        <w:spacing w:after="110" w:line="264" w:lineRule="auto"/>
        <w:jc w:val="both"/>
      </w:pPr>
      <w:r>
        <w:t>Figure 4.2</w:t>
      </w:r>
      <w:r>
        <w:t xml:space="preserve"> presents the end-to-end workflow of the proposed framework. The workflow begins when the patient creates a consent request. The consent specification defines the intended purpose, permitted data scope, and other authorisation conditions. This step establishes what the patient intends to authorise and provides the policy context against which subsequent access requests can be evaluated. The next step of the workflow applies a decentralised identity and authority verification mechanism using Decentralised Identifiers and Verifiable Credentials. The framework separates identity authentication from authorisation. A successfully verified DID or VC does not, by itself, grant permission to access patient data. The framework then collects the participants' independent approvals and evaluates whether the predefined authorisation threshold has been satisfied. Let A</w:t>
      </w:r>
      <w:r>
        <w:rPr>
          <w:vertAlign w:val="subscript"/>
        </w:rPr>
        <w:t>v</w:t>
      </w:r>
      <w:r>
        <w:t xml:space="preserve"> denote the set of participants whose approvals have been verified and let N denote the required authorisation threshold, as in </w:t>
      </w:r>
      <w:r>
        <w:t>Equation (4.1)</w:t>
      </w:r>
      <w:r>
        <w:t>. Here, Token(C) ≠ ∅ means that C has been assigned a token identifier, and Revoked(C) = 0 means that the consent has not been revoked.</w:t>
      </w:r>
    </w:p>
    <w:p w14:paraId="00414E24" w14:textId="77777777" w:rsidR="009262C4" w:rsidRDefault="00000000">
      <w:pPr>
        <w:keepNext/>
        <w:spacing w:before="160" w:after="60"/>
        <w:jc w:val="center"/>
      </w:pPr>
      <w:r>
        <w:rPr>
          <w:noProof/>
        </w:rPr>
        <w:drawing>
          <wp:inline distT="0" distB="0" distL="0" distR="0" wp14:anchorId="28B6F1DD" wp14:editId="0D6977DE">
            <wp:extent cx="3305175" cy="5334000"/>
            <wp:effectExtent l="0" t="0" r="0" b="0"/>
            <wp:docPr id="1335237902" name="F9.png" descr="End-to-end workflow of the trust-oriented consent authorisation framework" title="End-to-end workflow of the trust-oriented consent authorisation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5334000"/>
                    </a:xfrm>
                    <a:prstGeom prst="rect">
                      <a:avLst/>
                    </a:prstGeom>
                  </pic:spPr>
                </pic:pic>
              </a:graphicData>
            </a:graphic>
          </wp:inline>
        </w:drawing>
      </w:r>
    </w:p>
    <w:p w14:paraId="645F7093" w14:textId="77777777" w:rsidR="009262C4" w:rsidRDefault="00000000">
      <w:pPr>
        <w:spacing w:after="160" w:before="160"/>
        <w:jc w:val="center"/>
      </w:pPr>
      <w:r>
        <w:rPr>
          <w:b/>
          <w:bCs/>
          <w:sz w:val="20"/>
          <w:szCs w:val="18"/>
        </w:rPr>
        <w:t>Figure 4.2</w:t>
      </w:r>
      <w:r>
        <w:rPr>
          <w:b/>
          <w:bCs/>
          <w:sz w:val="20"/>
          <w:szCs w:val="18"/>
        </w:rPr>
        <w:t xml:space="preserve">: </w:t>
      </w:r>
      <w:r>
        <w:rPr>
          <w:sz w:val="20"/>
          <w:szCs w:val="18"/>
        </w:rPr>
        <w:t>End-to-end workflow of the trust-oriented consent authorisation framework.</w:t>
      </w:r>
    </w:p>
    <w:p w14:paraId="3C6EABC5"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V</w:t>
      </w:r>
      <w:r>
        <w:rPr>
          <w:rFonts w:ascii="Cambria Math" w:eastAsia="Cambria Math" w:hAnsi="Cambria Math" w:cs="Cambria Math"/>
          <w:sz w:val="18"/>
          <w:szCs w:val="18"/>
          <w:vertAlign w:val="subscript"/>
        </w:rPr>
        <w:t>A</w:t>
      </w:r>
      <w:r>
        <w:rPr>
          <w:rFonts w:ascii="Cambria Math" w:eastAsia="Cambria Math" w:hAnsi="Cambria Math" w:cs="Cambria Math"/>
          <w:sz w:val="18"/>
          <w:szCs w:val="18"/>
        </w:rPr>
        <w:t>(C) = 1 if |A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 N ∧ Token(C) ≠ ∅ ∧ Revoked(C) = 0, and 0 otherwise.</w:t>
      </w:r>
      <w:r>
        <w:tab/>
      </w:r>
      <w:r>
        <w:t>(4.1)</w:t>
      </w:r>
    </w:p>
    <w:p w14:paraId="7CC069CC" w14:textId="77777777" w:rsidR="009262C4" w:rsidRDefault="00000000">
      <w:pPr>
        <w:spacing w:after="110" w:line="264" w:lineRule="auto"/>
        <w:jc w:val="both"/>
      </w:pPr>
      <w:r>
        <w:t>Only independently verified participants can contribute to the set of verified approving participants A</w:t>
      </w:r>
      <w:r>
        <w:rPr>
          <w:vertAlign w:val="subscript"/>
        </w:rPr>
        <w:t>v</w:t>
      </w:r>
      <w:r>
        <w:t xml:space="preserve">, as defined in </w:t>
      </w:r>
      <w:r>
        <w:t>Equation (4.2)</w:t>
      </w:r>
      <w:r>
        <w:t>, where A</w:t>
      </w:r>
      <w:r>
        <w:rPr>
          <w:vertAlign w:val="subscript"/>
        </w:rPr>
        <w:t>s</w:t>
      </w:r>
      <w:r>
        <w:t xml:space="preserve"> denotes the set of approvals submitted for C. A</w:t>
      </w:r>
      <w:r>
        <w:rPr>
          <w:vertAlign w:val="subscript"/>
        </w:rPr>
        <w:t>v</w:t>
      </w:r>
      <w:r>
        <w:t xml:space="preserve"> therefore contains each member of G at most once, and an approval from a signer outside G does not enter A</w:t>
      </w:r>
      <w:r>
        <w:rPr>
          <w:vertAlign w:val="subscript"/>
        </w:rPr>
        <w:t>v</w:t>
      </w:r>
      <w:r>
        <w:t>. Consequently, an arbitrary number of unverified or unauthorised approvals cannot satisfy the multi-party authorisation requirement. A compromised or unauthorised participant cannot independently activate access when the threshold has not been satisfied. This distinguishes the framework from reviewed systems in which joint approval is a contingency path, a witness or notary threshold, a registration-time co-consent, a documentation-time gate on guardian access, an institution-side admission gate, a custodial M-of-N signature, a key-share reconstruction, or a threshold proxy re-encryption.</w:t>
      </w:r>
    </w:p>
    <w:p w14:paraId="7CA7B104" w14:textId="77777777" w:rsidR="009262C4" w:rsidRDefault="00000000">
      <w:pPr>
        <w:keepLines/>
        <w:tabs>
          <w:tab w:val="center" w:pos="4564"/>
          <w:tab w:val="right" w:pos="9128"/>
        </w:tabs>
        <w:spacing w:before="80" w:after="160"/>
      </w:pPr>
      <w:r>
        <w:tab/>
      </w:r>
      <w:r>
        <w:rPr>
          <w:rFonts w:ascii="Cambria Math" w:eastAsia="Cambria Math" w:hAnsi="Cambria Math" w:cs="Cambria Math"/>
          <w:sz w:val="18"/>
          <w:szCs w:val="18"/>
        </w:rPr>
        <w:t>A</w:t>
      </w:r>
      <w:r>
        <w:rPr>
          <w:rFonts w:ascii="Cambria Math" w:eastAsia="Cambria Math" w:hAnsi="Cambria Math" w:cs="Cambria Math"/>
          <w:sz w:val="18"/>
          <w:szCs w:val="18"/>
          <w:vertAlign w:val="subscript"/>
        </w:rPr>
        <w:t>v</w:t>
      </w:r>
      <w:r>
        <w:rPr>
          <w:rFonts w:ascii="Cambria Math" w:eastAsia="Cambria Math" w:hAnsi="Cambria Math" w:cs="Cambria Math"/>
          <w:sz w:val="18"/>
          <w:szCs w:val="18"/>
        </w:rPr>
        <w:t xml:space="preserve"> = {g ∈ G | ∃ a</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 xml:space="preserve"> ∈ A</w:t>
      </w:r>
      <w:r>
        <w:rPr>
          <w:rFonts w:ascii="Cambria Math" w:eastAsia="Cambria Math" w:hAnsi="Cambria Math" w:cs="Cambria Math"/>
          <w:sz w:val="18"/>
          <w:szCs w:val="18"/>
          <w:vertAlign w:val="subscript"/>
        </w:rPr>
        <w:t>s</w:t>
      </w:r>
      <w:r>
        <w:rPr>
          <w:rFonts w:ascii="Cambria Math" w:eastAsia="Cambria Math" w:hAnsi="Cambria Math" w:cs="Cambria Math"/>
          <w:sz w:val="18"/>
          <w:szCs w:val="18"/>
        </w:rPr>
        <w:t xml:space="preserve"> submitted by g with V</w:t>
      </w:r>
      <w:r>
        <w:rPr>
          <w:rFonts w:ascii="Cambria Math" w:eastAsia="Cambria Math" w:hAnsi="Cambria Math" w:cs="Cambria Math"/>
          <w:sz w:val="18"/>
          <w:szCs w:val="18"/>
          <w:vertAlign w:val="subscript"/>
        </w:rPr>
        <w:t>I</w:t>
      </w:r>
      <w:r>
        <w:rPr>
          <w:rFonts w:ascii="Cambria Math" w:eastAsia="Cambria Math" w:hAnsi="Cambria Math" w:cs="Cambria Math"/>
          <w:sz w:val="18"/>
          <w:szCs w:val="18"/>
        </w:rPr>
        <w:t>(g) = 1}.</w:t>
      </w:r>
      <w:r>
        <w:tab/>
      </w:r>
      <w:r>
        <w:t>(4.2)</w:t>
      </w:r>
    </w:p>
    <w:p w14:paraId="483ED4AC" w14:textId="77777777" w:rsidR="009262C4" w:rsidRDefault="00000000">
      <w:pPr>
        <w:spacing w:after="110" w:line="264" w:lineRule="auto"/>
        <w:jc w:val="both"/>
      </w:pPr>
      <w:r>
        <w:t xml:space="preserve">In the implemented prototype, the threshold is fixed at N = |G|, </w:t>
      </w:r>
      <w:r>
        <w:t>as justified in Chapter 7</w:t>
      </w:r>
      <w:r>
        <w:t>, and once the N-of-N condition is satisfied, the consent token is minted in the local ledger and a background job anchors the mint on Sepolia asynchronously. The policy, temporal and lifecycle checks V</w:t>
      </w:r>
      <w:r>
        <w:rPr>
          <w:vertAlign w:val="subscript"/>
        </w:rPr>
        <w:t>P</w:t>
      </w:r>
      <w:r>
        <w:t>, V</w:t>
      </w:r>
      <w:r>
        <w:rPr>
          <w:vertAlign w:val="subscript"/>
        </w:rPr>
        <w:t>T</w:t>
      </w:r>
      <w:r>
        <w:t xml:space="preserve"> and V</w:t>
      </w:r>
      <w:r>
        <w:rPr>
          <w:vertAlign w:val="subscript"/>
        </w:rPr>
        <w:t>L</w:t>
      </w:r>
      <w:r>
        <w:t>, together with the exploratory jurisdiction check V</w:t>
      </w:r>
      <w:r>
        <w:rPr>
          <w:vertAlign w:val="subscript"/>
        </w:rPr>
        <w:t>J</w:t>
      </w:r>
      <w:r>
        <w:t xml:space="preserve">, are then evaluated, a Groth16 proof is generated and verified before access is granted, and the audit evidence is recorded. Beyond the access decision </w:t>
      </w:r>
      <w:r>
        <w:t>shown in Figure 4.2</w:t>
      </w:r>
      <w:r>
        <w:t xml:space="preserve">, the prototype continues through patient-initiated revocation and the corresponding on-chain revoke transaction, after which the auditor reviews the record and the verification tool performs an independent verification. If the required threshold is not satisfied, the consent remains pending, and any access request made against it is denied. This prevents a single participant from unilaterally establishing authorisation when the consent policy requires collective approval. When the authorisation threshold is satisfied, the requested access is evaluated against the purpose and data-scope constraints defined in the consent object. This step addresses a limitation of identity-based and approval-based access control: a legitimate participant may still request data that fall outside the scope of the patient's consent. For example, if a consent authorises access to observations and medications, a request for observations, medications, and procedures should be rejected because the request exceeds the authorised data scope. Similarly, the purpose must be a supported healthcare use. The full design also requires the requested purpose to match the purpose recorded in the consent, which the prototype does not yet compare, </w:t>
      </w:r>
      <w:r>
        <w:t>as Chapter 8 explains</w:t>
      </w:r>
      <w:r>
        <w:t>. Consequently, a valid identity and sufficient multi-party approval are necessary but not sufficient conditions for access. Both successful and denied decisions should be recorded because a trustworthy authorisation framework requires accountability not only for data that were released but also for access attempts that were rejected. In the prototype, every denial, including one against a consent that is not ACTIVE, is recorded with its complete decision matrix.</w:t>
      </w:r>
    </w:p>
    <w:p>
      <w:pPr>
        <w:pStyle w:val="2"/>
      </w:pPr>
      <w:r>
        <w:t>4.5 Overview of Solution for RQ1</w:t>
      </w:r>
    </w:p>
    <w:p>
      <w:pPr/>
      <w:r>
        <w:t>RQ1 asks how patient consent can be modelled as a trust-aware authorisation object that explicitly represents identity, authority requirements, policy constraints and authorisation evidence. The solution is the trust-centric consent model of RO1, in which consent is no longer a stored record of permission but the object C = (I, A, P, T, L, E) that every access request is evaluated against. I carries the identity of the patient, the doctor and the guardians; A carries the authority requirements, the guardian set G and the threshold N; P carries the purpose and the data scope; T the validity window; L the lifecycle state; and E the evidence of every decision taken on the consent.</w:t>
      </w:r>
    </w:p>
    <w:p>
      <w:pPr/>
      <w:r>
        <w:t>The consent object is created through Algorithm 1. The patient selects the doctor, names the guardians, chooses the data modules, states the purpose and sets the start and expiry dates. The system validates each field, assigns a unique consent identifier, sets the state to PENDING_SIGNATURE, sets N to the number of guardians, persists the object and records the creation event in the audit ledger. From that point the consent can be evaluated, not merely looked up. The model, the algorithm and its realisation in the HALAH prototype are presented in Chapter 5, together with the research architecture that carries it.</w:t>
      </w:r>
    </w:p>
    <w:p>
      <w:pPr>
        <w:pStyle w:val="2"/>
      </w:pPr>
      <w:r>
        <w:t>4.6 Overview of Solution for RQ2</w:t>
      </w:r>
    </w:p>
    <w:p>
      <w:pPr/>
      <w:r>
        <w:t>RQ2 asks how decentralised identities and verifiable credentials can establish trustworthy participants while separating identity authentication from authorisation authority. The solution is the identity and authority verification mechanism of RO2. Every participant holds a decentralised identifier, and every participant who takes part in a decision holds a verifiable credential issued by a trusted issuer that states their role. When a guardian approves or a doctor requests data, the framework checks the identifier and then the credential: the signature must verify, the issuer must be in the registry of trusted issuers, the subject of the credential must be the identifier presented, the current time must lie inside the validity period, and the role must be the one the step requires. A doctor must also be the doctor named in the consent.</w:t>
      </w:r>
    </w:p>
    <w:p>
      <w:pPr/>
      <w:r>
        <w:t>The result is the predicate VI. A valid identity with no credential, or with a credential of the wrong role, fails VI and is refused before any other check. This is what separates who the participant is from what the participant may do. The verification model, Algorithm 2 and its realisation are presented in Chapter 6.</w:t>
      </w:r>
    </w:p>
    <w:p>
      <w:pPr>
        <w:pStyle w:val="2"/>
      </w:pPr>
      <w:r>
        <w:t>4.7 Overview of Solution for RQ3</w:t>
      </w:r>
    </w:p>
    <w:p>
      <w:pPr/>
      <w:r>
        <w:t>RQ3 asks how multiple independently verified participants can jointly establish a trustworthy consent decision without allowing a single participant to authorise access on their own. The solution is the multi-party authorisation mechanism of RO3. The patient fixes the guardian set G and the threshold N when the consent is created. Each guardian signs an approval over the consent identifier and their own identifier, so an approval cannot be moved to another consent. Only approvals from distinct members of G whose credentials verify enter the verified approving set Av; an approval from a signer outside G, or a second approval from the same guardian, does not advance the count.</w:t>
      </w:r>
    </w:p>
    <w:p>
      <w:pPr/>
      <w:r>
        <w:t>The consent stays pending, and releases no data, until |Av| reaches N. In the prototype every listed guardian must approve, so N equals |G|. Once the threshold is reached the consent becomes active and a token is recorded as evidence, and the approvals are checked again, as VA, at every later request. The mechanism, Algorithm 3 and its realisation are presented in Chapter 7.</w:t>
      </w:r>
    </w:p>
    <w:p>
      <w:pPr>
        <w:pStyle w:val="2"/>
      </w:pPr>
      <w:r>
        <w:t>4.8 Overview of Solution for RQ4</w:t>
      </w:r>
    </w:p>
    <w:p>
      <w:pPr/>
      <w:r>
        <w:t>RQ4 asks how policy, purpose and data-scope constraints can be incorporated into the authorisation decision so that valid identities and sufficient approvals cannot be used to obtain data outside what the patient allowed. The solution is the policy- and context-aware access control of RO4. The consent carries the purpose and the set of data modules the patient authorised. When a doctor requests data, the predicate VP checks that the purpose is a supported healthcare use and that the requested modules form a non-empty subset of the authorised modules. A request for observations, medications and procedures against a consent that allows observations and medications is refused, although the requester is the right doctor and the guardians have approved.</w:t>
      </w:r>
    </w:p>
    <w:p>
      <w:pPr/>
      <w:r>
        <w:t>VP is therefore the condition that makes identity and approval necessary but not sufficient. The policy model, Algorithm 4 and its realisation are presented in Chapter 8.</w:t>
      </w:r>
    </w:p>
    <w:p>
      <w:pPr>
        <w:pStyle w:val="2"/>
      </w:pPr>
      <w:r>
        <w:t>4.9 Overview of Solution for RQ5</w:t>
      </w:r>
    </w:p>
    <w:p>
      <w:pPr/>
      <w:r>
        <w:t>RQ5 asks how temporal validity and lifecycle controls can ensure that an authorisation remains valid only within its permitted time interval and lifecycle state. The solution is the temporal and lifecycle trust of RO5. The consent carries a start time and an expiry time, and the predicate VT checks at every request that the request time lies between them. The consent also has an explicit lifecycle: it is pending until the guardians have approved, active while it can release data, and expired or revoked afterwards. The patient can revoke an active consent at any time. The predicate VL checks at every request that the state is active, so a consent that has expired or been revoked cannot be used, whatever approvals it once held.</w:t>
      </w:r>
    </w:p>
    <w:p>
      <w:pPr/>
      <w:r>
        <w:t>Because VT and VL are evaluated at the time of each request rather than once at registration, a change in the consent takes effect on the next request. The lifecycle model, Algorithm 5 and its realisation are presented in Chapter 9.</w:t>
      </w:r>
    </w:p>
    <w:p>
      <w:pPr>
        <w:pStyle w:val="2"/>
      </w:pPr>
      <w:r>
        <w:t>4.10 Overview of Solution for RQ6</w:t>
      </w:r>
    </w:p>
    <w:p>
      <w:pPr/>
      <w:r>
        <w:t>RQ6 asks how the security properties of the authorisation mechanism can be formally defined and empirically evaluated to show that the implemented framework enforces authorised and unauthorised decisions correctly. The solution of RO6 has two parts that complement each other. The formal part defines the security properties of the integrated decision, authorisation integrity, threshold authorisation security and lifecycle safety, and states the assumptions under which they are analysed. The empirical part evaluates the HALAH prototype through scenarios in which the expected and the observed decisions are compared, and through attack scenarios in which each trust condition is deliberately bypassed. Algorithm 6 defines this validation procedure, and Chapter 10 presents the formal properties, the prototype, the scenarios, the measured results and the attack scenarios.</w:t>
      </w:r>
    </w:p>
    <w:p>
      <w:pPr>
        <w:pStyle w:val="3"/>
      </w:pPr>
      <w:r>
        <w:t>4.10.1 Testing and Verification of the Solution</w:t>
      </w:r>
    </w:p>
    <w:p>
      <w:pPr/>
      <w:r>
        <w:t>The prototype is tested at three levels. Live scenarios run the whole workflow through the web interface: a consent is created, each guardian approves, the authorised doctor is allowed, a request that does not satisfy the conditions of the consent is refused, and a request after revocation is refused. Automated tests, 46 in all, check each predicate on its own and together, including twelve attack scenarios, A1 to A12, in which a signer outside G, a replayed signature, a duplicate approval, an over-scope or empty request, a request outside the validity window, a request after revocation, a tampered proof and a forged credential are each refused. The processing time of each check is measured so that the cost of the decision is known. Every decision, allowed or refused, is written to the audit ledger with the result of the five predicates, and the ledger is the evidence used in Chapter 10.</w:t>
      </w:r>
    </w:p>
    <w:p>
      <w:pPr>
        <w:pStyle w:val="2"/>
      </w:pPr>
      <w:r>
        <w:t>4.11 Conclusion</w:t>
      </w:r>
    </w:p>
    <w:p>
      <w:pPr/>
      <w:r>
        <w:t>This chapter presented the research methodology and an overview of the solution. The research follows Design Science Research: the systematic review produced the proposal, the research questions and objectives and the consent model formed the tentative design, the architecture, the algorithms and the HALAH prototype are the artefact, the scenarios, tests, attack scenarios and measured times are the performance measures, and the contributions and remaining work are the result. The solution was then shown as one workflow, from the creation of a consent to the recording of an access decision, and summarised for each research question: an evaluable consent object for RQ1, identity and authority verification for RQ2, multi-party authorisation for RQ3, policy and scope enforcement for RQ4, temporal and lifecycle control for RQ5, and formal and empirical assurance for RQ6. The next chapter presents the research architecture and the trust-centric consent model in full.</w:t>
      </w:r>
    </w:p>
    <w:p>
      <w:r>
        <w:br w:type="page"/>
      </w:r>
    </w:p>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5</w:t>
            </w:r>
          </w:p>
        </w:tc>
      </w:tr>
    </w:tbl>
    <w:p>
      <w:pPr>
        <w:pStyle w:val="1"/>
        <w:spacing w:before="360"/>
      </w:pPr>
      <w:r/>
      <w:r>
        <w:rPr>
          <w:vanish/>
        </w:rPr>
        <w:t xml:space="preserve">5. </w:t>
      </w:r>
      <w:r>
        <w:rPr>
          <w:smallCaps/>
        </w:rPr>
        <w:t>Research Architecture and Trust-Centric Consent Model</w:t>
      </w:r>
    </w:p>
    <w:p>
      <w:pPr>
        <w:pStyle w:val="2"/>
      </w:pPr>
      <w:r>
        <w:t>5.1 Introduction</w:t>
      </w:r>
    </w:p>
    <w:p>
      <w:pPr/>
      <w:r>
        <w:t>Chapter 4 presented the research methodology and an overview of the solution. This chapter presents the first two parts of the solution in full: the research architecture that carries the whole framework, and the trust-centric consent model of RO1, which is the object that the other objectives build on. The two belong together because the consent model lives in the Model layer of the architecture, and the architecture is what turns the consent object from a stored record into a condition that the Controller evaluates at every request.</w:t>
      </w:r>
    </w:p>
    <w:p>
      <w:pPr/>
      <w:r>
        <w:t>Sections 5.2 to 5.4 present the architecture: its three layers and their components, where trust is evaluated and where the boundaries between the layers lie, and how the architecture maps to the six research objectives. Section 5.5 presents the consent model: the creation workflow, the structure of the consent object C = (I, A, P, T, L, E), and the creation procedure as Algorithm 1. Section 5.6 shows how the model is implemented in the HALAH prototype: the aims of the prototype, the dataset it uses and the steps of consent creation. Section 5.7 validates the consent creation against the live scenarios, the automated tests and the audit ledger, and evaluates the architecture against the security properties it is designed to provide. Section 5.8 concludes the chapter.</w:t>
      </w:r>
    </w:p>
    <w:p>
      <w:pPr>
        <w:pStyle w:val="2"/>
      </w:pPr>
      <w:r>
        <w:t>5.2 Layered Architecture and Component Decomposition</w:t>
      </w:r>
    </w:p>
    <w:p w14:paraId="41D8500A" w14:textId="77777777" w:rsidR="009262C4" w:rsidRDefault="00000000">
      <w:pPr>
        <w:spacing w:after="110" w:line="264" w:lineRule="auto"/>
        <w:jc w:val="both"/>
      </w:pPr>
      <w:r>
        <w:t xml:space="preserve">The proposed research architecture adopts a Model–View–Controller (MVC) design to provide a structured implementation foundation for the trusted multi-party consent management framework. In the proposed framework, MVC does more than separate data, interfaces, and application logic. It is extended to support a separation between the representation of consent, the interaction of independent stakeholders, and the enforcement of security-critical authorisation decisions. A healthcare consent decision may involve patients, guardians, healthcare professionals, and auditors, each of whom may possess different identities, authorities, and responsibilities. Consequently, the system cannot rely on a single user authentication event or a static permission entry to determine whether access should be granted. Instead, the authorisation decision is the result of evaluating independently verifiable security conditions together. </w:t>
      </w:r>
      <w:r>
        <w:t>Section 5.2 describes the layers and their components, Section 5.3 explains where trust is evaluated and where the architectural boundaries lie, the authorisation workflow was presented in Section 4.4, and Section 5.4 maps the architecture to the research objectives.</w:t>
      </w:r>
    </w:p>
    <w:p w14:paraId="27D68898" w14:textId="77777777" w:rsidR="009262C4" w:rsidRDefault="00000000">
      <w:pPr>
        <w:spacing w:after="110" w:line="264" w:lineRule="auto"/>
        <w:jc w:val="both"/>
      </w:pPr>
      <w:r>
        <w:t>At the highest level, the architecture consists of three complementary layers. The View Layer represents the interaction boundary with independent healthcare stakeholders. The Controller Layer represents the security decision and coordination boundary. The Model Layer represents the persistent trust, consent, policy, and authorisation state. Figure 5.1 illustrates the conceptual relationship among these layers. The protected healthcare data are deliberately positioned outside the three MVC layers as a protected resource whose access is mediated by the Controller rather than directly exposed to the View.</w:t>
      </w:r>
    </w:p>
    <w:p w14:paraId="6C42FC51" w14:textId="77777777" w:rsidR="009262C4" w:rsidRDefault="00000000">
      <w:pPr>
        <w:keepNext/>
        <w:spacing w:before="160" w:after="60"/>
        <w:jc w:val="center"/>
      </w:pPr>
      <w:r>
        <w:rPr>
          <w:noProof/>
        </w:rPr>
        <w:drawing>
          <wp:inline distT="0" distB="0" distL="0" distR="0" wp14:anchorId="4DAE03E1" wp14:editId="27D7BEAF">
            <wp:extent cx="5715000" cy="3524250"/>
            <wp:effectExtent l="0" t="0" r="0" b="0"/>
            <wp:docPr id="1618481870" name="F6.png" descr="Layered MVC architecture and component decomposition of the HALAH framework" title="Layered MVC architecture and component decomposition of the HALAH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24250"/>
                    </a:xfrm>
                    <a:prstGeom prst="rect">
                      <a:avLst/>
                    </a:prstGeom>
                  </pic:spPr>
                </pic:pic>
              </a:graphicData>
            </a:graphic>
          </wp:inline>
        </w:drawing>
      </w:r>
    </w:p>
    <w:p w14:paraId="60D6AC1B" w14:textId="77777777" w:rsidR="009262C4" w:rsidRDefault="00000000">
      <w:pPr>
        <w:spacing w:after="160" w:before="160"/>
        <w:jc w:val="center"/>
      </w:pPr>
      <w:r>
        <w:rPr>
          <w:b/>
          <w:bCs/>
          <w:sz w:val="20"/>
          <w:szCs w:val="18"/>
        </w:rPr>
        <w:t xml:space="preserve">Figure 5.1: </w:t>
      </w:r>
      <w:r>
        <w:rPr>
          <w:sz w:val="20"/>
          <w:szCs w:val="18"/>
        </w:rPr>
        <w:t>Layered MVC architecture and component decomposition of the HALAH framework.</w:t>
      </w:r>
    </w:p>
    <w:p w14:paraId="26956B3E" w14:textId="77777777" w:rsidR="009262C4" w:rsidRDefault="00000000">
      <w:pPr>
        <w:spacing w:after="110" w:line="264" w:lineRule="auto"/>
        <w:jc w:val="both"/>
      </w:pPr>
      <w:r>
        <w:t xml:space="preserve">An action submitted through the View represents a request or claim rather than a trusted authorisation outcome. The Controller Layer constitutes the principal security enforcement boundary. It receives requests from the View and coordinates the evaluation of the relevant trust conditions. These include decentralised identity verification, credential and authority verification, multi-party approval evaluation, policy and data-scope evaluation, and final authorisation. The Controller also generates audit evidence </w:t>
        <w:lastRenderedPageBreak/>
        <w:t xml:space="preserve">associated with the resulting decision. Consequently, the Controller acts as the coordination point through which sensitive operations must pass before protected healthcare data can be accessed. The Model therefore provides the information required for the Controller to evaluate an access request, but the existence of a Model object does not itself imply that access is permitted. MVC was selected in preference to a purely on-chain design for two reasons. First, the authorisation decision must combine the identity, threshold, policy, temporal, and lifecycle evaluation performed by the Controller with the anchoring of consent state on the blockchain. Second, each stakeholder interface can be replaced without altering the enforcement logic, so the trust predicates are evaluated independently of any particular user interface.</w:t>
      </w:r>
    </w:p>
    <w:p w14:paraId="4D3FDE6C" w14:textId="77777777" w:rsidR="009262C4" w:rsidRDefault="00000000">
      <w:pPr>
        <w:spacing w:after="110" w:line="264" w:lineRule="auto"/>
        <w:jc w:val="both"/>
      </w:pPr>
      <w:r>
        <w:t>Figure 5.2 presents this decomposition. The View is decomposed according to the principal stakeholder roles. The patient interface supports consent specification and consent-related actions. The guardian or other authorised-participant interface supports independent approval. The healthcare professional interface supports authorised data-access requests. The auditor interface supports inspection of authorisation evidence and audit history. These interfaces represent different interaction responsibilities but share the same architectural principle: none of them independently determines whether access should be granted. The Controller is decomposed into six principal security functions. Identity Verification establishes whether a participant can be identified through the relevant decentralised identity mechanism. Authority Verification evaluates whether the participant possesses appropriate evidence concerning the required role or authority. Approval Aggregation determines whether independently verified approvals satisfy the predefined threshold. Policy Enforcement evaluates whether the requested purpose and data scope comply with the consent policy. Decision Engine combines the resulting predicates into the final authorisation decision. Finally, Audit Coordination records the relevant evidence and decision events. The Model is decomposed into seven principal state representations: DID, VC, Consent, Approval, Policy, Evidence, and Lifecycle. This decomposition establishes an explicit distinction between state, interaction, and enforcement.</w:t>
      </w:r>
    </w:p>
    <w:p w14:paraId="2644B837" w14:textId="77777777" w:rsidR="009262C4" w:rsidRDefault="00000000">
      <w:pPr>
        <w:keepNext/>
        <w:spacing w:before="160" w:after="60"/>
        <w:jc w:val="center"/>
      </w:pPr>
      <w:r>
        <w:rPr>
          <w:noProof/>
        </w:rPr>
        <w:drawing>
          <wp:inline distT="0" distB="0" distL="0" distR="0" wp14:anchorId="1ABB014A" wp14:editId="132D32D3">
            <wp:extent cx="5715000" cy="2209800"/>
            <wp:effectExtent l="0" t="0" r="0" b="0"/>
            <wp:docPr id="2035954216" name="F7.png" descr="Functional decomposition of the MVC components" title="Functional decomposition of the MVC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209800"/>
                    </a:xfrm>
                    <a:prstGeom prst="rect">
                      <a:avLst/>
                    </a:prstGeom>
                  </pic:spPr>
                </pic:pic>
              </a:graphicData>
            </a:graphic>
          </wp:inline>
        </w:drawing>
      </w:r>
    </w:p>
    <w:p w14:paraId="355BEDCC" w14:textId="77777777" w:rsidR="009262C4" w:rsidRDefault="00000000">
      <w:pPr>
        <w:spacing w:after="160" w:before="160"/>
        <w:jc w:val="center"/>
      </w:pPr>
      <w:r>
        <w:rPr>
          <w:b/>
          <w:bCs/>
          <w:sz w:val="20"/>
          <w:szCs w:val="18"/>
        </w:rPr>
        <w:t xml:space="preserve">Figure 5.2: </w:t>
      </w:r>
      <w:r>
        <w:rPr>
          <w:sz w:val="20"/>
          <w:szCs w:val="18"/>
        </w:rPr>
        <w:t>Functional decomposition of the MVC components.</w:t>
      </w:r>
    </w:p>
    <w:p w14:paraId="22BE8074" w14:textId="77777777" w:rsidR="009262C4" w:rsidRDefault="00000000">
      <w:pPr>
        <w:spacing w:after="110" w:line="264" w:lineRule="auto"/>
        <w:jc w:val="both"/>
      </w:pPr>
      <w:r>
        <w:t xml:space="preserve">In the implemented prototype, the Controller comprises eight principal functions rather than six, since a zero-knowledge (ZK) Proof Service generates and verifies the Groth16 proof that feeds the Authorisation Decision, and an On-chain Anchor Service anchors the Sepolia mint as a background process. A revoke transaction is sent when the patient revokes a consent, and the patient view waits for its confirmation. The Model correspondingly contains the ConsentSBTv3 soulbound contract deployed on Sepolia together with the application audit ledger, both of which an independent verification tool reads, </w:t>
      </w:r>
      <w:r>
        <w:t>as described in Chapter 10</w:t>
      </w:r>
      <w:r>
        <w:t>. In the present prototype, each DID must be well formed, and the doctor and each guardian must hold a valid verifiable credential from a demo issuer. The guardian's credential is checked before the guardian signs, and V</w:t>
      </w:r>
      <w:r>
        <w:rPr>
          <w:vertAlign w:val="subscript"/>
        </w:rPr>
        <w:t>I</w:t>
      </w:r>
      <w:r>
        <w:t xml:space="preserve"> combines the doctor's credential check with the EIP-712 verification of each listed guardian's signature. The requester's DID and jurisdiction are declared in the </w:t>
        <w:lastRenderedPageBreak/>
        <w:t>interface rather than authenticated, and wallet-held signing keys, full DID resolution and proof that the user controls the DID are deferred to the next stage. However, each guardian approval is an EIP-712 typed-data signature bound to the consent identifier, so the multi-party threshold is enforced over signed approvals rather than over interface actions.</w:t>
      </w:r>
    </w:p>
    <w:p>
      <w:pPr>
        <w:pStyle w:val="2"/>
      </w:pPr>
      <w:r>
        <w:t>5.3 Trust Evaluation and Architectural Boundaries</w:t>
      </w:r>
    </w:p>
    <w:p w14:paraId="5D5E853A" w14:textId="77777777" w:rsidR="009262C4" w:rsidRDefault="00000000">
      <w:pPr>
        <w:spacing w:after="110" w:line="264" w:lineRule="auto"/>
        <w:jc w:val="both"/>
      </w:pPr>
      <w:r>
        <w:t>The architectural layers cooperate through a controlled authorisation sequence rather than through unrestricted direct communication. A healthcare data-access request is not evaluated according to a single authentication event. As illustrated in Figure 5.3, the Controller coordinates a sequence of trust predicates representing the conditions established by the sub-research questions. The first condition, V</w:t>
      </w:r>
      <w:r>
        <w:rPr>
          <w:vertAlign w:val="subscript"/>
        </w:rPr>
        <w:t>I</w:t>
      </w:r>
      <w:r>
        <w:t>(u), determines whether the requesting participant possesses valid identity and authority evidence. The second condition, V</w:t>
      </w:r>
      <w:r>
        <w:rPr>
          <w:vertAlign w:val="subscript"/>
        </w:rPr>
        <w:t>A</w:t>
      </w:r>
      <w:r>
        <w:t xml:space="preserve">(C), determines whether the required independently verified participants have collectively satisfied the authorisation threshold N. The third condition, V</w:t>
      </w:r>
      <w:r>
        <w:rPr>
          <w:vertAlign w:val="subscript"/>
        </w:rPr>
        <w:t>P</w:t>
      </w:r>
      <w:r>
        <w:t xml:space="preserve">(C, R), determines whether the requested operation complies with the consent policy, including purpose and data-scope restrictions. The fourth condition, V</w:t>
      </w:r>
      <w:r>
        <w:rPr>
          <w:vertAlign w:val="subscript"/>
        </w:rPr>
        <w:t>T</w:t>
      </w:r>
      <w:r>
        <w:t>(C, t), determines whether the consent remains valid at the time of the request. The fifth condition, V</w:t>
      </w:r>
      <w:r>
        <w:rPr>
          <w:vertAlign w:val="subscript"/>
        </w:rPr>
        <w:t>L</w:t>
      </w:r>
      <w:r>
        <w:t>(C), determines whether the consent remains in a valid lifecycle state. The integrated decision can therefore be expressed as Equation (3.2). In the current prototype, the Consent Engine derives the lifecycle state, a request proceeds only when this state is ACTIVE, and the revocation flag and the token are also checked within V</w:t>
      </w:r>
      <w:r>
        <w:rPr>
          <w:vertAlign w:val="subscript"/>
        </w:rPr>
        <w:t>A</w:t>
      </w:r>
      <w:r>
        <w:t>. The prototype interface also shows a check labelled VL, which compares the jurisdiction declared in the request with the jurisdiction recorded in the consent. This report denotes that check V</w:t>
      </w:r>
      <w:r>
        <w:rPr>
          <w:vertAlign w:val="subscript"/>
        </w:rPr>
        <w:t>J</w:t>
      </w:r>
      <w:r>
        <w:t xml:space="preserve"> and treats jurisdiction as a contextual policy condition for the next stage </w:t>
      </w:r>
      <w:r>
        <w:t>(Chapter 8)</w:t>
      </w:r>
      <w:r>
        <w:t>.</w:t>
      </w:r>
    </w:p>
    <w:p w14:paraId="0E29E02F" w14:textId="77777777" w:rsidR="009262C4" w:rsidRDefault="00000000">
      <w:pPr>
        <w:keepNext/>
        <w:spacing w:before="160" w:after="60"/>
        <w:jc w:val="center"/>
      </w:pPr>
      <w:r>
        <w:rPr>
          <w:noProof/>
        </w:rPr>
        <w:lastRenderedPageBreak/>
        <w:drawing>
          <wp:inline distT="0" distB="0" distL="0" distR="0" wp14:anchorId="4803924F" wp14:editId="4C10A961">
            <wp:extent cx="3676650" cy="5334000"/>
            <wp:effectExtent l="0" t="0" r="0" b="0"/>
            <wp:docPr id="2086885382" name="F8.png" descr="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title="Trust predicate evaluation and authorisation decision flow (in the current prototype, VI also checks the EIP-712 signature of each listed guardian, and a refusal for a consent that is not ACTIVE is recorded in the audit ledger like any other refusal, while the check labelled VL in the prototype interface is the exploratory jurisdiction check V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76650" cy="5334000"/>
                    </a:xfrm>
                    <a:prstGeom prst="rect">
                      <a:avLst/>
                    </a:prstGeom>
                  </pic:spPr>
                </pic:pic>
              </a:graphicData>
            </a:graphic>
          </wp:inline>
        </w:drawing>
      </w:r>
    </w:p>
    <w:p w14:paraId="778A2F68" w14:textId="77777777" w:rsidR="009262C4" w:rsidRDefault="00000000">
      <w:pPr>
        <w:spacing w:after="160" w:before="160"/>
        <w:jc w:val="center"/>
      </w:pPr>
      <w:r>
        <w:rPr>
          <w:b/>
          <w:bCs/>
          <w:sz w:val="20"/>
          <w:szCs w:val="18"/>
        </w:rPr>
        <w:t xml:space="preserve">Figure 5.3: </w:t>
      </w:r>
      <w:r>
        <w:rPr>
          <w:sz w:val="20"/>
          <w:szCs w:val="18"/>
        </w:rPr>
        <w:t>Trust predicate evaluation and authorisation decision flow (in the current prototype, V</w:t>
      </w:r>
      <w:r>
        <w:rPr>
          <w:sz w:val="20"/>
          <w:szCs w:val="18"/>
          <w:vertAlign w:val="subscript"/>
        </w:rPr>
        <w:t>I</w:t>
      </w:r>
      <w:r>
        <w:rPr>
          <w:sz w:val="20"/>
          <w:szCs w:val="18"/>
        </w:rPr>
        <w:t xml:space="preserve"> also checks the EIP-712 signature of each listed guardian, and a refusal for a consent that is not ACTIVE is recorded in the audit ledger like any other refusal, while the check labelled VL in the prototype interface is the exploratory jurisdiction check V</w:t>
      </w:r>
      <w:r>
        <w:rPr>
          <w:sz w:val="20"/>
          <w:szCs w:val="18"/>
          <w:vertAlign w:val="subscript"/>
        </w:rPr>
        <w:t>J</w:t>
      </w:r>
      <w:r>
        <w:rPr>
          <w:sz w:val="20"/>
          <w:szCs w:val="18"/>
        </w:rPr>
        <w:t>).</w:t>
      </w:r>
    </w:p>
    <w:p w14:paraId="0B499BCD" w14:textId="77777777" w:rsidR="009262C4" w:rsidRDefault="00000000">
      <w:pPr>
        <w:spacing w:after="110" w:line="264" w:lineRule="auto"/>
        <w:jc w:val="both"/>
      </w:pPr>
      <w:r>
        <w:t xml:space="preserve">If any required predicate evaluates to false, the decision is DENY. The Controller does not itself create these trust conditions. Instead, it evaluates evidence represented by the Model and coordinates the resulting decision. For the interpretation of the architecture: the Controller is a decision-enforcement mechanism, whereas the Model is a representation of trust and governance state. Both successful and unsuccessful decisions are subsequently associated with authorisation evidence, which supports accountability and subsequent verification. The layered architecture also establishes explicit trust boundaries. The View is considered an interaction boundary and therefore cannot be treated as a trusted source of authorisation decisions. The Controller represents the security enforcement boundary. It is responsible for applying the authorisation rules consistently and for preventing direct access to protected healthcare data when the required trust conditions are not satisfied. The Model represents the security-state boundary. Its records provide the evidence and state required for authorisation evaluation, but stored state alone does not constitute permission. In particular, the presence of a consent record, credential, or approval record cannot independently produce an access decision. The protected healthcare data represent the final resource boundary, and access is permitted only through the authorisation path enforced by the Controller. The proposed framework does not claim that MVC itself provides security. Instead, security arises from the explicit placement of trust-sensitive operations within the Controller, the structured representation of security state within the Model, and the prevention of direct security </w:t>
        <w:lastRenderedPageBreak/>
        <w:t>decisions at the View layer. In the present prototype, the Controller is a single trusted server that both evaluates the predicates and writes the audit ledger, and accordingly, the on-chain anchoring of consent state and the independent verification tool provide the external evidence against which the Controller's own records can be checked. Figure 5.4 puts the same conditions in the order a request meets them. A DID answers who is asking, a verifiable credential and a signed approval answer what that participant may do, the threshold answers whether the members of G agreed, and the policy, temporal and lifecycle checks with the zero-knowledge proof answer whether the consent is still valid for this request. The figure also states, gate by gate, what the current prototype checks, so the reader can see where the design and the prototype differ before the detailed sections.</w:t>
      </w:r>
    </w:p>
    <w:p w14:paraId="21EAB40F" w14:textId="77777777" w:rsidR="009262C4" w:rsidRDefault="00000000">
      <w:pPr>
        <w:keepNext/>
        <w:spacing w:before="160" w:after="60"/>
        <w:jc w:val="center"/>
      </w:pPr>
      <w:r>
        <w:rPr>
          <w:noProof/>
        </w:rPr>
        <w:drawing>
          <wp:inline distT="0" distB="0" distL="0" distR="0" wp14:anchorId="363ECF6C" wp14:editId="22A82C44">
            <wp:extent cx="5715000" cy="5000625"/>
            <wp:effectExtent l="0" t="0" r="0" b="0"/>
            <wp:docPr id="510887197" name="F44_slide.png" descr="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title="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000625"/>
                    </a:xfrm>
                    <a:prstGeom prst="rect">
                      <a:avLst/>
                    </a:prstGeom>
                  </pic:spPr>
                </pic:pic>
              </a:graphicData>
            </a:graphic>
          </wp:inline>
        </w:drawing>
      </w:r>
    </w:p>
    <w:p w14:paraId="440A59D9" w14:textId="77777777" w:rsidR="009262C4" w:rsidRDefault="00000000">
      <w:pPr>
        <w:spacing w:after="160" w:before="160"/>
        <w:jc w:val="center"/>
      </w:pPr>
      <w:r>
        <w:rPr>
          <w:b/>
          <w:bCs/>
          <w:sz w:val="20"/>
          <w:szCs w:val="18"/>
        </w:rPr>
        <w:t xml:space="preserve">Figure 5.4: </w:t>
      </w:r>
      <w:r>
        <w:rPr>
          <w:sz w:val="20"/>
          <w:szCs w:val="18"/>
        </w:rPr>
        <w:t>The four gates that an access request passes before data are released: identity (DID), authority (VC and signed approval), collective approval (threshold), and validity of the consent for the request (policy, time, lifecycle and the zero-knowledge proof). Each gate names what the current prototype checks, and a failure at any gate produces DENY. The prototype records the decision matrix in the audit ledger for every request, including one against a consent that is not ACTIVE.</w:t>
      </w:r>
    </w:p>
    <w:p>
      <w:pPr>
        <w:pStyle w:val="2"/>
      </w:pPr>
      <w:r>
        <w:t>5.4 MVC Architecture and the Research Objectives</w:t>
      </w:r>
    </w:p>
    <w:p w14:paraId="7CD948E3" w14:textId="77777777" w:rsidR="009262C4" w:rsidRDefault="00000000">
      <w:pPr>
        <w:spacing w:after="110" w:line="264" w:lineRule="auto"/>
        <w:jc w:val="both"/>
      </w:pPr>
      <w:r>
        <w:t>The MVC architecture also provides a direct implementation structure for the research objectives, as summarised in Table 5.1. RO1 is primarily represented in the Model through the development of the trust-aware consent object C = (I, A, P, T, L, E). RO2 is implemented through the identity and authority verification mechanisms coordinated by the Controller. RO3 is realised through the multi-party approval and threshold evaluation process. RO4 is implemented through the policy evaluation mechanisms that constrain the authorised purpose and healthcare data scope. For RO5, temporal conditions and lifecycle state are represented in the Model, while V</w:t>
      </w:r>
      <w:r>
        <w:rPr>
          <w:vertAlign w:val="subscript"/>
        </w:rPr>
        <w:t>T</w:t>
      </w:r>
      <w:r>
        <w:t xml:space="preserve"> and V</w:t>
      </w:r>
      <w:r>
        <w:rPr>
          <w:vertAlign w:val="subscript"/>
        </w:rPr>
        <w:t>L</w:t>
      </w:r>
      <w:r>
        <w:t xml:space="preserve"> are evaluated by the Controller before an access decision is produced. RO6 operates across the complete architecture rather than being confined to a single MVC layer. Formal security assurance evaluates the logical properties of the integrated model, while empirical validation evaluates whether the implementation consistently realises those properties. The evidence generated by the Controller and stored in the Model is what the empirical validation and the independent verifier examine.</w:t>
      </w:r>
    </w:p>
    <w:p w14:paraId="36CE361C" w14:textId="77777777" w:rsidR="009262C4" w:rsidRDefault="00000000">
      <w:pPr>
        <w:keepNext/>
        <w:spacing w:before="160" w:after="160"/>
        <w:jc w:val="center"/>
      </w:pPr>
      <w:r>
        <w:rPr>
          <w:b/>
          <w:bCs/>
          <w:sz w:val="20"/>
          <w:szCs w:val="18"/>
        </w:rPr>
        <w:lastRenderedPageBreak/>
        <w:t xml:space="preserve">Table 5.1: </w:t>
      </w:r>
      <w:r>
        <w:rPr>
          <w:sz w:val="20"/>
          <w:szCs w:val="18"/>
        </w:rPr>
        <w:t>Mapping between research objectives and MVC components</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1500"/>
        <w:gridCol w:w="1700"/>
        <w:gridCol w:w="2500"/>
        <w:gridCol w:w="3428"/>
      </w:tblGrid>
      <w:tr w:rsidR="009262C4" w14:paraId="7338A8E4" w14:textId="77777777">
        <w:trPr>
          <w:cantSplit/>
          <w:tblHeader/>
        </w:trPr>
        <w:tc>
          <w:tcPr>
            <w:tcW w:w="1500" w:type="dxa"/>
            <w:tcBorders>
              <w:top w:val="nil"/>
              <w:left w:val="nil"/>
              <w:bottom w:val="single" w:sz="6" w:color="000000" w:space="0"/>
              <w:right w:val="nil"/>
              <w:insideH w:val="nil"/>
              <w:insideV w:val="nil"/>
            </w:tcBorders>
            <w:tcMar>
              <w:top w:w="40" w:type="dxa"/>
              <w:left w:w="80" w:type="dxa"/>
              <w:bottom w:w="40" w:type="dxa"/>
              <w:right w:w="80" w:type="dxa"/>
            </w:tcMar>
          </w:tcPr>
          <w:p w14:paraId="1FFE9D93" w14:textId="77777777" w:rsidR="009262C4" w:rsidRDefault="00000000">
            <w:pPr>
              <w:keepNext/>
              <w:spacing w:after="40" w:line="240" w:lineRule="auto"/>
              <w:jc w:val="left"/>
            </w:pPr>
            <w:r>
              <w:rPr>
                <w:rFonts w:ascii="Palatino Linotype" w:hAnsi="Palatino Linotype" w:cs="Palatino Linotype"/>
                <w:b/>
                <w:bCs/>
                <w:color w:val="000000"/>
                <w:sz w:val="19"/>
                <w:szCs w:val="17"/>
              </w:rPr>
              <w:t>Research Objective</w:t>
            </w:r>
          </w:p>
        </w:tc>
        <w:tc>
          <w:tcPr>
            <w:tcW w:w="1700" w:type="dxa"/>
            <w:tcBorders>
              <w:top w:val="nil"/>
              <w:left w:val="nil"/>
              <w:bottom w:val="single" w:sz="6" w:color="000000" w:space="0"/>
              <w:right w:val="nil"/>
              <w:insideH w:val="nil"/>
              <w:insideV w:val="nil"/>
            </w:tcBorders>
            <w:tcMar>
              <w:top w:w="40" w:type="dxa"/>
              <w:left w:w="80" w:type="dxa"/>
              <w:bottom w:w="40" w:type="dxa"/>
              <w:right w:w="80" w:type="dxa"/>
            </w:tcMar>
          </w:tcPr>
          <w:p w14:paraId="05EFDC3C" w14:textId="77777777" w:rsidR="009262C4" w:rsidRDefault="00000000">
            <w:pPr>
              <w:keepNext/>
              <w:spacing w:after="40" w:line="240" w:lineRule="auto"/>
              <w:jc w:val="left"/>
            </w:pPr>
            <w:r>
              <w:rPr>
                <w:rFonts w:ascii="Palatino Linotype" w:hAnsi="Palatino Linotype" w:cs="Palatino Linotype"/>
                <w:b/>
                <w:bCs/>
                <w:color w:val="000000"/>
                <w:sz w:val="19"/>
                <w:szCs w:val="17"/>
              </w:rPr>
              <w:t>Primary MVC Component</w:t>
            </w:r>
          </w:p>
        </w:tc>
        <w:tc>
          <w:tcPr>
            <w:tcW w:w="2500" w:type="dxa"/>
            <w:tcBorders>
              <w:top w:val="nil"/>
              <w:left w:val="nil"/>
              <w:bottom w:val="single" w:sz="6" w:color="000000" w:space="0"/>
              <w:right w:val="nil"/>
              <w:insideH w:val="nil"/>
              <w:insideV w:val="nil"/>
            </w:tcBorders>
            <w:tcMar>
              <w:top w:w="40" w:type="dxa"/>
              <w:left w:w="80" w:type="dxa"/>
              <w:bottom w:w="40" w:type="dxa"/>
              <w:right w:w="80" w:type="dxa"/>
            </w:tcMar>
          </w:tcPr>
          <w:p w14:paraId="5DE09661" w14:textId="77777777" w:rsidR="009262C4" w:rsidRDefault="00000000">
            <w:pPr>
              <w:keepNext/>
              <w:spacing w:after="40" w:line="240" w:lineRule="auto"/>
              <w:jc w:val="left"/>
            </w:pPr>
            <w:r>
              <w:rPr>
                <w:rFonts w:ascii="Palatino Linotype" w:hAnsi="Palatino Linotype" w:cs="Palatino Linotype"/>
                <w:b/>
                <w:bCs/>
                <w:color w:val="000000"/>
                <w:sz w:val="19"/>
                <w:szCs w:val="17"/>
              </w:rPr>
              <w:t>Core Mechanism</w:t>
            </w:r>
          </w:p>
        </w:tc>
        <w:tc>
          <w:tcPr>
            <w:tcW w:w="3428" w:type="dxa"/>
            <w:tcBorders>
              <w:top w:val="nil"/>
              <w:left w:val="nil"/>
              <w:bottom w:val="single" w:sz="6" w:color="000000" w:space="0"/>
              <w:right w:val="nil"/>
              <w:insideH w:val="nil"/>
              <w:insideV w:val="nil"/>
            </w:tcBorders>
            <w:tcMar>
              <w:top w:w="40" w:type="dxa"/>
              <w:left w:w="80" w:type="dxa"/>
              <w:bottom w:w="40" w:type="dxa"/>
              <w:right w:w="80" w:type="dxa"/>
            </w:tcMar>
          </w:tcPr>
          <w:p w14:paraId="0BF5E401" w14:textId="77777777" w:rsidR="009262C4" w:rsidRDefault="00000000">
            <w:pPr>
              <w:keepNext/>
              <w:spacing w:after="40" w:line="240" w:lineRule="auto"/>
              <w:jc w:val="left"/>
            </w:pPr>
            <w:r>
              <w:rPr>
                <w:rFonts w:ascii="Palatino Linotype" w:hAnsi="Palatino Linotype" w:cs="Palatino Linotype"/>
                <w:b/>
                <w:bCs/>
                <w:color w:val="000000"/>
                <w:sz w:val="19"/>
                <w:szCs w:val="17"/>
              </w:rPr>
              <w:t>Expected Contribution</w:t>
            </w:r>
          </w:p>
        </w:tc>
      </w:tr>
      <w:tr w:rsidR="009262C4" w14:paraId="3D438939"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5FB42B50" w14:textId="77777777" w:rsidR="009262C4" w:rsidRDefault="00000000">
            <w:pPr>
              <w:keepNext/>
              <w:spacing w:after="40" w:line="240" w:lineRule="auto"/>
              <w:jc w:val="left"/>
            </w:pPr>
            <w:r>
              <w:rPr>
                <w:rFonts w:ascii="Palatino Linotype" w:hAnsi="Palatino Linotype" w:cs="Palatino Linotype"/>
                <w:color w:val="000000"/>
                <w:sz w:val="19"/>
                <w:szCs w:val="17"/>
              </w:rPr>
              <w:t>RO1</w:t>
            </w:r>
          </w:p>
        </w:tc>
        <w:tc>
          <w:tcPr>
            <w:tcW w:w="1700" w:type="dxa"/>
            <w:tcBorders>
              <w:top w:val="nil"/>
              <w:left w:val="nil"/>
              <w:bottom w:val="nil"/>
              <w:right w:val="nil"/>
              <w:insideH w:val="nil"/>
              <w:insideV w:val="nil"/>
            </w:tcBorders>
            <w:tcMar>
              <w:top w:w="40" w:type="dxa"/>
              <w:left w:w="80" w:type="dxa"/>
              <w:bottom w:w="40" w:type="dxa"/>
              <w:right w:w="80" w:type="dxa"/>
            </w:tcMar>
          </w:tcPr>
          <w:p w14:paraId="1DEE78E7" w14:textId="77777777" w:rsidR="009262C4" w:rsidRDefault="00000000">
            <w:pPr>
              <w:keepNext/>
              <w:spacing w:after="40" w:line="240" w:lineRule="auto"/>
              <w:jc w:val="left"/>
            </w:pPr>
            <w:r>
              <w:rPr>
                <w:rFonts w:ascii="Palatino Linotype" w:hAnsi="Palatino Linotype" w:cs="Palatino Linotype"/>
                <w:color w:val="000000"/>
                <w:sz w:val="19"/>
                <w:szCs w:val="17"/>
              </w:rPr>
              <w:t>Model</w:t>
            </w:r>
          </w:p>
        </w:tc>
        <w:tc>
          <w:tcPr>
            <w:tcW w:w="2500" w:type="dxa"/>
            <w:tcBorders>
              <w:top w:val="nil"/>
              <w:left w:val="nil"/>
              <w:bottom w:val="nil"/>
              <w:right w:val="nil"/>
              <w:insideH w:val="nil"/>
              <w:insideV w:val="nil"/>
            </w:tcBorders>
            <w:tcMar>
              <w:top w:w="40" w:type="dxa"/>
              <w:left w:w="80" w:type="dxa"/>
              <w:bottom w:w="40" w:type="dxa"/>
              <w:right w:w="80" w:type="dxa"/>
            </w:tcMar>
          </w:tcPr>
          <w:p w14:paraId="60A0EB6A" w14:textId="77777777" w:rsidR="009262C4" w:rsidRDefault="00000000">
            <w:pPr>
              <w:keepNext/>
              <w:spacing w:after="40" w:line="240" w:lineRule="auto"/>
              <w:jc w:val="left"/>
            </w:pPr>
            <w:r>
              <w:rPr>
                <w:rFonts w:ascii="Palatino Linotype" w:hAnsi="Palatino Linotype" w:cs="Palatino Linotype"/>
                <w:color w:val="000000"/>
                <w:sz w:val="19"/>
                <w:szCs w:val="17"/>
              </w:rPr>
              <w:t>Trust-aware consent representation</w:t>
            </w:r>
          </w:p>
        </w:tc>
        <w:tc>
          <w:tcPr>
            <w:tcW w:w="3428" w:type="dxa"/>
            <w:tcBorders>
              <w:top w:val="nil"/>
              <w:left w:val="nil"/>
              <w:bottom w:val="nil"/>
              <w:right w:val="nil"/>
              <w:insideH w:val="nil"/>
              <w:insideV w:val="nil"/>
            </w:tcBorders>
            <w:tcMar>
              <w:top w:w="40" w:type="dxa"/>
              <w:left w:w="80" w:type="dxa"/>
              <w:bottom w:w="40" w:type="dxa"/>
              <w:right w:w="80" w:type="dxa"/>
            </w:tcMar>
          </w:tcPr>
          <w:p w14:paraId="187435E0" w14:textId="77777777" w:rsidR="009262C4" w:rsidRDefault="00000000">
            <w:pPr>
              <w:keepNext/>
              <w:spacing w:after="40" w:line="240" w:lineRule="auto"/>
              <w:jc w:val="left"/>
            </w:pPr>
            <w:r>
              <w:rPr>
                <w:rFonts w:ascii="Palatino Linotype" w:hAnsi="Palatino Linotype" w:cs="Palatino Linotype"/>
                <w:color w:val="000000"/>
                <w:sz w:val="19"/>
                <w:szCs w:val="17"/>
              </w:rPr>
              <w:t>Transforms consent from a passive permission record into a structured and evaluable authorisation object.</w:t>
            </w:r>
          </w:p>
        </w:tc>
      </w:tr>
      <w:tr w:rsidR="009262C4" w14:paraId="3950BA9E"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62F4280C" w14:textId="77777777" w:rsidR="009262C4" w:rsidRDefault="00000000">
            <w:pPr>
              <w:keepNext/>
              <w:spacing w:after="40" w:line="240" w:lineRule="auto"/>
              <w:jc w:val="left"/>
            </w:pPr>
            <w:r>
              <w:rPr>
                <w:rFonts w:ascii="Palatino Linotype" w:hAnsi="Palatino Linotype" w:cs="Palatino Linotype"/>
                <w:color w:val="000000"/>
                <w:sz w:val="19"/>
                <w:szCs w:val="17"/>
              </w:rPr>
              <w:t>RO2</w:t>
            </w:r>
          </w:p>
        </w:tc>
        <w:tc>
          <w:tcPr>
            <w:tcW w:w="1700" w:type="dxa"/>
            <w:tcBorders>
              <w:top w:val="nil"/>
              <w:left w:val="nil"/>
              <w:bottom w:val="nil"/>
              <w:right w:val="nil"/>
              <w:insideH w:val="nil"/>
              <w:insideV w:val="nil"/>
            </w:tcBorders>
            <w:tcMar>
              <w:top w:w="40" w:type="dxa"/>
              <w:left w:w="80" w:type="dxa"/>
              <w:bottom w:w="40" w:type="dxa"/>
              <w:right w:w="80" w:type="dxa"/>
            </w:tcMar>
          </w:tcPr>
          <w:p w14:paraId="4BB1341E" w14:textId="77777777" w:rsidR="009262C4" w:rsidRDefault="00000000">
            <w:pPr>
              <w:keepNext/>
              <w:spacing w:after="40" w:line="240" w:lineRule="auto"/>
              <w:jc w:val="left"/>
            </w:pPr>
            <w:r>
              <w:rPr>
                <w:rFonts w:ascii="Palatino Linotype" w:hAnsi="Palatino Linotype" w:cs="Palatino Linotype"/>
                <w:color w:val="000000"/>
                <w:sz w:val="19"/>
                <w:szCs w:val="17"/>
              </w:rPr>
              <w:t>Controller and Model</w:t>
            </w:r>
          </w:p>
        </w:tc>
        <w:tc>
          <w:tcPr>
            <w:tcW w:w="2500" w:type="dxa"/>
            <w:tcBorders>
              <w:top w:val="nil"/>
              <w:left w:val="nil"/>
              <w:bottom w:val="nil"/>
              <w:right w:val="nil"/>
              <w:insideH w:val="nil"/>
              <w:insideV w:val="nil"/>
            </w:tcBorders>
            <w:tcMar>
              <w:top w:w="40" w:type="dxa"/>
              <w:left w:w="80" w:type="dxa"/>
              <w:bottom w:w="40" w:type="dxa"/>
              <w:right w:w="80" w:type="dxa"/>
            </w:tcMar>
          </w:tcPr>
          <w:p w14:paraId="682941FB" w14:textId="77777777" w:rsidR="009262C4" w:rsidRDefault="00000000">
            <w:pPr>
              <w:keepNext/>
              <w:spacing w:after="40" w:line="240" w:lineRule="auto"/>
              <w:jc w:val="left"/>
            </w:pPr>
            <w:r>
              <w:rPr>
                <w:rFonts w:ascii="Palatino Linotype" w:hAnsi="Palatino Linotype" w:cs="Palatino Linotype"/>
                <w:color w:val="000000"/>
                <w:sz w:val="19"/>
                <w:szCs w:val="17"/>
              </w:rPr>
              <w:t>DID and VC verification</w:t>
            </w:r>
          </w:p>
        </w:tc>
        <w:tc>
          <w:tcPr>
            <w:tcW w:w="3428" w:type="dxa"/>
            <w:tcBorders>
              <w:top w:val="nil"/>
              <w:left w:val="nil"/>
              <w:bottom w:val="nil"/>
              <w:right w:val="nil"/>
              <w:insideH w:val="nil"/>
              <w:insideV w:val="nil"/>
            </w:tcBorders>
            <w:tcMar>
              <w:top w:w="40" w:type="dxa"/>
              <w:left w:w="80" w:type="dxa"/>
              <w:bottom w:w="40" w:type="dxa"/>
              <w:right w:w="80" w:type="dxa"/>
            </w:tcMar>
          </w:tcPr>
          <w:p w14:paraId="11D52748" w14:textId="77777777" w:rsidR="009262C4" w:rsidRDefault="00000000">
            <w:pPr>
              <w:keepNext/>
              <w:spacing w:after="40" w:line="240" w:lineRule="auto"/>
              <w:jc w:val="left"/>
            </w:pPr>
            <w:r>
              <w:rPr>
                <w:rFonts w:ascii="Palatino Linotype" w:hAnsi="Palatino Linotype" w:cs="Palatino Linotype"/>
                <w:color w:val="000000"/>
                <w:sz w:val="19"/>
                <w:szCs w:val="17"/>
              </w:rPr>
              <w:t>Establishes trustworthy participants while explicitly separating identity from authorisation authority.</w:t>
            </w:r>
          </w:p>
        </w:tc>
      </w:tr>
      <w:tr w:rsidR="009262C4" w14:paraId="48D9C487"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6914017C" w14:textId="77777777" w:rsidR="009262C4" w:rsidRDefault="00000000">
            <w:pPr>
              <w:keepNext/>
              <w:spacing w:after="40" w:line="240" w:lineRule="auto"/>
              <w:jc w:val="left"/>
            </w:pPr>
            <w:r>
              <w:rPr>
                <w:rFonts w:ascii="Palatino Linotype" w:hAnsi="Palatino Linotype" w:cs="Palatino Linotype"/>
                <w:color w:val="000000"/>
                <w:sz w:val="19"/>
                <w:szCs w:val="17"/>
              </w:rPr>
              <w:t>RO3</w:t>
            </w:r>
          </w:p>
        </w:tc>
        <w:tc>
          <w:tcPr>
            <w:tcW w:w="1700" w:type="dxa"/>
            <w:tcBorders>
              <w:top w:val="nil"/>
              <w:left w:val="nil"/>
              <w:bottom w:val="nil"/>
              <w:right w:val="nil"/>
              <w:insideH w:val="nil"/>
              <w:insideV w:val="nil"/>
            </w:tcBorders>
            <w:tcMar>
              <w:top w:w="40" w:type="dxa"/>
              <w:left w:w="80" w:type="dxa"/>
              <w:bottom w:w="40" w:type="dxa"/>
              <w:right w:w="80" w:type="dxa"/>
            </w:tcMar>
          </w:tcPr>
          <w:p w14:paraId="3F89D3D4" w14:textId="77777777" w:rsidR="009262C4" w:rsidRDefault="00000000">
            <w:pPr>
              <w:keepNext/>
              <w:spacing w:after="40" w:line="240" w:lineRule="auto"/>
              <w:jc w:val="left"/>
            </w:pPr>
            <w:r>
              <w:rPr>
                <w:rFonts w:ascii="Palatino Linotype" w:hAnsi="Palatino Linotype" w:cs="Palatino Linotype"/>
                <w:color w:val="000000"/>
                <w:sz w:val="19"/>
                <w:szCs w:val="17"/>
              </w:rPr>
              <w:t>Controller</w:t>
            </w:r>
          </w:p>
        </w:tc>
        <w:tc>
          <w:tcPr>
            <w:tcW w:w="2500" w:type="dxa"/>
            <w:tcBorders>
              <w:top w:val="nil"/>
              <w:left w:val="nil"/>
              <w:bottom w:val="nil"/>
              <w:right w:val="nil"/>
              <w:insideH w:val="nil"/>
              <w:insideV w:val="nil"/>
            </w:tcBorders>
            <w:tcMar>
              <w:top w:w="40" w:type="dxa"/>
              <w:left w:w="80" w:type="dxa"/>
              <w:bottom w:w="40" w:type="dxa"/>
              <w:right w:w="80" w:type="dxa"/>
            </w:tcMar>
          </w:tcPr>
          <w:p w14:paraId="2590476E" w14:textId="77777777" w:rsidR="009262C4" w:rsidRDefault="00000000">
            <w:pPr>
              <w:keepNext/>
              <w:spacing w:after="40" w:line="240" w:lineRule="auto"/>
              <w:jc w:val="left"/>
            </w:pPr>
            <w:r>
              <w:rPr>
                <w:rFonts w:ascii="Palatino Linotype" w:hAnsi="Palatino Linotype" w:cs="Palatino Linotype"/>
                <w:color w:val="000000"/>
                <w:sz w:val="19"/>
                <w:szCs w:val="17"/>
              </w:rPr>
              <w:t>Verified multi-party threshold evaluation</w:t>
            </w:r>
          </w:p>
        </w:tc>
        <w:tc>
          <w:tcPr>
            <w:tcW w:w="3428" w:type="dxa"/>
            <w:tcBorders>
              <w:top w:val="nil"/>
              <w:left w:val="nil"/>
              <w:bottom w:val="nil"/>
              <w:right w:val="nil"/>
              <w:insideH w:val="nil"/>
              <w:insideV w:val="nil"/>
            </w:tcBorders>
            <w:tcMar>
              <w:top w:w="40" w:type="dxa"/>
              <w:left w:w="80" w:type="dxa"/>
              <w:bottom w:w="40" w:type="dxa"/>
              <w:right w:w="80" w:type="dxa"/>
            </w:tcMar>
          </w:tcPr>
          <w:p w14:paraId="2B111184" w14:textId="77777777" w:rsidR="009262C4" w:rsidRDefault="00000000">
            <w:pPr>
              <w:keepNext/>
              <w:spacing w:after="40" w:line="240" w:lineRule="auto"/>
              <w:jc w:val="left"/>
            </w:pPr>
            <w:r>
              <w:rPr>
                <w:rFonts w:ascii="Palatino Linotype" w:hAnsi="Palatino Linotype" w:cs="Palatino Linotype"/>
                <w:color w:val="000000"/>
                <w:sz w:val="19"/>
                <w:szCs w:val="17"/>
              </w:rPr>
              <w:t>Establishes collective trust and prevents unilateral authorisation when multiple approvals are required.</w:t>
            </w:r>
          </w:p>
        </w:tc>
      </w:tr>
      <w:tr w:rsidR="009262C4" w14:paraId="1D1DACC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65554522" w14:textId="77777777" w:rsidR="009262C4" w:rsidRDefault="00000000">
            <w:pPr>
              <w:keepNext/>
              <w:spacing w:after="40" w:line="240" w:lineRule="auto"/>
              <w:jc w:val="left"/>
            </w:pPr>
            <w:r>
              <w:rPr>
                <w:rFonts w:ascii="Palatino Linotype" w:hAnsi="Palatino Linotype" w:cs="Palatino Linotype"/>
                <w:color w:val="000000"/>
                <w:sz w:val="19"/>
                <w:szCs w:val="17"/>
              </w:rPr>
              <w:t>RO4</w:t>
            </w:r>
          </w:p>
        </w:tc>
        <w:tc>
          <w:tcPr>
            <w:tcW w:w="1700" w:type="dxa"/>
            <w:tcBorders>
              <w:top w:val="nil"/>
              <w:left w:val="nil"/>
              <w:bottom w:val="nil"/>
              <w:right w:val="nil"/>
              <w:insideH w:val="nil"/>
              <w:insideV w:val="nil"/>
            </w:tcBorders>
            <w:tcMar>
              <w:top w:w="40" w:type="dxa"/>
              <w:left w:w="80" w:type="dxa"/>
              <w:bottom w:w="40" w:type="dxa"/>
              <w:right w:w="80" w:type="dxa"/>
            </w:tcMar>
          </w:tcPr>
          <w:p w14:paraId="134A1E3E" w14:textId="77777777" w:rsidR="009262C4" w:rsidRDefault="00000000">
            <w:pPr>
              <w:keepNext/>
              <w:spacing w:after="40" w:line="240" w:lineRule="auto"/>
              <w:jc w:val="left"/>
            </w:pPr>
            <w:r>
              <w:rPr>
                <w:rFonts w:ascii="Palatino Linotype" w:hAnsi="Palatino Linotype" w:cs="Palatino Linotype"/>
                <w:color w:val="000000"/>
                <w:sz w:val="19"/>
                <w:szCs w:val="17"/>
              </w:rPr>
              <w:t>Controller and Model</w:t>
            </w:r>
          </w:p>
        </w:tc>
        <w:tc>
          <w:tcPr>
            <w:tcW w:w="2500" w:type="dxa"/>
            <w:tcBorders>
              <w:top w:val="nil"/>
              <w:left w:val="nil"/>
              <w:bottom w:val="nil"/>
              <w:right w:val="nil"/>
              <w:insideH w:val="nil"/>
              <w:insideV w:val="nil"/>
            </w:tcBorders>
            <w:tcMar>
              <w:top w:w="40" w:type="dxa"/>
              <w:left w:w="80" w:type="dxa"/>
              <w:bottom w:w="40" w:type="dxa"/>
              <w:right w:w="80" w:type="dxa"/>
            </w:tcMar>
          </w:tcPr>
          <w:p w14:paraId="1D76F1CA" w14:textId="77777777" w:rsidR="009262C4" w:rsidRDefault="00000000">
            <w:pPr>
              <w:keepNext/>
              <w:spacing w:after="40" w:line="240" w:lineRule="auto"/>
              <w:jc w:val="left"/>
            </w:pPr>
            <w:r>
              <w:rPr>
                <w:rFonts w:ascii="Palatino Linotype" w:hAnsi="Palatino Linotype" w:cs="Palatino Linotype"/>
                <w:color w:val="000000"/>
                <w:sz w:val="19"/>
                <w:szCs w:val="17"/>
              </w:rPr>
              <w:t>Policy, purpose, and data-scope evaluation</w:t>
            </w:r>
          </w:p>
        </w:tc>
        <w:tc>
          <w:tcPr>
            <w:tcW w:w="3428" w:type="dxa"/>
            <w:tcBorders>
              <w:top w:val="nil"/>
              <w:left w:val="nil"/>
              <w:bottom w:val="nil"/>
              <w:right w:val="nil"/>
              <w:insideH w:val="nil"/>
              <w:insideV w:val="nil"/>
            </w:tcBorders>
            <w:tcMar>
              <w:top w:w="40" w:type="dxa"/>
              <w:left w:w="80" w:type="dxa"/>
              <w:bottom w:w="40" w:type="dxa"/>
              <w:right w:w="80" w:type="dxa"/>
            </w:tcMar>
          </w:tcPr>
          <w:p w14:paraId="77268DDF" w14:textId="77777777" w:rsidR="009262C4" w:rsidRDefault="00000000">
            <w:pPr>
              <w:keepNext/>
              <w:spacing w:after="40" w:line="240" w:lineRule="auto"/>
              <w:jc w:val="left"/>
            </w:pPr>
            <w:r>
              <w:rPr>
                <w:rFonts w:ascii="Palatino Linotype" w:hAnsi="Palatino Linotype" w:cs="Palatino Linotype"/>
                <w:color w:val="000000"/>
                <w:sz w:val="19"/>
                <w:szCs w:val="17"/>
              </w:rPr>
              <w:t>Ensures that valid participants and sufficient approvals remain constrained by the authorised purpose and healthcare data scope.</w:t>
            </w:r>
          </w:p>
        </w:tc>
      </w:tr>
      <w:tr w:rsidR="009262C4" w14:paraId="6EF202A0"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167954FD" w14:textId="77777777" w:rsidR="009262C4" w:rsidRDefault="00000000">
            <w:pPr>
              <w:keepNext/>
              <w:spacing w:after="40" w:line="240" w:lineRule="auto"/>
              <w:jc w:val="left"/>
            </w:pPr>
            <w:r>
              <w:rPr>
                <w:rFonts w:ascii="Palatino Linotype" w:hAnsi="Palatino Linotype" w:cs="Palatino Linotype"/>
                <w:color w:val="000000"/>
                <w:sz w:val="19"/>
                <w:szCs w:val="17"/>
              </w:rPr>
              <w:t>RO5</w:t>
            </w:r>
          </w:p>
        </w:tc>
        <w:tc>
          <w:tcPr>
            <w:tcW w:w="1700" w:type="dxa"/>
            <w:tcBorders>
              <w:top w:val="nil"/>
              <w:left w:val="nil"/>
              <w:bottom w:val="nil"/>
              <w:right w:val="nil"/>
              <w:insideH w:val="nil"/>
              <w:insideV w:val="nil"/>
            </w:tcBorders>
            <w:tcMar>
              <w:top w:w="40" w:type="dxa"/>
              <w:left w:w="80" w:type="dxa"/>
              <w:bottom w:w="40" w:type="dxa"/>
              <w:right w:w="80" w:type="dxa"/>
            </w:tcMar>
          </w:tcPr>
          <w:p w14:paraId="47BE1E77" w14:textId="77777777" w:rsidR="009262C4" w:rsidRDefault="00000000">
            <w:pPr>
              <w:keepNext/>
              <w:spacing w:after="40" w:line="240" w:lineRule="auto"/>
              <w:jc w:val="left"/>
            </w:pPr>
            <w:r>
              <w:rPr>
                <w:rFonts w:ascii="Palatino Linotype" w:hAnsi="Palatino Linotype" w:cs="Palatino Linotype"/>
                <w:color w:val="000000"/>
                <w:sz w:val="19"/>
                <w:szCs w:val="17"/>
              </w:rPr>
              <w:t>Model and Controller</w:t>
            </w:r>
          </w:p>
        </w:tc>
        <w:tc>
          <w:tcPr>
            <w:tcW w:w="2500" w:type="dxa"/>
            <w:tcBorders>
              <w:top w:val="nil"/>
              <w:left w:val="nil"/>
              <w:bottom w:val="nil"/>
              <w:right w:val="nil"/>
              <w:insideH w:val="nil"/>
              <w:insideV w:val="nil"/>
            </w:tcBorders>
            <w:tcMar>
              <w:top w:w="40" w:type="dxa"/>
              <w:left w:w="80" w:type="dxa"/>
              <w:bottom w:w="40" w:type="dxa"/>
              <w:right w:w="80" w:type="dxa"/>
            </w:tcMar>
          </w:tcPr>
          <w:p w14:paraId="63A389AE" w14:textId="77777777" w:rsidR="009262C4" w:rsidRDefault="00000000">
            <w:pPr>
              <w:keepNext/>
              <w:spacing w:after="40" w:line="240" w:lineRule="auto"/>
              <w:jc w:val="left"/>
            </w:pPr>
            <w:r>
              <w:rPr>
                <w:rFonts w:ascii="Palatino Linotype" w:hAnsi="Palatino Linotype" w:cs="Palatino Linotype"/>
                <w:color w:val="000000"/>
                <w:sz w:val="19"/>
                <w:szCs w:val="17"/>
              </w:rPr>
              <w:t>Temporal validity and consent lifecycle enforcement</w:t>
            </w:r>
          </w:p>
        </w:tc>
        <w:tc>
          <w:tcPr>
            <w:tcW w:w="3428" w:type="dxa"/>
            <w:tcBorders>
              <w:top w:val="nil"/>
              <w:left w:val="nil"/>
              <w:bottom w:val="nil"/>
              <w:right w:val="nil"/>
              <w:insideH w:val="nil"/>
              <w:insideV w:val="nil"/>
            </w:tcBorders>
            <w:tcMar>
              <w:top w:w="40" w:type="dxa"/>
              <w:left w:w="80" w:type="dxa"/>
              <w:bottom w:w="40" w:type="dxa"/>
              <w:right w:w="80" w:type="dxa"/>
            </w:tcMar>
          </w:tcPr>
          <w:p w14:paraId="13E5B8DF" w14:textId="77777777" w:rsidR="009262C4" w:rsidRDefault="00000000">
            <w:pPr>
              <w:keepNext/>
              <w:spacing w:after="40" w:line="240" w:lineRule="auto"/>
              <w:jc w:val="left"/>
            </w:pPr>
            <w:r>
              <w:rPr>
                <w:rFonts w:ascii="Palatino Linotype" w:hAnsi="Palatino Linotype" w:cs="Palatino Linotype"/>
                <w:color w:val="000000"/>
                <w:sz w:val="19"/>
                <w:szCs w:val="17"/>
              </w:rPr>
              <w:t>Ensures that authorisation remains valid only within its permitted time interval and lifecycle state, and that expiration, revocation, and unauthorised state transitions are correctly enforced.</w:t>
            </w:r>
          </w:p>
        </w:tc>
      </w:tr>
      <w:tr w:rsidR="009262C4" w14:paraId="5B0D4992" w14:textId="77777777">
        <w:trPr>
          <w:cantSplit/>
        </w:trPr>
        <w:tc>
          <w:tcPr>
            <w:tcW w:w="1500" w:type="dxa"/>
            <w:tcBorders>
              <w:top w:val="nil"/>
              <w:left w:val="nil"/>
              <w:bottom w:val="nil"/>
              <w:right w:val="nil"/>
              <w:insideH w:val="nil"/>
              <w:insideV w:val="nil"/>
            </w:tcBorders>
            <w:tcMar>
              <w:top w:w="40" w:type="dxa"/>
              <w:left w:w="80" w:type="dxa"/>
              <w:bottom w:w="40" w:type="dxa"/>
              <w:right w:w="80" w:type="dxa"/>
            </w:tcMar>
          </w:tcPr>
          <w:p w14:paraId="555B9621" w14:textId="77777777" w:rsidR="009262C4" w:rsidRDefault="00000000">
            <w:pPr>
              <w:spacing w:after="40" w:line="240" w:lineRule="auto"/>
              <w:jc w:val="left"/>
            </w:pPr>
            <w:r>
              <w:rPr>
                <w:rFonts w:ascii="Palatino Linotype" w:hAnsi="Palatino Linotype" w:cs="Palatino Linotype"/>
                <w:color w:val="000000"/>
                <w:sz w:val="19"/>
                <w:szCs w:val="17"/>
              </w:rPr>
              <w:t>RO6</w:t>
            </w:r>
          </w:p>
        </w:tc>
        <w:tc>
          <w:tcPr>
            <w:tcW w:w="1700" w:type="dxa"/>
            <w:tcBorders>
              <w:top w:val="nil"/>
              <w:left w:val="nil"/>
              <w:bottom w:val="nil"/>
              <w:right w:val="nil"/>
              <w:insideH w:val="nil"/>
              <w:insideV w:val="nil"/>
            </w:tcBorders>
            <w:tcMar>
              <w:top w:w="40" w:type="dxa"/>
              <w:left w:w="80" w:type="dxa"/>
              <w:bottom w:w="40" w:type="dxa"/>
              <w:right w:w="80" w:type="dxa"/>
            </w:tcMar>
          </w:tcPr>
          <w:p w14:paraId="359B604F" w14:textId="77777777" w:rsidR="009262C4" w:rsidRDefault="00000000">
            <w:pPr>
              <w:spacing w:after="40" w:line="240" w:lineRule="auto"/>
              <w:jc w:val="left"/>
            </w:pPr>
            <w:r>
              <w:rPr>
                <w:rFonts w:ascii="Palatino Linotype" w:hAnsi="Palatino Linotype" w:cs="Palatino Linotype"/>
                <w:color w:val="000000"/>
                <w:sz w:val="19"/>
                <w:szCs w:val="17"/>
              </w:rPr>
              <w:t>Model, View, and Controller</w:t>
            </w:r>
          </w:p>
        </w:tc>
        <w:tc>
          <w:tcPr>
            <w:tcW w:w="2500" w:type="dxa"/>
            <w:tcBorders>
              <w:top w:val="nil"/>
              <w:left w:val="nil"/>
              <w:bottom w:val="nil"/>
              <w:right w:val="nil"/>
              <w:insideH w:val="nil"/>
              <w:insideV w:val="nil"/>
            </w:tcBorders>
            <w:tcMar>
              <w:top w:w="40" w:type="dxa"/>
              <w:left w:w="80" w:type="dxa"/>
              <w:bottom w:w="40" w:type="dxa"/>
              <w:right w:w="80" w:type="dxa"/>
            </w:tcMar>
          </w:tcPr>
          <w:p w14:paraId="24CA74E4" w14:textId="77777777" w:rsidR="009262C4" w:rsidRDefault="00000000">
            <w:pPr>
              <w:spacing w:after="40" w:line="240" w:lineRule="auto"/>
              <w:jc w:val="left"/>
            </w:pPr>
            <w:r>
              <w:rPr>
                <w:rFonts w:ascii="Palatino Linotype" w:hAnsi="Palatino Linotype" w:cs="Palatino Linotype"/>
                <w:color w:val="000000"/>
                <w:sz w:val="19"/>
                <w:szCs w:val="17"/>
              </w:rPr>
              <w:t>Formal security analysis and empirical validation</w:t>
            </w:r>
          </w:p>
        </w:tc>
        <w:tc>
          <w:tcPr>
            <w:tcW w:w="3428" w:type="dxa"/>
            <w:tcBorders>
              <w:top w:val="nil"/>
              <w:left w:val="nil"/>
              <w:bottom w:val="nil"/>
              <w:right w:val="nil"/>
              <w:insideH w:val="nil"/>
              <w:insideV w:val="nil"/>
            </w:tcBorders>
            <w:tcMar>
              <w:top w:w="40" w:type="dxa"/>
              <w:left w:w="80" w:type="dxa"/>
              <w:bottom w:w="40" w:type="dxa"/>
              <w:right w:w="80" w:type="dxa"/>
            </w:tcMar>
          </w:tcPr>
          <w:p w14:paraId="05F31F88" w14:textId="77777777" w:rsidR="009262C4" w:rsidRDefault="00000000">
            <w:pPr>
              <w:spacing w:after="40" w:line="240" w:lineRule="auto"/>
              <w:jc w:val="left"/>
            </w:pPr>
            <w:r>
              <w:rPr>
                <w:rFonts w:ascii="Palatino Linotype" w:hAnsi="Palatino Linotype" w:cs="Palatino Linotype"/>
                <w:color w:val="000000"/>
                <w:sz w:val="19"/>
                <w:szCs w:val="17"/>
              </w:rPr>
              <w:t>Will provide formal assurance (next stage) of the defined trust and authorisation properties and empirically evaluate whether the implemented framework correctly enforces authorised and unauthorised healthcare data-access decisions.</w:t>
            </w:r>
          </w:p>
        </w:tc>
      </w:tr>
    </w:tbl>
    <w:p w14:paraId="27CC437A" w14:textId="77777777" w:rsidR="009262C4" w:rsidRDefault="009262C4">
      <w:pPr>
        <w:spacing w:after="160"/>
      </w:pPr>
    </w:p>
    <w:p>
      <w:pPr>
        <w:spacing w:after="110" w:line="264" w:lineRule="auto"/>
        <w:jc w:val="both"/>
      </w:pPr>
      <w:r>
        <w:t xml:space="preserve">Table 5.2 summarises how the proposed framework differs from traditional EHR access control.</w:t>
      </w:r>
    </w:p>
    <w:p>
      <w:pPr>
        <w:keepNext/>
        <w:spacing w:before="160" w:after="160"/>
        <w:jc w:val="center"/>
      </w:pPr>
      <w:r>
        <w:rPr>
          <w:b/>
          <w:bCs/>
          <w:sz w:val="20"/>
          <w:szCs w:val="18"/>
        </w:rPr>
        <w:t xml:space="preserve">Table 5.2: </w:t>
      </w:r>
      <w:r>
        <w:rPr>
          <w:sz w:val="20"/>
          <w:szCs w:val="18"/>
        </w:rPr>
        <w:t>Traditional EHR access control compared with the HALAH framework</w:t>
      </w:r>
    </w:p>
    <w:tbl>
      <w:tblPr>
        <w:tblW w:w="9128" w:type="dxa"/>
        <w:jc w:val="center"/>
        <w:tblBorders>
          <w:top w:val="single" w:sz="12" w:color="000000" w:space="0"/>
          <w:left w:val="nil"/>
          <w:bottom w:val="single" w:sz="12" w:color="000000" w:space="0"/>
          <w:right w:val="nil"/>
          <w:insideH w:val="nil"/>
          <w:insideV w:val="nil"/>
        </w:tblBorders>
        <w:tblCellMar>
          <w:left w:w="10" w:type="dxa"/>
          <w:right w:w="10" w:type="dxa"/>
        </w:tblCellMar>
        <w:tblLook w:val="0000" w:firstRow="0" w:lastRow="0" w:firstColumn="0" w:lastColumn="0" w:noHBand="0" w:noVBand="0"/>
      </w:tblPr>
      <w:tblGrid>
        <w:gridCol w:w="2828"/>
        <w:gridCol w:w="2828"/>
        <w:gridCol w:w="3472"/>
      </w:tblGrid>
      <w:tr w:rsidR="009262C4">
        <w:trPr>
          <w:cantSplit/>
          <w:tblHeader/>
        </w:trPr>
        <w:tc>
          <w:tcPr>
            <w:tcW w:w="2828" w:type="dxa"/>
            <w:tcBorders>
              <w:top w:val="nil"/>
              <w:left w:val="nil"/>
              <w:bottom w:val="single" w:sz="6" w:color="000000" w:space="0"/>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b/>
                <w:bCs/>
                <w:color w:val="000000"/>
                <w:sz w:val="19"/>
                <w:szCs w:val="17"/>
              </w:rPr>
              <w:t>Aspect</w:t>
            </w:r>
          </w:p>
        </w:tc>
        <w:tc>
          <w:tcPr>
            <w:tcW w:w="2828" w:type="dxa"/>
            <w:tcBorders>
              <w:top w:val="nil"/>
              <w:left w:val="nil"/>
              <w:bottom w:val="single" w:sz="6" w:color="000000" w:space="0"/>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b/>
                <w:bCs/>
                <w:color w:val="000000"/>
                <w:sz w:val="19"/>
                <w:szCs w:val="17"/>
              </w:rPr>
              <w:t>Traditional EHR access control</w:t>
            </w:r>
          </w:p>
        </w:tc>
        <w:tc>
          <w:tcPr>
            <w:tcW w:w="3472" w:type="dxa"/>
            <w:tcBorders>
              <w:top w:val="nil"/>
              <w:left w:val="nil"/>
              <w:bottom w:val="single" w:sz="6" w:color="000000" w:space="0"/>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b/>
                <w:bCs/>
                <w:color w:val="000000"/>
                <w:sz w:val="19"/>
                <w:szCs w:val="17"/>
              </w:rPr>
              <w:t>HALAH framework</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Identity</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Central identity provider; institution login</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DID for every participant; identity kept separate from authority</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Consent</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stored record that permission was given</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An object C = (I, A, P, T, L, E), checked at every request</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Approval</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static permission set by one party</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All listed guardians sign (EIP-712); no single party can approve alone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Access check</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Log in, then check a static permission</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VI ∧ VA ∧ VP ∧ VT ∧ VL, plus a Groth16 proof before data is released</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Time and revocation</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Hard to verify once the permission is stored</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Validity window and revocation checked each time; on-chain revoke</w:t>
            </w:r>
          </w:p>
        </w:tc>
      </w:tr>
      <w:tr w:rsidR="009262C4">
        <w:trPr>
          <w:cantSplit/>
        </w:trPr>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Audit</w:t>
            </w:r>
          </w:p>
        </w:tc>
        <w:tc>
          <w:tcPr>
            <w:tcW w:w="2828"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A record that consent occurred</w:t>
            </w:r>
          </w:p>
        </w:tc>
        <w:tc>
          <w:tcPr>
            <w:tcW w:w="3472" w:type="dxa"/>
            <w:tcBorders>
              <w:top w:val="nil"/>
              <w:left w:val="nil"/>
              <w:bottom w:val="nil"/>
              <w:right w:val="nil"/>
              <w:insideH w:val="nil"/>
              <w:insideV w:val="nil"/>
            </w:tcBorders>
            <w:tcMar>
              <w:top w:w="40" w:type="dxa"/>
              <w:left w:w="80" w:type="dxa"/>
              <w:bottom w:w="40" w:type="dxa"/>
              <w:right w:w="80" w:type="dxa"/>
            </w:tcMar>
          </w:tcPr>
          <w:p w:rsidR="009262C4" w:rsidRDefault="00000000">
            <w:pPr>
              <w:keepNext/>
              <w:spacing w:after="40" w:line="240" w:lineRule="auto"/>
              <w:jc w:val="left"/>
            </w:pPr>
            <w:r>
              <w:rPr>
                <w:rFonts w:ascii="Palatino Linotype" w:hAnsi="Palatino Linotype" w:cs="Palatino Linotype"/>
                <w:color w:val="000000"/>
                <w:sz w:val="19"/>
                <w:szCs w:val="17"/>
              </w:rPr>
              <w:t>Every access decision, allowed or denied, logged off-chain with its decision matrix; consent state anchored on Sepolia</w:t>
            </w:r>
          </w:p>
        </w:tc>
      </w:tr>
    </w:tbl>
    <w:p>
      <w:pPr>
        <w:spacing w:after="110" w:line="264" w:lineRule="auto"/>
        <w:jc w:val="both"/>
      </w:pPr>
      <w:r/>
    </w:p>
    <w:p w14:paraId="62456633" w14:textId="77777777" w:rsidR="009262C4" w:rsidRDefault="00000000">
      <w:pPr>
        <w:spacing w:after="110" w:line="264" w:lineRule="auto"/>
        <w:jc w:val="both"/>
      </w:pPr>
      <w:r>
        <w:t xml:space="preserve">The contribution of the proposed architecture is the way MVC is used to carry a trust-oriented authorisation model, not the use of MVC itself. This design transforms multi-party consent management from a conventional record-management problem into a distributed security-governance problem. The evaluable consent object as such is already present in the literature. The key innovation is that consent effectiveness depends on the joint satisfaction of identity, authority, collective approval, policy, temporal, and lifecycle conditions on every access decision. Blockchain or other tamper-resistant storage mechanisms are integrated as infrastructure for preserving selected authorisation evidence. However, the blockchain itself is not treated as the source of trust. Its role is to strengthen integrity, non-repudiation, and auditability of the evidence generated by the authorisation process. The detailed solutions for RQ1 to RQ6 </w:t>
      </w:r>
      <w:r>
        <w:t>are presented in Chapters 5 to 10</w:t>
      </w:r>
      <w:r>
        <w:t>, and the formal assurance of the complete decision model remains for the next stage. The next section presents the solution for RO1, the consent object on which the other objectives build.</w:t>
      </w:r>
    </w:p>
    <w:p>
      <w:pPr>
        <w:pStyle w:val="2"/>
      </w:pPr>
      <w:r>
        <w:t>5.5 Trust-Centric Consent Model</w:t>
      </w:r>
    </w:p>
    <w:p w14:paraId="5376DFE3" w14:textId="77777777" w:rsidR="009262C4" w:rsidRDefault="00000000">
      <w:pPr>
        <w:spacing w:after="110" w:line="264" w:lineRule="auto"/>
        <w:jc w:val="both"/>
      </w:pPr>
      <w:r>
        <w:t xml:space="preserve">This section presents the solution for RO1. </w:t>
      </w:r>
      <w:r>
        <w:t>Section 5.5.1 shows the consent creation workflow, Section 5.5.2 defines the structure of the consent object, Section 5.5.3 presents the creation procedure and the algorithm, Section 5.6 describes how the model is realised in the prototype, and Section 5.7 validates and evaluates it.</w:t>
      </w:r>
    </w:p>
    <w:p w14:paraId="201EB011" w14:textId="77777777" w:rsidR="009262C4" w:rsidRDefault="00000000">
      <w:pPr>
        <w:spacing w:after="110" w:line="264" w:lineRule="auto"/>
        <w:jc w:val="both"/>
      </w:pPr>
      <w:r>
        <w:t xml:space="preserve">RO1 addresses RQ1 by developing a trust-aware consent model that represents patient consent as a structured and evaluable authorisation object. The purpose of this objective is to establish a formal representation of what the patient intends to authorise, who is permitted to participate in the authorisation process, which healthcare data may be accessed, and under what conditions. The proposed consent object is represented as </w:t>
      </w:r>
      <w:r>
        <w:t>Equation (5.1)</w:t>
      </w:r>
      <w:r>
        <w:t>.</w:t>
      </w:r>
    </w:p>
    <w:p w14:paraId="54552F6D" w14:textId="77777777" w:rsidR="009262C4" w:rsidRDefault="00000000">
      <w:pPr>
        <w:keepLines/>
        <w:tabs>
          <w:tab w:val="center" w:pos="4564"/>
          <w:tab w:val="right" w:pos="9128"/>
        </w:tabs>
        <w:spacing w:before="80" w:after="160"/>
      </w:pPr>
      <w:r>
        <w:tab/>
      </w:r>
      <w:r>
        <w:rPr>
          <w:rFonts w:ascii="Cambria Math" w:eastAsia="Cambria Math" w:hAnsi="Cambria Math" w:cs="Cambria Math"/>
          <w:sz w:val="21"/>
          <w:szCs w:val="21"/>
        </w:rPr>
        <w:t>C = (I, A, P, T, L, E)</w:t>
      </w:r>
      <w:r>
        <w:tab/>
      </w:r>
      <w:r>
        <w:t>(5.1)</w:t>
      </w:r>
    </w:p>
    <w:p w14:paraId="63094BBA" w14:textId="77777777" w:rsidR="009262C4" w:rsidRDefault="00000000">
      <w:pPr>
        <w:spacing w:after="110" w:line="264" w:lineRule="auto"/>
        <w:jc w:val="both"/>
      </w:pPr>
      <w:r>
        <w:t>In Equation (5.1)</w:t>
      </w:r>
      <w:r>
        <w:t>, I represents patient and participant identity information, A represents authorisation requirements, P represents policy constraints, and E represents authorisation evidence. T represents the temporal validity window, and L represents the current state of the consent object and its permissible transitions. The identity component identifies the patient and relevant participants. The authorisation component defines the required participants and approval threshold. The policy component specifies the permitted purpose and healthcare data scope. The evidence component records the information required to support subsequent verification and audit. The consent model therefore separates the specification of consent from the final access decision. A consent object does not automatically imply that every subsequent request is authorised. Instead, the object provides the conditions against which a request can be evaluated.</w:t>
      </w:r>
    </w:p>
    <w:p>
      <w:pPr>
        <w:pStyle w:val="3"/>
      </w:pPr>
      <w:r>
        <w:t>5.5.1 Consent Creation Workflow</w:t>
      </w:r>
    </w:p>
    <w:p w14:paraId="19D1B142" w14:textId="77777777" w:rsidR="009262C4" w:rsidRDefault="00000000">
      <w:pPr>
        <w:spacing w:after="110" w:line="264" w:lineRule="auto"/>
        <w:jc w:val="both"/>
      </w:pPr>
      <w:r>
        <w:t>Figure 5.5</w:t>
      </w:r>
      <w:r>
        <w:t xml:space="preserve"> describes the creation of a trust-aware consent object. The process begins with a patient request and ends with a structured consent record that can be verified by subsequent authorisation services. The workflow first collects the patient identity and the intended healthcare participants. It then specifies the purpose and data scope of the consent. In the HALAH implementation, the patient interface allows the patient to select a patient DID, specify an authorised doctor, identify guardian DIDs, and select healthcare data modules such as Observation, Medication, Condition, and Procedure. The implementation also collects the start and expiry time of the consent. In the current interface, the purpose is fixed to Treatment and is not selected by the patient, and the purpose vocabulary check is therefore exercised by the automated tests rather than by the interface.</w:t>
      </w:r>
    </w:p>
    <w:p w14:paraId="1C89E102" w14:textId="77777777" w:rsidR="009262C4" w:rsidRDefault="00000000">
      <w:pPr>
        <w:keepNext/>
        <w:spacing w:before="160" w:after="60"/>
        <w:jc w:val="center"/>
      </w:pPr>
      <w:r>
        <w:rPr>
          <w:noProof/>
        </w:rPr>
        <w:lastRenderedPageBreak/>
        <w:drawing>
          <wp:inline distT="0" distB="0" distL="0" distR="0" wp14:anchorId="22282531" wp14:editId="79277C59">
            <wp:extent cx="2495550" cy="5334000"/>
            <wp:effectExtent l="0" t="0" r="0" b="0"/>
            <wp:docPr id="197938274" name="F10_slide.png" descr="RO1 workflow for trust-centric consent creation" title="RO1 workflow for trust-centric consent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95550" cy="5334000"/>
                    </a:xfrm>
                    <a:prstGeom prst="rect">
                      <a:avLst/>
                    </a:prstGeom>
                  </pic:spPr>
                </pic:pic>
              </a:graphicData>
            </a:graphic>
          </wp:inline>
        </w:drawing>
      </w:r>
    </w:p>
    <w:p w14:paraId="7089CDC2" w14:textId="77777777" w:rsidR="009262C4" w:rsidRDefault="00000000">
      <w:pPr>
        <w:spacing w:after="160" w:before="160"/>
        <w:jc w:val="center"/>
      </w:pPr>
      <w:r>
        <w:rPr>
          <w:b/>
          <w:bCs/>
          <w:sz w:val="20"/>
          <w:szCs w:val="18"/>
        </w:rPr>
        <w:t>Figure 5.5</w:t>
      </w:r>
      <w:r>
        <w:rPr>
          <w:b/>
          <w:bCs/>
          <w:sz w:val="20"/>
          <w:szCs w:val="18"/>
        </w:rPr>
        <w:t xml:space="preserve">: </w:t>
      </w:r>
      <w:r>
        <w:rPr>
          <w:sz w:val="20"/>
          <w:szCs w:val="18"/>
        </w:rPr>
        <w:t>RO1 workflow for trust-centric consent creation.</w:t>
      </w:r>
    </w:p>
    <w:p w14:paraId="71A788FB" w14:textId="77777777" w:rsidR="009262C4" w:rsidRDefault="00000000">
      <w:pPr>
        <w:spacing w:after="110" w:line="264" w:lineRule="auto"/>
        <w:jc w:val="both"/>
      </w:pPr>
      <w:r>
        <w:t xml:space="preserve">The specification is accepted only when the required fields are valid. For example, the expiry time must be later than the start time, the data scope must not be empty, and each guardian DID must be well formed. After validation, the system creates the consent object, assigns a consent identifier, persists the record, and records the creation event in the audit layer. This process ensures that the consent object contains sufficient information for subsequent identity verification, multi-party authorisation, policy evaluation, and auditability. Once the consent object is created, its lifecycle state L becomes PENDING, because the consent cannot produce an effective authorisation decision until the required approvals have been obtained. In the current prototype, this state is PENDING_SIGNATURE, and the interface also records a jurisdiction code, AU in the demonstrated transactions, for the exploratory jurisdiction check </w:t>
      </w:r>
      <w:r>
        <w:t>(Chapter 8)</w:t>
      </w:r>
      <w:r>
        <w:t>.</w:t>
      </w:r>
    </w:p>
    <w:p>
      <w:pPr>
        <w:pStyle w:val="3"/>
      </w:pPr>
      <w:r>
        <w:t>5.5.2 Structure of the Consent Object</w:t>
      </w:r>
    </w:p>
    <w:p w14:paraId="5F6EAA5F" w14:textId="77777777" w:rsidR="009262C4" w:rsidRDefault="00000000">
      <w:pPr>
        <w:spacing w:after="110" w:line="264" w:lineRule="auto"/>
        <w:jc w:val="both"/>
      </w:pPr>
      <w:r>
        <w:t>Figure 5.6</w:t>
      </w:r>
      <w:r>
        <w:t xml:space="preserve"> shows how the validated information is combined to construct the consent object. The resulting object therefore captures the patient's preference and the evidence needed for later authorisation decisions.</w:t>
      </w:r>
    </w:p>
    <w:p w14:paraId="338AE876" w14:textId="77777777" w:rsidR="009262C4" w:rsidRDefault="00000000">
      <w:pPr>
        <w:keepNext/>
        <w:spacing w:before="160" w:after="60"/>
        <w:jc w:val="center"/>
      </w:pPr>
      <w:r>
        <w:rPr>
          <w:noProof/>
        </w:rPr>
        <w:lastRenderedPageBreak/>
        <w:drawing>
          <wp:inline distT="0" distB="0" distL="0" distR="0" wp14:anchorId="7ADA6155" wp14:editId="26D4F596">
            <wp:extent cx="5715000" cy="3162300"/>
            <wp:effectExtent l="0" t="0" r="0" b="0"/>
            <wp:docPr id="71915820" name="F11.png" descr="Six-component consent model C = (I, A, P, T, L, E) with the content and supplier of each component, where L is the lifecycle state. The states shown are those of the design, and the states implemented in the prototype are given in Section 10.3" title="Six-component consent model C = (I, A, P, T, L, E) with the content and supplier of each component, where L is the lifecycle state. The states shown are those of the design, and the states implemented in the prototype are given in Sectio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162300"/>
                    </a:xfrm>
                    <a:prstGeom prst="rect">
                      <a:avLst/>
                    </a:prstGeom>
                  </pic:spPr>
                </pic:pic>
              </a:graphicData>
            </a:graphic>
          </wp:inline>
        </w:drawing>
      </w:r>
    </w:p>
    <w:p w14:paraId="7304CA8F" w14:textId="77777777" w:rsidR="009262C4" w:rsidRDefault="00000000">
      <w:pPr>
        <w:spacing w:after="160" w:before="160"/>
        <w:jc w:val="center"/>
      </w:pPr>
      <w:r>
        <w:rPr>
          <w:b/>
          <w:bCs/>
          <w:sz w:val="20"/>
          <w:szCs w:val="18"/>
        </w:rPr>
        <w:t>Figure 5.6</w:t>
      </w:r>
      <w:r>
        <w:rPr>
          <w:b/>
          <w:bCs/>
          <w:sz w:val="20"/>
          <w:szCs w:val="18"/>
        </w:rPr>
        <w:t xml:space="preserve">: </w:t>
      </w:r>
      <w:r>
        <w:rPr>
          <w:sz w:val="20"/>
          <w:szCs w:val="18"/>
        </w:rPr>
        <w:t xml:space="preserve">Six-component consent model C = (I, A, P, T, L, E) with the content and supplier of each component, where L is the lifecycle state. The states shown are those of the design, and the states implemented in the prototype are </w:t>
      </w:r>
      <w:r>
        <w:rPr>
          <w:sz w:val="20"/>
          <w:szCs w:val="18"/>
        </w:rPr>
        <w:t>given in Chapter 9</w:t>
      </w:r>
      <w:r>
        <w:rPr>
          <w:sz w:val="20"/>
          <w:szCs w:val="18"/>
        </w:rPr>
        <w:t>.</w:t>
      </w:r>
    </w:p>
    <w:p w14:paraId="19DBCC08" w14:textId="77777777" w:rsidR="009262C4" w:rsidRDefault="00000000">
      <w:pPr>
        <w:spacing w:after="110" w:line="264" w:lineRule="auto"/>
        <w:jc w:val="both"/>
      </w:pPr>
      <w:r>
        <w:t>The system validates the temporal validity interval T = (t</w:t>
      </w:r>
      <w:r>
        <w:rPr>
          <w:vertAlign w:val="subscript"/>
        </w:rPr>
        <w:t>s</w:t>
      </w:r>
      <w:r>
        <w:t xml:space="preserve">, t</w:t>
      </w:r>
      <w:r>
        <w:rPr>
          <w:vertAlign w:val="subscript"/>
        </w:rPr>
        <w:t>e</w:t>
      </w:r>
      <w:r>
        <w:t>). Unlike the consent objects reported in the literature, this object carries the guardian set and threshold together with the purpose, data scope, validity interval, and lifecycle state.</w:t>
      </w:r>
    </w:p>
    <w:p>
      <w:pPr>
        <w:pStyle w:val="3"/>
      </w:pPr>
      <w:r>
        <w:t>5.5.3 Trust-Aware Consent Creation Procedure and Algorithm</w:t>
      </w:r>
    </w:p>
    <w:p>
      <w:pPr/>
      <w:r>
        <w:t>The Trust-Aware Consent Creation procedure establishes a valid and auditable consent object by sequentially validating the participating entities, consent purpose, data scope, and temporal constraints before the consent is persisted. The procedure consists of the following steps.</w:t>
      </w:r>
    </w:p>
    <w:p>
      <w:pPr>
        <w:pStyle w:val="a4"/>
      </w:pPr>
      <w:r>
        <w:rPr>
          <w:b/>
        </w:rPr>
        <w:t xml:space="preserve">Step 1 – Validate Patient Identity. </w:t>
      </w:r>
      <w:r>
        <w:t>The system first validates the patient’s identity Ip. The identity is checked against the available identity and credential verification mechanisms to ensure that the consent request originates from a recognised patient entity. If Ip cannot be successfully validated, the procedure terminates immediately and returns REJECT.</w:t>
      </w:r>
    </w:p>
    <w:p>
      <w:pPr>
        <w:pStyle w:val="a4"/>
      </w:pPr>
      <w:r>
        <w:rPr>
          <w:b/>
        </w:rPr>
        <w:t xml:space="preserve">Step 2 – Validate the Authorised Doctor. </w:t>
      </w:r>
      <w:r>
        <w:t>The system validates the identity and authorisation status of the designated doctor D. This step determines whether the doctor is a recognised healthcare participant and whether the presented credentials are sufficient for participation in the requested consent relationship. An invalid or unauthorised doctor results in rejection of the consent request.</w:t>
      </w:r>
    </w:p>
    <w:p>
      <w:pPr>
        <w:pStyle w:val="a4"/>
      </w:pPr>
      <w:r>
        <w:rPr>
          <w:b/>
        </w:rPr>
        <w:t xml:space="preserve">Step 3 – Validate Guardian or Proxy Participants. </w:t>
      </w:r>
      <w:r>
        <w:t>If a guardian or proxy is specified, the system validates the guardian set G. Each guardian is checked to determine whether the individual or entity possesses the required authority to participate in consent-related decisions. This step prevents an arbitrary third party from being treated as an authorised representative of the patient.</w:t>
      </w:r>
    </w:p>
    <w:p>
      <w:pPr>
        <w:pStyle w:val="a4"/>
      </w:pPr>
      <w:r>
        <w:rPr>
          <w:b/>
        </w:rPr>
        <w:t xml:space="preserve">Step 4 – Validate the Intended Purpose. </w:t>
      </w:r>
      <w:r>
        <w:t>The intended data-use purpose Pu is validated to ensure that the purpose is explicitly specified and conforms to the supported healthcare-use policies. The purpose is subsequently bound to the consent object so that authorisation is not interpreted as unrestricted access to the patient’s healthcare information.</w:t>
      </w:r>
    </w:p>
    <w:p>
      <w:pPr>
        <w:pStyle w:val="a4"/>
      </w:pPr>
      <w:r>
        <w:rPr>
          <w:b/>
        </w:rPr>
        <w:t xml:space="preserve">Step 5 – Validate the Data Scope. </w:t>
      </w:r>
      <w:r>
        <w:t>The requested data scope SC is validated to determine precisely which healthcare resources may be accessed under the consent. The scope may represent specific resource categories, such as observations, medications, procedures, or other FHIR resources. This step establishes the principle of least privilege by ensuring that consent is associated with explicitly defined data resources rather than the patient’s entire healthcare record.</w:t>
      </w:r>
    </w:p>
    <w:p>
      <w:pPr>
        <w:pStyle w:val="a4"/>
      </w:pPr>
      <w:r>
        <w:rPr>
          <w:b/>
        </w:rPr>
        <w:t xml:space="preserve">Step 6 – Validate the Consent Validity Interval. </w:t>
      </w:r>
      <w:r>
        <w:t>The system validates the temporal validity interval T = (ts, te), where ts represents the consent start time and te represents the expiration time. The system verifies that the interval is logically valid by requiring te &gt; ts. If this condition is not satisfied, the consent request is rejected.</w:t>
      </w:r>
    </w:p>
    <w:p>
      <w:pPr>
        <w:pStyle w:val="a4"/>
      </w:pPr>
      <w:r>
        <w:rPr>
          <w:b/>
        </w:rPr>
        <w:t xml:space="preserve">Step 7 – Define the Authorisation Requirement. </w:t>
      </w:r>
      <w:r>
        <w:t>After all input elements have been validated, the system defines the authorisation requirement A. This requirement specifies the conditions that must subsequently be satisfied before access can be granted. Depending on the system configuration, A may incorporate patient approval, guardian approval, doctor authority, role requirements, multi-party approval, scope restrictions, purpose restrictions, and temporal constraints.</w:t>
      </w:r>
    </w:p>
    <w:p>
      <w:pPr>
        <w:pStyle w:val="a4"/>
      </w:pPr>
      <w:r>
        <w:rPr>
          <w:b/>
        </w:rPr>
        <w:t xml:space="preserve">Step 8 – Generate a Unique Consent Identifier. </w:t>
      </w:r>
      <w:r>
        <w:t>The system generates a unique consent identifier idC. This identifier provides a persistent reference to the consent object and enables subsequent operations, including consent verification, access authorisation, modification, revocation, and audit.</w:t>
      </w:r>
    </w:p>
    <w:p>
      <w:pPr>
        <w:pStyle w:val="a4"/>
      </w:pPr>
      <w:r>
        <w:rPr>
          <w:b/>
        </w:rPr>
        <w:t xml:space="preserve">Step 9 – Construct the Consent Object. </w:t>
      </w:r>
      <w:r>
        <w:t xml:space="preserve">The validated information is combined to construct the consent object C = (I, A, P, </w:t>
      </w:r>
      <w:r>
        <w:t xml:space="preserve">T, L, </w:t>
      </w:r>
      <w:r>
        <w:t xml:space="preserve">E), where I represents the verified identity information, A represents the authorisation requirements, P represents the consent purpose and associated permissions, </w:t>
      </w:r>
      <w:r>
        <w:t xml:space="preserve">T represents the validity interval, L represents the lifecycle state, </w:t>
      </w:r>
      <w:r>
        <w:t>and E represents the evidence associated with the consent decision. The resulting object therefore captures not only the patient’s preference but also the evidence required to support subsequent authorisation decisions.</w:t>
      </w:r>
    </w:p>
    <w:p>
      <w:pPr>
        <w:pStyle w:val="a4"/>
      </w:pPr>
      <w:r>
        <w:rPr>
          <w:b/>
        </w:rPr>
        <w:t xml:space="preserve">Step 10 – Persist the Consent Object. </w:t>
      </w:r>
      <w:r>
        <w:t>The constructed consent object C is persisted in the consent-management infrastructure. The persistence mechanism provides a stable representation of the consent state that can subsequently be referenced by the access-control and authorisation components.</w:t>
      </w:r>
    </w:p>
    <w:p>
      <w:pPr>
        <w:pStyle w:val="a4"/>
      </w:pPr>
      <w:r>
        <w:rPr>
          <w:b/>
        </w:rPr>
        <w:t xml:space="preserve">Step 11 – Record Consent Creation Evidence. </w:t>
      </w:r>
      <w:r>
        <w:t>Finally, the system records evidence associated with the creation event, including the consent identifier, participating entities, relevant timestamps, and the resulting consent state. This evidence provides an auditable record that can be used to reconstruct and verify the consent lifecycle.</w:t>
      </w:r>
    </w:p>
    <w:p>
      <w:pPr>
        <w:pStyle w:val="a4"/>
      </w:pPr>
      <w:r>
        <w:rPr>
          <w:b/>
        </w:rPr>
        <w:t xml:space="preserve">Step 12 – Return the Consent Result. </w:t>
      </w:r>
      <w:r>
        <w:t>If all validation and construction operations are completed successfully, the system returns the newly created consent object C. If any mandatory validation fails during the process, the system terminates the procedure and returns REJECT.</w:t>
      </w:r>
    </w:p>
    <w:p>
      <w:pPr/>
      <w:r>
        <w:t>The overall procedure can therefore be represented as a sequential trust establishment process that Ip → D → G → Pu → SC → T → A → idC → C → E.</w:t>
      </w:r>
    </w:p>
    <w:p>
      <w:pPr/>
      <w:r>
        <w:t>This sequence ensures that consent is created only after the relevant identity, authority, purpose, scope, and temporal constraints have been validated. Consequently, the resulting consent object serves not merely as a record of patient preference, but as a structured authorisation artefact that can provide evidence for subsequent healthcare data-access decisions.</w:t>
      </w:r>
    </w:p>
    <w:p w14:paraId="015AAA3F" w14:textId="77777777" w:rsidR="009262C4" w:rsidRDefault="00000000">
      <w:pPr>
        <w:keepNext/>
        <w:pBdr>
          <w:top w:val="single" w:sz="12" w:space="0" w:color="000000"/>
          <w:bottom w:val="single" w:sz="6" w:space="0" w:color="000000"/>
        </w:pBdr>
        <w:spacing w:before="220" w:after="40"/>
      </w:pPr>
      <w:r>
        <w:rPr>
          <w:b/>
          <w:bCs/>
          <w:sz w:val="19"/>
          <w:szCs w:val="19"/>
        </w:rPr>
        <w:t xml:space="preserve">Algorithm 1 </w:t>
      </w:r>
      <w:r>
        <w:rPr>
          <w:sz w:val="19"/>
          <w:szCs w:val="19"/>
        </w:rPr>
        <w:t>Trust-Aware Consent Creation</w:t>
      </w:r>
    </w:p>
    <w:p w14:paraId="0E41ED42" w14:textId="77777777" w:rsidR="009262C4" w:rsidRDefault="00000000">
      <w:pPr>
        <w:keepNext/>
        <w:spacing w:after="20"/>
      </w:pPr>
      <w:r>
        <w:rPr>
          <w:b/>
          <w:bCs/>
          <w:sz w:val="19"/>
          <w:szCs w:val="19"/>
        </w:rPr>
        <w:t xml:space="preserve">Require: </w:t>
      </w:r>
      <w:r>
        <w:rPr>
          <w:sz w:val="19"/>
          <w:szCs w:val="19"/>
        </w:rPr>
        <w:t>Patient identity I</w:t>
      </w:r>
      <w:r>
        <w:rPr>
          <w:sz w:val="19"/>
          <w:szCs w:val="19"/>
          <w:vertAlign w:val="subscript"/>
        </w:rPr>
        <w:t>p</w:t>
      </w:r>
      <w:r>
        <w:rPr>
          <w:sz w:val="19"/>
          <w:szCs w:val="19"/>
        </w:rPr>
        <w:t>, authorised doctor D, guardian set G, purpose P</w:t>
      </w:r>
      <w:r>
        <w:rPr>
          <w:sz w:val="19"/>
          <w:szCs w:val="19"/>
          <w:vertAlign w:val="subscript"/>
        </w:rPr>
        <w:t>u</w:t>
      </w:r>
      <w:r>
        <w:rPr>
          <w:sz w:val="19"/>
          <w:szCs w:val="19"/>
        </w:rPr>
        <w:t>, data scope S</w:t>
      </w:r>
      <w:r>
        <w:rPr>
          <w:sz w:val="19"/>
          <w:szCs w:val="19"/>
          <w:vertAlign w:val="subscript"/>
        </w:rPr>
        <w:t>C</w:t>
      </w:r>
      <w:r>
        <w:rPr>
          <w:sz w:val="19"/>
          <w:szCs w:val="19"/>
        </w:rPr>
        <w:t>, validity interval T</w:t>
      </w:r>
    </w:p>
    <w:p w14:paraId="1237C390" w14:textId="77777777" w:rsidR="009262C4" w:rsidRDefault="00000000">
      <w:pPr>
        <w:keepNext/>
        <w:spacing w:after="40"/>
      </w:pPr>
      <w:r>
        <w:rPr>
          <w:b/>
          <w:bCs/>
          <w:sz w:val="19"/>
          <w:szCs w:val="19"/>
        </w:rPr>
        <w:t xml:space="preserve">Ensure: </w:t>
      </w:r>
      <w:r>
        <w:rPr>
          <w:sz w:val="19"/>
          <w:szCs w:val="19"/>
        </w:rPr>
        <w:t>Consent object C or rejection</w:t>
      </w:r>
    </w:p>
    <w:p w14:paraId="00562E57" w14:textId="77777777" w:rsidR="009262C4" w:rsidRDefault="00000000">
      <w:pPr>
        <w:keepNext/>
        <w:tabs>
          <w:tab w:val="right" w:pos="520"/>
          <w:tab w:val="left" w:pos="720"/>
        </w:tabs>
        <w:spacing w:after="10"/>
        <w:ind w:left="720" w:hanging="720"/>
      </w:pPr>
      <w:r>
        <w:rPr>
          <w:color w:val="555555"/>
          <w:sz w:val="16"/>
          <w:szCs w:val="16"/>
        </w:rPr>
        <w:tab/>
        <w:t>1:</w:t>
        <w:tab/>
      </w:r>
      <w:r>
        <w:rPr>
          <w:sz w:val="19"/>
          <w:szCs w:val="19"/>
        </w:rPr>
        <w:t>Validate I</w:t>
      </w:r>
      <w:r>
        <w:rPr>
          <w:sz w:val="19"/>
          <w:szCs w:val="19"/>
          <w:vertAlign w:val="subscript"/>
        </w:rPr>
        <w:t>p</w:t>
      </w:r>
    </w:p>
    <w:p w14:paraId="053C7239" w14:textId="77777777" w:rsidR="009262C4" w:rsidRDefault="00000000">
      <w:pPr>
        <w:keepNext/>
        <w:tabs>
          <w:tab w:val="right" w:pos="520"/>
          <w:tab w:val="left" w:pos="720"/>
        </w:tabs>
        <w:spacing w:after="10"/>
        <w:ind w:left="720" w:hanging="720"/>
      </w:pPr>
      <w:r>
        <w:rPr>
          <w:color w:val="555555"/>
          <w:sz w:val="16"/>
          <w:szCs w:val="16"/>
        </w:rPr>
        <w:tab/>
        <w:t>2:</w:t>
        <w:tab/>
      </w:r>
      <w:r>
        <w:rPr>
          <w:b/>
          <w:bCs/>
          <w:sz w:val="19"/>
          <w:szCs w:val="19"/>
        </w:rPr>
        <w:t>if</w:t>
      </w:r>
      <w:r>
        <w:rPr>
          <w:sz w:val="19"/>
          <w:szCs w:val="19"/>
        </w:rPr>
        <w:t xml:space="preserve"> I</w:t>
      </w:r>
      <w:r>
        <w:rPr>
          <w:sz w:val="19"/>
          <w:szCs w:val="19"/>
          <w:vertAlign w:val="subscript"/>
        </w:rPr>
        <w:t>p</w:t>
      </w:r>
      <w:r>
        <w:rPr>
          <w:sz w:val="19"/>
          <w:szCs w:val="19"/>
        </w:rPr>
        <w:t xml:space="preserve"> is invalid </w:t>
      </w:r>
      <w:r>
        <w:rPr>
          <w:b/>
          <w:bCs/>
          <w:sz w:val="19"/>
          <w:szCs w:val="19"/>
        </w:rPr>
        <w:t>then</w:t>
      </w:r>
    </w:p>
    <w:p w14:paraId="7AF6AFC9" w14:textId="77777777" w:rsidR="009262C4" w:rsidRDefault="00000000">
      <w:pPr>
        <w:keepNext/>
        <w:tabs>
          <w:tab w:val="right" w:pos="520"/>
          <w:tab w:val="left" w:pos="1080"/>
        </w:tabs>
        <w:spacing w:after="10"/>
        <w:ind w:left="1080" w:hanging="1080"/>
      </w:pPr>
      <w:r>
        <w:rPr>
          <w:color w:val="555555"/>
          <w:sz w:val="16"/>
          <w:szCs w:val="16"/>
        </w:rPr>
        <w:tab/>
        <w:t>3:</w:t>
        <w:tab/>
      </w:r>
      <w:r>
        <w:rPr>
          <w:b/>
          <w:bCs/>
          <w:sz w:val="19"/>
          <w:szCs w:val="19"/>
        </w:rPr>
        <w:t>return</w:t>
      </w:r>
      <w:r>
        <w:rPr>
          <w:sz w:val="19"/>
          <w:szCs w:val="19"/>
        </w:rPr>
        <w:t xml:space="preserve"> REJECT</w:t>
      </w:r>
    </w:p>
    <w:p w14:paraId="64C2B5FD" w14:textId="77777777" w:rsidR="009262C4" w:rsidRDefault="00000000">
      <w:pPr>
        <w:keepNext/>
        <w:tabs>
          <w:tab w:val="right" w:pos="520"/>
          <w:tab w:val="left" w:pos="720"/>
        </w:tabs>
        <w:spacing w:after="10"/>
        <w:ind w:left="720" w:hanging="720"/>
      </w:pPr>
      <w:r>
        <w:rPr>
          <w:color w:val="555555"/>
          <w:sz w:val="16"/>
          <w:szCs w:val="16"/>
        </w:rPr>
        <w:tab/>
        <w:t>4:</w:t>
        <w:tab/>
      </w:r>
      <w:r>
        <w:rPr>
          <w:b/>
          <w:bCs/>
          <w:sz w:val="19"/>
          <w:szCs w:val="19"/>
        </w:rPr>
        <w:t>end if</w:t>
      </w:r>
    </w:p>
    <w:p w14:paraId="1CCCA605" w14:textId="77777777" w:rsidR="009262C4" w:rsidRDefault="00000000">
      <w:pPr>
        <w:keepNext/>
        <w:tabs>
          <w:tab w:val="right" w:pos="520"/>
          <w:tab w:val="left" w:pos="720"/>
        </w:tabs>
        <w:spacing w:after="10"/>
        <w:ind w:left="720" w:hanging="720"/>
      </w:pPr>
      <w:r>
        <w:rPr>
          <w:color w:val="555555"/>
          <w:sz w:val="16"/>
          <w:szCs w:val="16"/>
        </w:rPr>
        <w:tab/>
        <w:t>5:</w:t>
        <w:tab/>
      </w:r>
      <w:r>
        <w:rPr>
          <w:sz w:val="19"/>
          <w:szCs w:val="19"/>
        </w:rPr>
        <w:t>Validate authorised doctor D, guardian set G, purpose P</w:t>
      </w:r>
      <w:r>
        <w:rPr>
          <w:sz w:val="19"/>
          <w:szCs w:val="19"/>
          <w:vertAlign w:val="subscript"/>
        </w:rPr>
        <w:t>u</w:t>
      </w:r>
      <w:r>
        <w:rPr>
          <w:sz w:val="19"/>
          <w:szCs w:val="19"/>
        </w:rPr>
        <w:t xml:space="preserve"> and data scope S</w:t>
      </w:r>
      <w:r>
        <w:rPr>
          <w:sz w:val="19"/>
          <w:szCs w:val="19"/>
          <w:vertAlign w:val="subscript"/>
        </w:rPr>
        <w:t>C</w:t>
      </w:r>
    </w:p>
    <w:p w14:paraId="7209D200" w14:textId="77777777" w:rsidR="009262C4" w:rsidRDefault="00000000">
      <w:pPr>
        <w:keepNext/>
        <w:tabs>
          <w:tab w:val="right" w:pos="520"/>
          <w:tab w:val="left" w:pos="720"/>
        </w:tabs>
        <w:spacing w:after="10"/>
        <w:ind w:left="720" w:hanging="720"/>
      </w:pPr>
      <w:r>
        <w:rPr>
          <w:color w:val="555555"/>
          <w:sz w:val="16"/>
          <w:szCs w:val="16"/>
        </w:rPr>
        <w:tab/>
        <w:t>6:</w:t>
        <w:tab/>
      </w:r>
      <w:r>
        <w:rPr>
          <w:b/>
          <w:bCs/>
          <w:sz w:val="19"/>
          <w:szCs w:val="19"/>
        </w:rPr>
        <w:t>if</w:t>
      </w:r>
      <w:r>
        <w:rPr>
          <w:sz w:val="19"/>
          <w:szCs w:val="19"/>
        </w:rPr>
        <w:t xml:space="preserve"> any of them is invalid </w:t>
      </w:r>
      <w:r>
        <w:rPr>
          <w:b/>
          <w:bCs/>
          <w:sz w:val="19"/>
          <w:szCs w:val="19"/>
        </w:rPr>
        <w:t>then</w:t>
      </w:r>
    </w:p>
    <w:p w14:paraId="7DCA2F13" w14:textId="77777777" w:rsidR="009262C4" w:rsidRDefault="00000000">
      <w:pPr>
        <w:keepNext/>
        <w:tabs>
          <w:tab w:val="right" w:pos="520"/>
          <w:tab w:val="left" w:pos="1080"/>
        </w:tabs>
        <w:spacing w:after="10"/>
        <w:ind w:left="1080" w:hanging="1080"/>
      </w:pPr>
      <w:r>
        <w:rPr>
          <w:color w:val="555555"/>
          <w:sz w:val="16"/>
          <w:szCs w:val="16"/>
        </w:rPr>
        <w:tab/>
        <w:t>7:</w:t>
        <w:tab/>
      </w:r>
      <w:r>
        <w:rPr>
          <w:b/>
          <w:bCs/>
          <w:sz w:val="19"/>
          <w:szCs w:val="19"/>
        </w:rPr>
        <w:t>return</w:t>
      </w:r>
      <w:r>
        <w:rPr>
          <w:sz w:val="19"/>
          <w:szCs w:val="19"/>
        </w:rPr>
        <w:t xml:space="preserve"> REJECT</w:t>
      </w:r>
    </w:p>
    <w:p w14:paraId="507CED74" w14:textId="77777777" w:rsidR="009262C4" w:rsidRDefault="00000000">
      <w:pPr>
        <w:keepNext/>
        <w:tabs>
          <w:tab w:val="right" w:pos="520"/>
          <w:tab w:val="left" w:pos="720"/>
        </w:tabs>
        <w:spacing w:after="10"/>
        <w:ind w:left="720" w:hanging="720"/>
      </w:pPr>
      <w:r>
        <w:rPr>
          <w:color w:val="555555"/>
          <w:sz w:val="16"/>
          <w:szCs w:val="16"/>
        </w:rPr>
        <w:tab/>
        <w:t>8:</w:t>
        <w:tab/>
      </w:r>
      <w:r>
        <w:rPr>
          <w:b/>
          <w:bCs/>
          <w:sz w:val="19"/>
          <w:szCs w:val="19"/>
        </w:rPr>
        <w:t>end if</w:t>
      </w:r>
    </w:p>
    <w:p w14:paraId="63AE573A" w14:textId="77777777" w:rsidR="009262C4" w:rsidRDefault="00000000">
      <w:pPr>
        <w:keepNext/>
        <w:tabs>
          <w:tab w:val="right" w:pos="520"/>
          <w:tab w:val="left" w:pos="720"/>
        </w:tabs>
        <w:spacing w:after="10"/>
        <w:ind w:left="720" w:hanging="720"/>
      </w:pPr>
      <w:r>
        <w:rPr>
          <w:color w:val="555555"/>
          <w:sz w:val="16"/>
          <w:szCs w:val="16"/>
        </w:rPr>
        <w:tab/>
        <w:t>9:</w:t>
        <w:tab/>
      </w:r>
      <w:r>
        <w:rPr>
          <w:sz w:val="19"/>
          <w:szCs w:val="19"/>
        </w:rPr>
        <w:t>Validate validity interval T = (t</w:t>
      </w:r>
      <w:r>
        <w:rPr>
          <w:sz w:val="19"/>
          <w:szCs w:val="19"/>
          <w:vertAlign w:val="subscript"/>
        </w:rPr>
        <w:t>s</w:t>
      </w:r>
      <w:r>
        <w:rPr>
          <w:sz w:val="19"/>
          <w:szCs w:val="19"/>
        </w:rPr>
        <w:t xml:space="preserve">, t</w:t>
      </w:r>
      <w:r>
        <w:rPr>
          <w:sz w:val="19"/>
          <w:szCs w:val="19"/>
          <w:vertAlign w:val="subscript"/>
        </w:rPr>
        <w:t>e</w:t>
      </w:r>
      <w:r>
        <w:rPr>
          <w:sz w:val="19"/>
          <w:szCs w:val="19"/>
        </w:rPr>
        <w:t>)</w:t>
      </w:r>
    </w:p>
    <w:p w14:paraId="32552EFA" w14:textId="77777777" w:rsidR="009262C4" w:rsidRDefault="00000000">
      <w:pPr>
        <w:keepNext/>
        <w:tabs>
          <w:tab w:val="right" w:pos="520"/>
          <w:tab w:val="left" w:pos="720"/>
        </w:tabs>
        <w:spacing w:after="10"/>
        <w:ind w:left="720" w:hanging="720"/>
      </w:pPr>
      <w:r>
        <w:rPr>
          <w:color w:val="555555"/>
          <w:sz w:val="16"/>
          <w:szCs w:val="16"/>
        </w:rPr>
        <w:tab/>
        <w:t>10:</w:t>
        <w:tab/>
      </w:r>
      <w:r>
        <w:rPr>
          <w:b/>
          <w:bCs/>
          <w:sz w:val="19"/>
          <w:szCs w:val="19"/>
        </w:rPr>
        <w:t>if</w:t>
      </w:r>
      <w:r>
        <w:rPr>
          <w:sz w:val="19"/>
          <w:szCs w:val="19"/>
        </w:rPr>
        <w:t xml:space="preserve"> t</w:t>
      </w:r>
      <w:r>
        <w:rPr>
          <w:sz w:val="19"/>
          <w:szCs w:val="19"/>
          <w:vertAlign w:val="subscript"/>
        </w:rPr>
        <w:t>e</w:t>
      </w:r>
      <w:r>
        <w:rPr>
          <w:sz w:val="19"/>
          <w:szCs w:val="19"/>
        </w:rPr>
        <w:t xml:space="preserve"> ≤ t</w:t>
      </w:r>
      <w:r>
        <w:rPr>
          <w:sz w:val="19"/>
          <w:szCs w:val="19"/>
          <w:vertAlign w:val="subscript"/>
        </w:rPr>
        <w:t>s</w:t>
      </w:r>
      <w:r>
        <w:rPr>
          <w:sz w:val="19"/>
          <w:szCs w:val="19"/>
        </w:rPr>
        <w:t xml:space="preserve"> </w:t>
      </w:r>
      <w:r>
        <w:rPr>
          <w:b/>
          <w:bCs/>
          <w:sz w:val="19"/>
          <w:szCs w:val="19"/>
        </w:rPr>
        <w:t>then</w:t>
      </w:r>
    </w:p>
    <w:p w14:paraId="08F7FDAC" w14:textId="77777777" w:rsidR="009262C4" w:rsidRDefault="00000000">
      <w:pPr>
        <w:keepNext/>
        <w:tabs>
          <w:tab w:val="right" w:pos="520"/>
          <w:tab w:val="left" w:pos="1080"/>
        </w:tabs>
        <w:spacing w:after="10"/>
        <w:ind w:left="1080" w:hanging="1080"/>
      </w:pPr>
      <w:r>
        <w:rPr>
          <w:color w:val="555555"/>
          <w:sz w:val="16"/>
          <w:szCs w:val="16"/>
        </w:rPr>
        <w:tab/>
        <w:t>11:</w:t>
        <w:tab/>
      </w:r>
      <w:r>
        <w:rPr>
          <w:b/>
          <w:bCs/>
          <w:sz w:val="19"/>
          <w:szCs w:val="19"/>
        </w:rPr>
        <w:t>return</w:t>
      </w:r>
      <w:r>
        <w:rPr>
          <w:sz w:val="19"/>
          <w:szCs w:val="19"/>
        </w:rPr>
        <w:t xml:space="preserve"> REJECT</w:t>
      </w:r>
    </w:p>
    <w:p w14:paraId="2CCB6296" w14:textId="77777777" w:rsidR="009262C4" w:rsidRDefault="00000000">
      <w:pPr>
        <w:keepNext/>
        <w:tabs>
          <w:tab w:val="right" w:pos="520"/>
          <w:tab w:val="left" w:pos="720"/>
        </w:tabs>
        <w:spacing w:after="10"/>
        <w:ind w:left="720" w:hanging="720"/>
      </w:pPr>
      <w:r>
        <w:rPr>
          <w:color w:val="555555"/>
          <w:sz w:val="16"/>
          <w:szCs w:val="16"/>
        </w:rPr>
        <w:tab/>
        <w:t>12:</w:t>
        <w:tab/>
      </w:r>
      <w:r>
        <w:rPr>
          <w:b/>
          <w:bCs/>
          <w:sz w:val="19"/>
          <w:szCs w:val="19"/>
        </w:rPr>
        <w:t>end if</w:t>
      </w:r>
    </w:p>
    <w:p w14:paraId="1191E9B0" w14:textId="77777777" w:rsidR="009262C4" w:rsidRDefault="00000000">
      <w:pPr>
        <w:keepNext/>
        <w:tabs>
          <w:tab w:val="right" w:pos="520"/>
          <w:tab w:val="left" w:pos="720"/>
        </w:tabs>
        <w:spacing w:after="10"/>
        <w:ind w:left="720" w:hanging="720"/>
      </w:pPr>
      <w:r>
        <w:rPr>
          <w:color w:val="555555"/>
          <w:sz w:val="16"/>
          <w:szCs w:val="16"/>
        </w:rPr>
        <w:tab/>
        <w:t>13:</w:t>
        <w:tab/>
      </w:r>
      <w:r>
        <w:rPr>
          <w:sz w:val="19"/>
          <w:szCs w:val="19"/>
        </w:rPr>
        <w:t>Define authorisation requirement A</w:t>
      </w:r>
    </w:p>
    <w:p w14:paraId="25BECC92" w14:textId="77777777" w:rsidR="009262C4" w:rsidRDefault="00000000">
      <w:pPr>
        <w:keepNext/>
        <w:tabs>
          <w:tab w:val="right" w:pos="520"/>
          <w:tab w:val="left" w:pos="720"/>
        </w:tabs>
        <w:spacing w:after="10"/>
        <w:ind w:left="720" w:hanging="720"/>
      </w:pPr>
      <w:r>
        <w:rPr>
          <w:color w:val="555555"/>
          <w:sz w:val="16"/>
          <w:szCs w:val="16"/>
        </w:rPr>
        <w:tab/>
        <w:t>14:</w:t>
        <w:tab/>
      </w:r>
      <w:r>
        <w:rPr>
          <w:sz w:val="19"/>
          <w:szCs w:val="19"/>
        </w:rPr>
        <w:t xml:space="preserve">Generate consent identifier id</w:t>
      </w:r>
      <w:r>
        <w:rPr>
          <w:sz w:val="19"/>
          <w:szCs w:val="19"/>
          <w:vertAlign w:val="subscript"/>
        </w:rPr>
        <w:t>C</w:t>
      </w:r>
    </w:p>
    <w:p w14:paraId="23BAC965" w14:textId="77777777" w:rsidR="009262C4" w:rsidRDefault="00000000">
      <w:pPr>
        <w:keepNext/>
        <w:tabs>
          <w:tab w:val="right" w:pos="520"/>
          <w:tab w:val="left" w:pos="720"/>
        </w:tabs>
        <w:spacing w:after="10"/>
        <w:ind w:left="720" w:hanging="720"/>
      </w:pPr>
      <w:r>
        <w:rPr>
          <w:color w:val="555555"/>
          <w:sz w:val="16"/>
          <w:szCs w:val="16"/>
        </w:rPr>
        <w:tab/>
        <w:t>15:</w:t>
        <w:tab/>
      </w:r>
      <w:r>
        <w:rPr>
          <w:sz w:val="19"/>
          <w:szCs w:val="19"/>
        </w:rPr>
        <w:t>Construct C = (I, A, P, T, L, E)</w:t>
      </w:r>
    </w:p>
    <w:p w14:paraId="4FCCDEB0" w14:textId="77777777" w:rsidR="009262C4" w:rsidRDefault="00000000">
      <w:pPr>
        <w:keepNext/>
        <w:tabs>
          <w:tab w:val="right" w:pos="520"/>
          <w:tab w:val="left" w:pos="720"/>
        </w:tabs>
        <w:spacing w:after="10"/>
        <w:ind w:left="720" w:hanging="720"/>
      </w:pPr>
      <w:r>
        <w:rPr>
          <w:color w:val="555555"/>
          <w:sz w:val="16"/>
          <w:szCs w:val="16"/>
        </w:rPr>
        <w:tab/>
        <w:t>16:</w:t>
        <w:tab/>
      </w:r>
      <w:r>
        <w:rPr>
          <w:sz w:val="19"/>
          <w:szCs w:val="19"/>
        </w:rPr>
        <w:t>Persist C</w:t>
      </w:r>
    </w:p>
    <w:p w14:paraId="0187EC38" w14:textId="77777777" w:rsidR="009262C4" w:rsidRDefault="00000000">
      <w:pPr>
        <w:keepNext/>
        <w:tabs>
          <w:tab w:val="right" w:pos="520"/>
          <w:tab w:val="left" w:pos="720"/>
        </w:tabs>
        <w:spacing w:after="10"/>
        <w:ind w:left="720" w:hanging="720"/>
      </w:pPr>
      <w:r>
        <w:rPr>
          <w:color w:val="555555"/>
          <w:sz w:val="16"/>
          <w:szCs w:val="16"/>
        </w:rPr>
        <w:tab/>
        <w:t>17:</w:t>
        <w:tab/>
      </w:r>
      <w:r>
        <w:rPr>
          <w:sz w:val="19"/>
          <w:szCs w:val="19"/>
        </w:rPr>
        <w:t>Record consent creation evidence</w:t>
      </w:r>
    </w:p>
    <w:p w14:paraId="567DD17F" w14:textId="77777777" w:rsidR="009262C4" w:rsidRDefault="00000000">
      <w:pPr>
        <w:tabs>
          <w:tab w:val="right" w:pos="520"/>
          <w:tab w:val="left" w:pos="720"/>
        </w:tabs>
        <w:spacing w:after="10"/>
        <w:ind w:left="720" w:hanging="720"/>
      </w:pPr>
      <w:r>
        <w:rPr>
          <w:color w:val="555555"/>
          <w:sz w:val="16"/>
          <w:szCs w:val="16"/>
        </w:rPr>
        <w:tab/>
        <w:t>18:</w:t>
        <w:tab/>
      </w:r>
      <w:r>
        <w:rPr>
          <w:b/>
          <w:bCs/>
          <w:sz w:val="19"/>
          <w:szCs w:val="19"/>
        </w:rPr>
        <w:t>return</w:t>
      </w:r>
      <w:r>
        <w:rPr>
          <w:sz w:val="19"/>
          <w:szCs w:val="19"/>
        </w:rPr>
        <w:t xml:space="preserve"> C</w:t>
      </w:r>
    </w:p>
    <w:p w14:paraId="33DAD4F9" w14:textId="77777777" w:rsidR="009262C4" w:rsidRDefault="009262C4">
      <w:pPr>
        <w:pBdr>
          <w:bottom w:val="single" w:sz="12" w:space="0" w:color="000000"/>
        </w:pBdr>
        <w:spacing w:after="200"/>
      </w:pPr>
    </w:p>
    <w:p w14:paraId="6D291F9C" w14:textId="77777777" w:rsidR="009262C4" w:rsidRDefault="00000000">
      <w:pPr>
        <w:spacing w:after="110" w:line="264" w:lineRule="auto"/>
        <w:jc w:val="both"/>
      </w:pPr>
      <w:r>
        <w:t xml:space="preserve">Algorithm 1 formalises the creation process. The algorithm does not grant data access directly. Instead, it creates a consent object that can later be evaluated by the authorisation mechanism. The consent is placed in the PENDING state (PENDING_SIGNATURE in the prototype), and nothing is anchored on-chain until all guardians approve. The algorithm also establishes the relationship between RO1 and the remaining objectives. RO2 uses the identity and authority information contained in I, RO3 evaluates the authorisation requirements contained in A, and RO4 evaluates the policy constraints contained in P. Consequently, RO1 provides the data structure upon which the subsequent trust-oriented authorisation mechanisms operate.</w:t>
      </w:r>
    </w:p>
    <w:p>
      <w:pPr>
        <w:pStyle w:val="2"/>
      </w:pPr>
      <w:r>
        <w:t>5.6 Prototype Implementation</w:t>
      </w:r>
    </w:p>
    <w:p w14:paraId="0B22F021" w14:textId="77777777" w:rsidR="009262C4" w:rsidRDefault="00000000">
      <w:pPr>
        <w:spacing w:after="110" w:line="264" w:lineRule="auto"/>
        <w:jc w:val="both"/>
      </w:pPr>
      <w:r>
        <w:t xml:space="preserve">RO1 has been completed at the conceptual and prototype level, and the HALAH patient interface creates the consent object, assigns the identifier, and records the creation event in the audit layer. The main contribution of RO1 is that consent is represented as an evaluable authorisation object rather than as a binary permission. In the current prototype, the patient DID is selected from the loaded record set. The doctor DID and each guardian DID must be well formed and must hold a valid credential for its role, issued by a demo issuer, before the consent is stored, </w:t>
      </w:r>
      <w:r>
        <w:t>as qualified in Chapter 6</w:t>
      </w:r>
      <w:r>
        <w:t xml:space="preserve">. The validation evidence for consent creation, including the demonstration scenarios and the unit-level tests, </w:t>
      </w:r>
      <w:r>
        <w:t>is presented in Section 5.7.</w:t>
      </w:r>
    </w:p>
    <w:p>
      <w:pPr>
        <w:pStyle w:val="3"/>
      </w:pPr>
      <w:r>
        <w:t>5.6.1 Aims of Engineering the Prototype System</w:t>
      </w:r>
    </w:p>
    <w:p>
      <w:pPr/>
      <w:r>
        <w:t>The prototype was engineered for three aims. The first is to show that the consent model can be built: a patient can create the object C = (I, A, P, T, L, E) through an interface, and the object carries every component that the later checks need. The second is to make the design testable: the same code that the interface calls is called by the automated tests, so a check that the interface enforces can also be attacked directly at the service level, which is how the gaps closed by the hardening of 1 October 2026 were found. The third is to produce evidence: every creation, approval, decision and revocation is written to the audit ledger with the result of each check, so the claims of this and the following chapters can be traced to recorded events rather than to screenshots alone. The prototype is not engineered for throughput or for a production deployment; its purpose is to validate the design.</w:t>
      </w:r>
    </w:p>
    <w:p>
      <w:pPr>
        <w:pStyle w:val="3"/>
      </w:pPr>
      <w:r>
        <w:t>5.6.2 Dataset Used for Validation</w:t>
      </w:r>
    </w:p>
    <w:p w14:paraId="012CE1B9" w14:textId="77777777" w:rsidR="009262C4" w:rsidRDefault="00000000">
      <w:pPr>
        <w:spacing w:after="110" w:line="264" w:lineRule="auto"/>
        <w:jc w:val="both"/>
      </w:pPr>
      <w:r>
        <w:t>The prototype uses synthetic patient records from the Synthea 1K sample (Walonoski et al. 2018), taken from synthea.mitre.org in its CSV export rather than its FHIR R4 export (HL7 International 2019). Synthea generates realistic but artificial patients, so no real patient data is involved.</w:t>
      </w:r>
      <w:r>
        <w:rPr/>
        <w:t xml:space="preserve"> The Synthea 1K sample is a public synthetic healthcare dataset of 1,000 simulated patient records, with patient demographics, medical conditions, medications and procedures in CSV files.</w:t>
      </w:r>
      <w:r>
        <w:t xml:space="preserve"> The prototype loads a subset of patients together with their conditions, observations, medications and procedures, and these tables provide the healthcare data modules that a consent can authorise, such as Observation, Medication and Procedure. The records are used only to construct representative consent workflows</w:t>
      </w:r>
      <w:r>
        <w:rPr/>
        <w:t xml:space="preserve"> and the healthcare data-access scenarios used to test the prototype</w:t>
      </w:r>
      <w:r>
        <w:t>. The authorisation decisions do not depend on the clinical content, and no medical content is written to the chain. The records are not changed. The only step is the selection of the subset loaded into the local database of the prototype.</w:t>
      </w:r>
    </w:p>
    <w:p>
      <w:pPr>
        <w:pStyle w:val="3"/>
      </w:pPr>
      <w:r>
        <w:t>5.6.3 Steps in the Working of the Prototype for Consent Creation</w:t>
      </w:r>
    </w:p>
    <w:p>
      <w:pPr/>
      <w:r>
        <w:t>The creation of a consent in the prototype follows the steps of Algorithm 1 as shown in Figure 5.7:</w:t>
      </w:r>
    </w:p>
    <w:p>
      <w:pPr/>
      <w:r>
        <w:t>1. The patient selects the role Patient and their own DID, which the prototype loads from the record set.</w:t>
      </w:r>
    </w:p>
    <w:p>
      <w:pPr/>
      <w:r>
        <w:t>2. The patient enters the DID of the authorised doctor and the DIDs of the guardians, separated by commas.</w:t>
      </w:r>
    </w:p>
    <w:p>
      <w:pPr/>
      <w:r>
        <w:t>3. The patient selects the data modules from Observation, Medication, Condition and Procedure, and sets the start and expiry times.</w:t>
      </w:r>
    </w:p>
    <w:p>
      <w:pPr/>
      <w:r>
        <w:t>4. The patient presses Initial Consent. The prototype checks that the doctor DID holds a valid doctor credential, that each guardian DID holds a valid guardian credential, that no guardian appears twice, that the data scope is not empty and that the expiry time is later than the start time. If any check fails, an error message names the failed field and nothing is stored.</w:t>
      </w:r>
    </w:p>
    <w:p>
      <w:pPr/>
      <w:r>
        <w:t>5. If every check passes, the prototype assigns the consent identifier, stores the object in the state PENDING_SIGNATURE with N set to the number of guardians, writes the CREATE_CONSENT event to the audit ledger, and shows the identifier to the patient.</w:t>
      </w:r>
    </w:p>
    <w:p>
      <w:pPr/>
      <w:r>
        <w:t>6. The new consent appears in the patient's list with 0 of N approvals, where it waits for the guardians, whose steps are presented in Chapter 7.</w:t>
      </w:r>
    </w:p>
    <w:p>
      <w:pPr>
        <w:jc w:val="center"/>
      </w:pPr>
      <w:r>
        <w:drawing>
          <wp:inline xmlns:a="http://schemas.openxmlformats.org/drawingml/2006/main" xmlns:pic="http://schemas.openxmlformats.org/drawingml/2006/picture">
            <wp:extent cx="4860000" cy="3645000"/>
            <wp:docPr id="2086885383" name="Picture 2086885383"/>
            <wp:cNvGraphicFramePr>
              <a:graphicFrameLocks noChangeAspect="1"/>
            </wp:cNvGraphicFramePr>
            <a:graphic>
              <a:graphicData uri="http://schemas.openxmlformats.org/drawingml/2006/picture">
                <pic:pic>
                  <pic:nvPicPr>
                    <pic:cNvPr id="0" name="ch5_consent_created.png"/>
                    <pic:cNvPicPr/>
                  </pic:nvPicPr>
                  <pic:blipFill>
                    <a:blip r:embed="rId38"/>
                    <a:stretch>
                      <a:fillRect/>
                    </a:stretch>
                  </pic:blipFill>
                  <pic:spPr>
                    <a:xfrm>
                      <a:off x="0" y="0"/>
                      <a:ext cx="4860000" cy="3645000"/>
                    </a:xfrm>
                    <a:prstGeom prst="rect"/>
                  </pic:spPr>
                </pic:pic>
              </a:graphicData>
            </a:graphic>
          </wp:inline>
        </w:drawing>
      </w:r>
    </w:p>
    <w:p>
      <w:pPr>
        <w:spacing w:before="160" w:after="160"/>
        <w:jc w:val="center"/>
      </w:pPr>
      <w:r>
        <w:rPr>
          <w:sz w:val="20"/>
        </w:rPr>
        <w:t>Figure 5.7: The patient interface of the HALAH prototype after a consent has been created: the consent specification on the left and right, and the confirmation with the consent identifier below.</w:t>
      </w:r>
    </w:p>
    <w:p>
      <w:pPr>
        <w:pStyle w:val="2"/>
      </w:pPr>
      <w:r>
        <w:t>5.7 Validation and Evaluation</w:t>
      </w:r>
    </w:p>
    <w:p>
      <w:pPr/>
      <w:r>
        <w:t>RO1 is validated in two ways. First, the creation of the consent object is checked functionally: a valid specification must produce a consent object with all six components, and an invalid specification must be rejected before anything is stored. Second, the architecture is evaluated against the security properties it is designed to provide. The validation of the predicates that are evaluated against the consent object, VI, VA, VP, VT and VL, belongs to the chapters of RO2 to RO5, and the evaluation of the complete decision belongs to Chapter 10.</w:t>
      </w:r>
    </w:p>
    <w:p>
      <w:pPr>
        <w:pStyle w:val="3"/>
      </w:pPr>
      <w:r>
        <w:t>5.7.1 Validation of Consent Creation</w:t>
      </w:r>
    </w:p>
    <w:p>
      <w:pPr/>
      <w:r>
        <w:t>Live scenarios. In the demonstration of 24 September 2026, Scenario 1 created the consent f050c29a for a patient with two guardians, did:parent:A and did:parent:B, the authorised doctor did:hospital:001, the four data modules, the purpose Treatment and a validity window ending on 31 December 2026. The audit ledger holds the CREATE_CONSENT event for this consent at 09:50:49 with the result SUCCESS, followed by a second consent, 04da25f5, created at 10:55:49 for another patient. Each creation was followed by the guardian approvals and the access decisions reported in the later chapters, which shows that the created object carried every component that the later checks needed.</w:t>
      </w:r>
    </w:p>
    <w:p>
      <w:pPr/>
      <w:r>
        <w:t>Rejected specifications. In the local run of 11 October 2026, three invalid specifications were submitted before the valid one. A doctor DID that does not hold a valid doctor credential was rejected, a guardian DID that does not hold a valid guardian credential was rejected, and a specification that named the same guardian twice was rejected with the message shown in Figure 5.8. Nothing was stored and nothing was logged for the three rejected submissions. The fourth submission, with two distinct guardians holding valid credentials, created the consent 18ab9b62 at 17:41:36, which was then used for the access decisions reported in Chapters 6 to 9.</w:t>
      </w:r>
    </w:p>
    <w:p>
      <w:pPr/>
      <w:r>
        <w:t>Automated tests. Two tests cover consent creation. The test test_patient_form_checks_the_doctor_and_the_guardians drives the patient form itself: it submits a malformed doctor DID, a guardian without a credential and a duplicate guardian, and asserts that each is refused with the right message, then submits a valid specification and asserts that the consent is created and logged. The test test_consent_persists_across_reload stores a consent, adds an approval, reloads the store from disk and asserts that the stored object is unchanged. The adversarial test A5 (test_A5_empty_scope_is_rejected) belongs to RO4 but also exercises the creation rule that the data scope must not be empty. All of these tests pass in the suite of 46 reported in Chapter 10.</w:t>
      </w:r>
    </w:p>
    <w:p>
      <w:pPr>
        <w:jc w:val="center"/>
      </w:pPr>
      <w:r>
        <w:drawing>
          <wp:inline xmlns:a="http://schemas.openxmlformats.org/drawingml/2006/main" xmlns:pic="http://schemas.openxmlformats.org/drawingml/2006/picture">
            <wp:extent cx="4860000" cy="2930294"/>
            <wp:docPr id="2086885384" name="Picture 2086885384"/>
            <wp:cNvGraphicFramePr>
              <a:graphicFrameLocks noChangeAspect="1"/>
            </wp:cNvGraphicFramePr>
            <a:graphic>
              <a:graphicData uri="http://schemas.openxmlformats.org/drawingml/2006/picture">
                <pic:pic>
                  <pic:nvPicPr>
                    <pic:cNvPr id="0" name="ch5_duplicate_guardian.png"/>
                    <pic:cNvPicPr/>
                  </pic:nvPicPr>
                  <pic:blipFill>
                    <a:blip r:embed="rId39"/>
                    <a:stretch>
                      <a:fillRect/>
                    </a:stretch>
                  </pic:blipFill>
                  <pic:spPr>
                    <a:xfrm>
                      <a:off x="0" y="0"/>
                      <a:ext cx="4860000" cy="2930294"/>
                    </a:xfrm>
                    <a:prstGeom prst="rect"/>
                  </pic:spPr>
                </pic:pic>
              </a:graphicData>
            </a:graphic>
          </wp:inline>
        </w:drawing>
      </w:r>
    </w:p>
    <w:p>
      <w:pPr>
        <w:spacing w:before="160" w:after="160"/>
        <w:jc w:val="center"/>
      </w:pPr>
      <w:r>
        <w:rPr>
          <w:sz w:val="20"/>
        </w:rPr>
        <w:t>Figure 5.8: A specification that names the same guardian twice is rejected by Algorithm 1 before any consent is stored.</w:t>
      </w:r>
    </w:p>
    <w:p>
      <w:pPr/>
      <w:r>
        <w:t>Table 5.3 brings these results together by component of the consent object. For each component of C it gives the check that Algorithm 1 applies at creation, the evidence from the live runs and the automated tests, and the result observed.</w:t>
      </w:r>
    </w:p>
    <w:p>
      <w:pPr>
        <w:keepNext/>
        <w:spacing w:before="160" w:after="160"/>
        <w:jc w:val="center"/>
      </w:pPr>
      <w:r>
        <w:rPr>
          <w:sz w:val="20"/>
        </w:rPr>
        <w:t>Table 5.3: Evaluation of the trust-centric consent model: the check applied to each component of C at creation, the evidence and the result</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1531"/>
        <w:gridCol w:w="2381"/>
        <w:gridCol w:w="2835"/>
        <w:gridCol w:w="1757"/>
      </w:tblGrid>
      <w:tr>
        <w:trPr>
          <w:tblHeader/>
          <w:cantSplit/>
        </w:trPr>
        <w:tc>
          <w:tcPr>
            <w:tcW w:type="dxa" w:w="153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Component</w:t>
            </w:r>
          </w:p>
        </w:tc>
        <w:tc>
          <w:tcPr>
            <w:tcW w:type="dxa" w:w="238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Check at creation (Algorithm 1)</w:t>
            </w:r>
          </w:p>
        </w:tc>
        <w:tc>
          <w:tcPr>
            <w:tcW w:type="dxa" w:w="2835"/>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Evidence</w:t>
            </w:r>
          </w:p>
        </w:tc>
        <w:tc>
          <w:tcPr>
            <w:tcW w:type="dxa" w:w="1757"/>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Result</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  Identity</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Steps 1 to 3: the patient identity, the authorised doctor DID holding a valid doctor credential, and each guardian DID holding a valid guardian credential.</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Run of 11 October 2026: a doctor DID without a valid doctor credential and a guardian DID without a valid guardian credential were rejected. Test test_patient_form_checks_the_doctor_and_the_guardians.</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Invalid identities rejected before anything is stored; valid identities accepted.</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Authorisation</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3: the guardian set G and the threshold N; no guardian may appear twice.</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 specification naming the same guardian twice was rejected (Figure 5.8). Scenario 1 of 24 September 2026 created consent f050c29a with the two guardians did:parent:A and did:parent:B.</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Duplicate guardian rejected; consent created with N set to the number of guardians.</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P  Policy</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Steps 4 and 5: the purpose and the data scope; the data scope must not be empty.</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Adversarial test A5 (test_A5_empty_scope_is_rejected). Scenario 1 recorded the four data modules and the purpose Treatment; the purpose vocabulary check is exercised by the automated tests.</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Empty scope rejected; purpose and scope recorded in the consent object.</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  Time</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6: the validity interval T = (ts, te); the expiry time must be later than the start time.</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Scenario 1 recorded a validity window ending on 31 December 2026; the prototype refuses an expiry time that is not later than the start time (Section 5.6.3).</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Validity interval recorded; the interval is enforced at every request by VT (Chapter 9).</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L  Lifecycle</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Steps 8 and 9: the consent identifier is generated and the object is created in the state PENDING_SIGNATURE.</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Consents f050c29a, 04da25f5 and 18ab9b62 were created in PENDING_SIGNATURE. Test test_consent_persists_across_reload: the stored object, including its state, is unchanged after a reload from disk.</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Created in PENDING_SIGNATURE; no access is possible until the state is ACTIVE (Chapter 9).</w:t>
            </w:r>
          </w:p>
        </w:tc>
      </w:tr>
      <w:tr>
        <w:trPr>
          <w:cantSplit/>
        </w:trPr>
        <w:tc>
          <w:tcPr>
            <w:tcW w:type="dxa" w:w="153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  Evidence</w:t>
            </w:r>
          </w:p>
        </w:tc>
        <w:tc>
          <w:tcPr>
            <w:tcW w:type="dxa" w:w="238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Step 11: the CREATE_CONSENT event is written to the audit ledger with the consent identifier, participants and timestamp.</w:t>
            </w:r>
          </w:p>
        </w:tc>
        <w:tc>
          <w:tcPr>
            <w:tcW w:type="dxa" w:w="2835"/>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Ledger events at 09:50:49 (f050c29a), 10:55:49 (04da25f5) and 17:41:36 (18ab9b62), each with the result SUCCESS. Nothing was logged for the three rejected submissions.</w:t>
            </w:r>
          </w:p>
        </w:tc>
        <w:tc>
          <w:tcPr>
            <w:tcW w:type="dxa" w:w="1757"/>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Every creation is logged; a rejected specification stores and logs nothing.</w:t>
            </w:r>
          </w:p>
        </w:tc>
      </w:tr>
    </w:tbl>
    <w:p>
      <w:pPr>
        <w:pStyle w:val="3"/>
      </w:pPr>
      <w:r>
        <w:t>5.7.2 Evaluation of the Architecture against the Security Properties</w:t>
      </w:r>
    </w:p>
    <w:p>
      <w:pPr/>
      <w:r>
        <w:t>The proposed MVC architecture provides several foundational security properties for the current stage. These properties emerge from the interaction between the Model, View, and Controller rather than from any single technology.</w:t>
      </w:r>
    </w:p>
    <w:p>
      <w:pPr/>
      <w:r>
        <w:t>First, the architecture provides identity-dependent participation. A participant cannot contribute to the authorisation process solely by interacting with the system interface. The corresponding identity and credential must satisfy the verification requirements. Second, the architecture provides authority separation. Possession of a valid identity does not automatically result in permission to access patient data. Identity verification provides evidence concerning who an entity is, whereas authority verification determines whether that entity may perform a particular role within the authorisation process. Third, the architecture provides collective authorisation integrity. Sensitive healthcare data access can be configured to require multiple independently verified participants. Therefore, a single participant cannot unilaterally activate access when the defined authorisation threshold has not been reached. Fourth, the architecture provides policy-bounded access. A valid requester with sufficient approval evidence cannot access healthcare information beyond the purpose or data scope defined by the consent object. Finally, the architecture provides decision accountability. The system maintains evidence concerning the conditions that produced an authorisation decision, thereby supporting auditing and subsequent verification. These properties, together with the separation of interaction and enforcement established in Section 5.3, are summarised in Table 5.4, in which collective authorisation integrity and decision accountability appear as multi-party authorisation integrity and authorisation evidence respectively.</w:t>
      </w:r>
    </w:p>
    <w:p>
      <w:pPr>
        <w:keepNext/>
        <w:spacing w:before="160" w:after="160"/>
        <w:jc w:val="center"/>
      </w:pPr>
      <w:r>
        <w:rPr>
          <w:sz w:val="20"/>
        </w:rPr>
        <w:t>Table 5.4: Security properties supported by the proposed MVC-based consent architecture</w:t>
      </w:r>
    </w:p>
    <w:tbl>
      <w:tblPr>
        <w:tblW w:type="auto" w:w="0"/>
        <w:jc w:val="center"/>
        <w:tblBorders>
          <w:top w:val="single" w:sz="12" w:color="000000" w:space="0"/>
          <w:left w:val="nil"/>
          <w:bottom w:val="single" w:sz="12" w:color="000000" w:space="0"/>
          <w:right w:val="nil"/>
          <w:insideH w:val="nil"/>
          <w:insideV w:val="nil"/>
        </w:tblBorders>
        <w:tblLayout w:type="fixed"/>
        <w:tblLook w:firstColumn="1" w:firstRow="1" w:lastColumn="0" w:lastRow="0" w:noHBand="0" w:noVBand="1" w:val="04A0"/>
      </w:tblPr>
      <w:tblGrid>
        <w:gridCol w:w="2041"/>
        <w:gridCol w:w="3061"/>
        <w:gridCol w:w="3402"/>
      </w:tblGrid>
      <w:tr>
        <w:trPr>
          <w:tblHeader/>
          <w:cantSplit/>
        </w:trPr>
        <w:tc>
          <w:tcPr>
            <w:tcW w:type="dxa" w:w="204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Security property</w:t>
            </w:r>
          </w:p>
        </w:tc>
        <w:tc>
          <w:tcPr>
            <w:tcW w:type="dxa" w:w="3061"/>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Architectural mechanism</w:t>
            </w:r>
          </w:p>
        </w:tc>
        <w:tc>
          <w:tcPr>
            <w:tcW w:type="dxa" w:w="3402"/>
            <w:tcBorders>
              <w:top w:val="nil"/>
              <w:left w:val="nil"/>
              <w:bottom w:val="single" w:sz="6" w:color="000000" w:space="0"/>
              <w:right w:val="nil"/>
              <w:insideH w:val="nil"/>
              <w:insideV w:val="nil"/>
            </w:tcBorders>
          </w:tcPr>
          <w:p>
            <w:pPr>
              <w:keepNext/>
              <w:spacing w:after="40" w:line="240" w:lineRule="auto"/>
              <w:jc w:val="left"/>
            </w:pPr>
            <w:r>
              <w:rPr>
                <w:rFonts w:ascii="Palatino Linotype" w:hAnsi="Palatino Linotype" w:cs="Palatino Linotype"/>
                <w:b/>
                <w:color w:val="000000"/>
                <w:sz w:val="19"/>
              </w:rPr>
            </w:r>
            <w:r>
              <w:rPr>
                <w:rFonts w:ascii="Palatino Linotype" w:hAnsi="Palatino Linotype" w:cs="Palatino Linotype"/>
                <w:b/>
                <w:color w:val="000000"/>
                <w:sz w:val="19"/>
              </w:rPr>
              <w:t>Security significance</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Identity-dependent participation</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DID and credential verification before a participant can contribute to the authorisation process</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Designed to prevent unverified entities from being treated as legitimate participants.</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Authority separation</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Independent evaluation of identity and role or authority evidence</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Designed to prevent successful authentication from being interpreted as unrestricted authorisation.</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Multi-party authorisation integrity</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Threshold evaluation over independently verified approval participants</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Designed to prevent a single participant from unilaterally activating sensitive healthcare data access when collective approval is required.</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Policy-bounded access</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Evaluation of purpose and requested data scope against consent policy</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Designed to prevent otherwise valid identities and approvals from being used to obtain data beyond the authorised scope.</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Authorisation evidence</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Recording of verification results, approval evidence, policy evaluation, and final decisions</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Designed to provide traceability and support accountability, auditing, and future verification.</w:t>
            </w:r>
          </w:p>
        </w:tc>
      </w:tr>
      <w:tr>
        <w:trPr>
          <w:cantSplit/>
        </w:trPr>
        <w:tc>
          <w:tcPr>
            <w:tcW w:type="dxa" w:w="204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Separation of interaction and enforcement</w:t>
            </w:r>
          </w:p>
        </w:tc>
        <w:tc>
          <w:tcPr>
            <w:tcW w:type="dxa" w:w="3061"/>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The View submits requests while the Controller independently determines the security decision</w:t>
            </w:r>
          </w:p>
        </w:tc>
        <w:tc>
          <w:tcPr>
            <w:tcW w:type="dxa" w:w="3402"/>
            <w:tcBorders>
              <w:top w:val="nil"/>
              <w:left w:val="nil"/>
              <w:bottom w:val="nil"/>
              <w:right w:val="nil"/>
              <w:insideH w:val="nil"/>
              <w:insideV w:val="nil"/>
            </w:tcBorders>
          </w:tcPr>
          <w:p>
            <w:pPr>
              <w:spacing w:after="40" w:line="240" w:lineRule="auto"/>
              <w:jc w:val="left"/>
            </w:pPr>
            <w:r>
              <w:rPr>
                <w:rFonts w:ascii="Palatino Linotype" w:hAnsi="Palatino Linotype" w:cs="Palatino Linotype"/>
                <w:color w:val="000000"/>
                <w:sz w:val="19"/>
              </w:rPr>
            </w:r>
            <w:r>
              <w:rPr>
                <w:rFonts w:ascii="Palatino Linotype" w:hAnsi="Palatino Linotype" w:cs="Palatino Linotype"/>
                <w:color w:val="000000"/>
                <w:sz w:val="19"/>
              </w:rPr>
              <w:t>Designed to prevent user-interface actions from being interpreted directly as trusted authorisation outcomes.</w:t>
            </w:r>
          </w:p>
        </w:tc>
      </w:tr>
    </w:tbl>
    <w:p>
      <w:pPr/>
      <w:r/>
    </w:p>
    <w:p>
      <w:pPr/>
      <w:r>
        <w:t>Each property in Table 5.4 is realised by a component of the architecture and tested in a later chapter. Identity-dependent participation and authority separation are tested in Chapter 6 through the credential checks and the forged-credential attack. Multi-party authorisation integrity is tested in Chapter 7 through the outside-signer, replayed-signature and duplicate-approval attacks. Policy-bounded access is tested in Chapter 8 through the over-scope and empty-scope attacks. Authorisation evidence is checked in every chapter through the audit ledger and in Chapter 10 through the recorded decisions. Separation of interaction and enforcement is the property that the hardening of 1 October 2026 made real: three attacks that the interface already blocked were also accepted by the service functions until the checks were moved into the Controller, as reported in Chapter 10. The architecture therefore does not claim security from MVC itself; it claims it from the placement of every trust-sensitive check inside the Controller, and the tests of the following chapters are the evidence for that claim.</w:t>
      </w:r>
    </w:p>
    <w:p>
      <w:pPr>
        <w:pStyle w:val="2"/>
      </w:pPr>
      <w:r>
        <w:t>5.8 Conclusion</w:t>
      </w:r>
    </w:p>
    <w:p>
      <w:pPr/>
      <w:r>
        <w:t>This chapter presented the research architecture and the trust-centric consent model. The architecture separates the interaction of independent stakeholders in the View, the enforcement of the five trust predicates in the Controller, and the representation of consent, identity, approval, policy, evidence and lifecycle state in the Model, with the protected health data outside all three layers. The consent model represents patient consent as the evaluable object C = (I, A, P, T, L, E), created through Algorithm 1 only when every field is valid, assigned a unique identifier, persisted in the state PENDING_SIGNATURE and recorded in the audit ledger. The prototype implements the model in the patient interface, the live scenarios and the automated tests show that valid specifications are created and invalid ones are rejected, and the architecture was evaluated against the six security properties it is designed to provide. The next chapter presents the solution for RO2, which verifies who the participants are and what authority they hold.</w:t>
      </w:r>
    </w:p>
    <w:sectPr w:rsidR="009262C4">
      <w:headerReference w:type="default" r:id="rId47"/>
      <w:headerReference w:type="even" r:id="rId48"/>
      <w:footerReference w:type="default" r:id="rId49"/>
      <w:footerReference w:type="even" r:id="rId50"/>
      <w:pgSz w:w="11906" w:h="16838"/>
      <w:pgMar w:top="1417" w:right="1701" w:bottom="1417" w:left="1701" w:header="737" w:footer="737" w:gutter="0"/>
      <w:pgNumType w:fmt="decimal"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header" Target="header1.xml"/><Relationship Id="rId41" Type="http://schemas.openxmlformats.org/officeDocument/2006/relationships/header" Target="header2.xml"/><Relationship Id="rId42" Type="http://schemas.openxmlformats.org/officeDocument/2006/relationships/footer" Target="footer2.xml"/><Relationship Id="rId43" Type="http://schemas.openxmlformats.org/officeDocument/2006/relationships/header" Target="header3.xml"/><Relationship Id="rId44" Type="http://schemas.openxmlformats.org/officeDocument/2006/relationships/header" Target="header4.xml"/><Relationship Id="rId45" Type="http://schemas.openxmlformats.org/officeDocument/2006/relationships/footer" Target="footer3.xml"/><Relationship Id="rId46" Type="http://schemas.openxmlformats.org/officeDocument/2006/relationships/footer" Target="footer4.xml"/><Relationship Id="rId47" Type="http://schemas.openxmlformats.org/officeDocument/2006/relationships/header" Target="header5.xml"/><Relationship Id="rId48" Type="http://schemas.openxmlformats.org/officeDocument/2006/relationships/header" Target="header6.xml"/><Relationship Id="rId49" Type="http://schemas.openxmlformats.org/officeDocument/2006/relationships/footer" Target="footer5.xml"/><Relationship Id="rId5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Ayman Alyoubi</cp:lastModifiedBy>
  <cp:revision>4</cp:revision>
  <dcterms:created xsi:type="dcterms:W3CDTF">2026-10-12T18:23:00Z</dcterms:created>
  <dcterms:modified xsi:type="dcterms:W3CDTF">2026-10-14T05:31:00Z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42a295c1012ca4efa4f13259255dab622b61b5437137b87a380a96086cc6aa64</vt:lpwstr>
  </property>
</Properties>
</file>