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12], and decentralised identifiers reduce reliance on a central identity provider. Verifiable credentials provide cryptographic evidence of roles and authority [13, 14], and policy-based mechanisms restrict access to authorised resources [9, 10, 15].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16].</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Likewise,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[17, 18], blockchain-based consent records [19, 20], multi-party approval [19, 21–23], policy-based access control [24–27], and several partial combinations [17, 21, 28]. However, they are usually investigated separately. In this context,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It should be distinguished from trusted computing in the hardware sense, such as trusted execution environments and attestation, which lies outside the scope of this research.</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Consequently,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prototype, the Patient Consent Management Platform for History Access by Authorised Healthcare Providers.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29], multi-party trust [3, 15, 30–32], decentralised identity [13, 14, 33–36], and access-control research [9, 10, 37, 38] have each contributed mechanisms. However,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[38].</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[39]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[19, 20, 40, 41]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However,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[41, 42],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[43] describe the iAgree portal across three United States health systems with a permissioned Ethereum audit contract, but consent enforcement is outside its scope. Tremper et al. [44] report ten years of the Mainzelliste service with FHIR consent directives, but specify no check semantics and no demonstrated enforcement of withdrawal. Neither study involves more than one authorising party, and the supporting references treat consent as a boolean grant [45, 46] or as conditions fixed at encryption time [47, 48].</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[17]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[49] is design-only. Tseng et al. [50]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[19] require a regulator and a guardian threshold on the incapacitated path, but a single patient key suffices on the normal path. Wu et al. [51] apply a (t, n) investigator threshold to record admission and revocation, and Abbasi et al. [52] use a Shamir (5, 3) threshold for key custody. Punia et al. [21] conjoin an M-of-N multi-signature with an attribute and role policy, but a single emergency officer can bypass the threshold. Tan et al. [22] use patient-appointed verifiers as a contingency, and [23, 53] report guardian co-consent at registration time. Therefore,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[20] match a purpose tree in chaincode, and Jaiman and Urovi [40] match ontology terms against the patient's consent. Albalwy et al. [41] evaluate a hashed policy tree of data type, role, and purpose, and Román-Martínez et al. [26] evaluate the FHIR purpose-of-use through XACML. T4 is coded Yes in 11 studies, Partial in 10, and No in 4. However, purpose-of-use enters the decision in only six studies [20, 24–26, 40, 41],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[24] present EdgeConsent, the first study to enforce temporal validity inside the decision predicate, although its lifecycle is only an active flag. Hema et al. [54] bind the expiry into key derivation, and Panagoulias et al. [25] enforce revocation at decision time across 43,500 simulated attempts in a single-node ledger. Li et al. [42] enforce time on a credential rather than on the consent. T5 is coded Yes in 8 studies and T6 in 7, a post-revocation denial is demonstrated only by [17], [25], and [24],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[18] present HealthDID, with three game-based definitions and three theorems proved by reduction, the first complete formal assurance in the corpus, although only for the identity and authority fragment. Zhao and Su [55] and Maruthi and Singh [56] prove threshold gates in isolation, and Mei et al. [57]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and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[52]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[41]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[58]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[23]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[24]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[53]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[40]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[55]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[42]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[19]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[56]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[57]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[25]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[17]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[49]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[21]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[26]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[54]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[43]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[22]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[20]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[44]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[18]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[19] and [25], and five studies fully satisfy none. Third, Req 1 with Req 4 is the most frequent pair, in seven studies, whereas Req 2 and Req 4 never co-occur in full. Req 3 co-occurs with Req 4 only in [21], whose threshold lies outside the policy predicate and whose policy carries no purpose term. Req 3 co-occurs with Req 6 only in [55, 56]. Fourth, the two quadruples are complementary, since [19] lacks policy and assurance, whereas [25] lacks multi-party approval and identity depth.</w:t>
      </w:r>
    </w:p>
    <w:p>
      <w:pPr>
        <w:spacing w:after="110" w:line="264"/>
        <w:jc w:val="both"/>
      </w:pPr>
      <w:r>
        <w:rPr>
          <w:rFonts w:ascii="Times New Roman" w:cs="Times New Roman" w:eastAsia="Times New Roman" w:hAnsi="Times New Roman"/>
          <w:sz w:val="22"/>
          <w:szCs w:val="22"/>
        </w:rPr>
        <w:t xml:space="preserve">Therefore, 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However,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Therefore, 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[17, 21, 25, 28, 59]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an integrated model explaining how these mechanisms collectively establish a trustworthy authorisation decision. Many consent-oriented approaches still treat consent primarily as a record or a Boolean flag [45, 46, 60]. Even the evaluable consent objects reported since 2020 [17, 20, 24, 41, 59]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Consequently, recording consent and enforcing trustworthy authorisation are different security problems. A blockchain may provide an immutable representation of a consent event [10, 15], but immutability does not establish the legitimacy of the entities involved. Similarly, a valid decentralised identity can establish who a participant is [13], but not what that participant is authorised to do. Multi-party approval can strengthen collective decision-making, but in the reviewed studies it is never conjoined with a purpose or data-scope condition [19, 21, 22].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In the reviewed studies, the approving set is either defined on the institutional or delegate side [21, 51, 55], or appointed by the patient [22, 56]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Therefore,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this context, 36 automated tests cover signature rejection, proof tampering, and twelve attack scenarios against the components of C and the contract. In addition, preliminary measurements of on-chain cost, confirmation latency, and processing time have been obtained.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Nevertheless, each guardian approval is an EIP-712 typed-data signature bound to the consent identifier. Consequently,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Consequently,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Therefore,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Therefore,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[13].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This distinguishes the framework from reviewed systems in which joint approval is a contingency path [19], a witness or notary threshold [22], a registration-time co-consent [23, 53], an institution-side admission gate [51], a custodial M-of-N signature [21], or a key-share reconstruction [52, 56].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Therefore,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[17, 20, 24, 41]. The innovation is the conjunction in which the effectiveness of the consent depends on the joint satisfaction of identity, authority, collective approval, policy, temporal, and jurisdictional conditions on every access decision. In this context, the blockchain is not treated as the source of trust but strengthens the integrity, non-repudiation, and auditability of the evidence generated by the authorisation process [10, 15].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[17, 20, 24, 41, 59],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Consequently,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[13].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In addition,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[33, 34],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For example,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For example,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Consequently,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 addition,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In this context,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Therefore, part of RO5 is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In this context, 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Consequently, expiration and revocation already condition the demonstrated access decisions.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Consequently,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addition,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In addition,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is a role-based Patient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The plaintext purpose is passed as a parameter of the mint transaction and is therefore visible in the public transaction input. All medical records used in the demonstration are synthetic.</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Therefore, the refusal was produced by the decision matrix alone, and each of the six logged matrices agrees with the access result that followed it. The three earlier grants of 22 September 2026 predate the logging of the matrix and of the proof mode. In addition,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Consequently,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In addition,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In addition, 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2026-10-02T10:54:33.301Z</dcterms:created>
  <dcterms:modified xsi:type="dcterms:W3CDTF">2026-10-02T10:54:33.302Z</dcterms:modified>
</cp:coreProperties>
</file>

<file path=docProps/custom.xml><?xml version="1.0" encoding="utf-8"?>
<Properties xmlns="http://schemas.openxmlformats.org/officeDocument/2006/custom-properties" xmlns:vt="http://schemas.openxmlformats.org/officeDocument/2006/docPropsVTypes"/>
</file>