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This chapter is organised as follows. Section 2.2 states the six key requirements that a trustworthy multi-party consent authorisation must satisfy. Section 2.3 describes the process adopted to search, select and assess the literature. Section 2.4 summarises the shortlisted studies in six streams, one per requirement, and states the gaps found from the requirement perspective. Section 2.5 positions the framework proposed in this thesis against the requirements, and Section 2.6 concludes the chapter.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pStyle w:val="3"/>
      </w:pPr>
      <w:r>
        <w:t>2.3.2 Step 2: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pStyle w:val="3"/>
      </w:pPr>
      <w:r>
        <w:t>2.3.3 Step 3: Quality Evaluation</w:t>
      </w:r>
    </w:p>
    <w:p w14:paraId="71E6485D" w14:textId="77777777" w:rsidR="009262C4" w:rsidRDefault="00000000">
      <w:pPr>
        <w:spacing w:after="110" w:line="264" w:lineRule="auto"/>
        <w:jc w:val="both"/>
      </w:pPr>
      <w:r>
        <w:t>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Table 2.1 shows the quality items, how each one was scored, and the rule used for inclusion. A study is core if its gap-impact verdict is contradicts, weakens, or narrows, or if its T3 coding is Yes or Partial. Of the 25 included studies, S1 to S25, 23 are core studies and 2 are supporting studies (Albalwy, Brass &amp; Davies 2021; Li et al. 2026a). Table 2.2 lists the 25 primary studies with their year, title, and category.</w:t>
      </w:r>
    </w:p>
    <w:p w14:paraId="2A730D59" w14:textId="77777777" w:rsidR="009262C4" w:rsidRDefault="00000000">
      <w:pPr>
        <w:keepNext/>
        <w:spacing w:before="160" w:after="160"/>
        <w:jc w:val="center"/>
      </w:pPr>
      <w:r>
        <w:rPr>
          <w:b/>
          <w:bCs/>
          <w:sz w:val="20"/>
          <w:szCs w:val="18"/>
        </w:rPr>
        <w:t xml:space="preserve">Table 2.1: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Does the study deal with patient consent or consent-governed data access at the healthcare level?</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38FA51F8"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4D9FBD80"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QA2</w:t>
            </w:r>
          </w:p>
        </w:tc>
        <w:tc>
          <w:tcPr>
            <w:tcW w:w="5428" w:type="dxa"/>
            <w:tcBorders>
              <w:top w:val="nil"/>
              <w:left w:val="nil"/>
              <w:bottom w:val="nil"/>
              <w:right w:val="nil"/>
              <w:insideH w:val="nil"/>
              <w:insideV w:val="nil"/>
            </w:tcBorders>
            <w:tcMar>
              <w:top w:w="40" w:type="dxa"/>
              <w:left w:w="80" w:type="dxa"/>
              <w:bottom w:w="40" w:type="dxa"/>
              <w:right w:w="80" w:type="dxa"/>
            </w:tcMar>
          </w:tcPr>
          <w:p w14:paraId="0435B64A"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Does it deal with an authorisation or access-decision mechanism, not storage or recording only?</w:t>
            </w:r>
          </w:p>
        </w:tc>
        <w:tc>
          <w:tcPr>
            <w:tcW w:w="2400" w:type="dxa"/>
            <w:tcBorders>
              <w:top w:val="nil"/>
              <w:left w:val="nil"/>
              <w:bottom w:val="nil"/>
              <w:right w:val="nil"/>
              <w:insideH w:val="nil"/>
              <w:insideV w:val="nil"/>
            </w:tcBorders>
            <w:tcMar>
              <w:top w:w="40" w:type="dxa"/>
              <w:left w:w="80" w:type="dxa"/>
              <w:bottom w:w="40" w:type="dxa"/>
              <w:right w:w="80" w:type="dxa"/>
            </w:tcMar>
          </w:tcPr>
          <w:p w14:paraId="1B9EDFBF"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66B773CE"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762757AE"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QA3</w:t>
            </w:r>
          </w:p>
        </w:tc>
        <w:tc>
          <w:tcPr>
            <w:tcW w:w="5428" w:type="dxa"/>
            <w:tcBorders>
              <w:top w:val="nil"/>
              <w:left w:val="nil"/>
              <w:bottom w:val="nil"/>
              <w:right w:val="nil"/>
              <w:insideH w:val="nil"/>
              <w:insideV w:val="nil"/>
            </w:tcBorders>
            <w:tcMar>
              <w:top w:w="40" w:type="dxa"/>
              <w:left w:w="80" w:type="dxa"/>
              <w:bottom w:w="40" w:type="dxa"/>
              <w:right w:w="80" w:type="dxa"/>
            </w:tcMar>
          </w:tcPr>
          <w:p w14:paraId="5E5B9E14"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Does it introduce a proper framework, model, protocol or architecture to address its aim?</w:t>
            </w:r>
          </w:p>
        </w:tc>
        <w:tc>
          <w:tcPr>
            <w:tcW w:w="2400" w:type="dxa"/>
            <w:tcBorders>
              <w:top w:val="nil"/>
              <w:left w:val="nil"/>
              <w:bottom w:val="nil"/>
              <w:right w:val="nil"/>
              <w:insideH w:val="nil"/>
              <w:insideV w:val="nil"/>
            </w:tcBorders>
            <w:tcMar>
              <w:top w:w="40" w:type="dxa"/>
              <w:left w:w="80" w:type="dxa"/>
              <w:bottom w:w="40" w:type="dxa"/>
              <w:right w:w="80" w:type="dxa"/>
            </w:tcMar>
          </w:tcPr>
          <w:p w14:paraId="7BCC467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6E49D1D4"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26E2915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QA4</w:t>
            </w:r>
          </w:p>
        </w:tc>
        <w:tc>
          <w:tcPr>
            <w:tcW w:w="5428" w:type="dxa"/>
            <w:tcBorders>
              <w:top w:val="nil"/>
              <w:left w:val="nil"/>
              <w:bottom w:val="nil"/>
              <w:right w:val="nil"/>
              <w:insideH w:val="nil"/>
              <w:insideV w:val="nil"/>
            </w:tcBorders>
            <w:tcMar>
              <w:top w:w="40" w:type="dxa"/>
              <w:left w:w="80" w:type="dxa"/>
              <w:bottom w:w="40" w:type="dxa"/>
              <w:right w:w="80" w:type="dxa"/>
            </w:tcMar>
          </w:tcPr>
          <w:p w14:paraId="5CEF42FF"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Is the proposed methodology validated by a proof of concept or an implementation?</w:t>
            </w:r>
          </w:p>
        </w:tc>
        <w:tc>
          <w:tcPr>
            <w:tcW w:w="2400" w:type="dxa"/>
            <w:tcBorders>
              <w:top w:val="nil"/>
              <w:left w:val="nil"/>
              <w:bottom w:val="nil"/>
              <w:right w:val="nil"/>
              <w:insideH w:val="nil"/>
              <w:insideV w:val="nil"/>
            </w:tcBorders>
            <w:tcMar>
              <w:top w:w="40" w:type="dxa"/>
              <w:left w:w="80" w:type="dxa"/>
              <w:bottom w:w="40" w:type="dxa"/>
              <w:right w:w="80" w:type="dxa"/>
            </w:tcMar>
          </w:tcPr>
          <w:p w14:paraId="61EA22E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1C24DD58"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2103B105"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QA5 to QA8</w:t>
            </w:r>
          </w:p>
        </w:tc>
        <w:tc>
          <w:tcPr>
            <w:tcW w:w="5428" w:type="dxa"/>
            <w:tcBorders>
              <w:top w:val="nil"/>
              <w:left w:val="nil"/>
              <w:bottom w:val="nil"/>
              <w:right w:val="nil"/>
              <w:insideH w:val="nil"/>
              <w:insideV w:val="nil"/>
            </w:tcBorders>
            <w:tcMar>
              <w:top w:w="40" w:type="dxa"/>
              <w:left w:w="80" w:type="dxa"/>
              <w:bottom w:w="40" w:type="dxa"/>
              <w:right w:w="80" w:type="dxa"/>
            </w:tcMar>
          </w:tcPr>
          <w:p w14:paraId="25AAE229"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Further quality items scored for every included study.</w:t>
            </w:r>
          </w:p>
        </w:tc>
        <w:tc>
          <w:tcPr>
            <w:tcW w:w="2400" w:type="dxa"/>
            <w:tcBorders>
              <w:top w:val="nil"/>
              <w:left w:val="nil"/>
              <w:bottom w:val="nil"/>
              <w:right w:val="nil"/>
              <w:insideH w:val="nil"/>
              <w:insideV w:val="nil"/>
            </w:tcBorders>
            <w:tcMar>
              <w:top w:w="40" w:type="dxa"/>
              <w:left w:w="80" w:type="dxa"/>
              <w:bottom w:w="40" w:type="dxa"/>
              <w:right w:w="80" w:type="dxa"/>
            </w:tcMar>
          </w:tcPr>
          <w:p w14:paraId="27B3147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Evidence tier only (A, B, C, Background), not inclusion</w:t>
            </w:r>
          </w:p>
        </w:tc>
      </w:tr>
      <w:tr w:rsidR="009262C4" w14:paraId="1157058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4D4C30B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Scoring</w:t>
            </w:r>
          </w:p>
        </w:tc>
        <w:tc>
          <w:tcPr>
            <w:tcW w:w="5428" w:type="dxa"/>
            <w:tcBorders>
              <w:top w:val="nil"/>
              <w:left w:val="nil"/>
              <w:bottom w:val="nil"/>
              <w:right w:val="nil"/>
              <w:insideH w:val="nil"/>
              <w:insideV w:val="nil"/>
            </w:tcBorders>
            <w:tcMar>
              <w:top w:w="40" w:type="dxa"/>
              <w:left w:w="80" w:type="dxa"/>
              <w:bottom w:w="40" w:type="dxa"/>
              <w:right w:w="80" w:type="dxa"/>
            </w:tcMar>
          </w:tcPr>
          <w:p w14:paraId="7EF5BBB6"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Yes = 1, Partial = 0.5, No = 0.</w:t>
            </w:r>
          </w:p>
        </w:tc>
        <w:tc>
          <w:tcPr>
            <w:tcW w:w="2400" w:type="dxa"/>
            <w:tcBorders>
              <w:top w:val="nil"/>
              <w:left w:val="nil"/>
              <w:bottom w:val="nil"/>
              <w:right w:val="nil"/>
              <w:insideH w:val="nil"/>
              <w:insideV w:val="nil"/>
            </w:tcBorders>
            <w:tcMar>
              <w:top w:w="40" w:type="dxa"/>
              <w:left w:w="80" w:type="dxa"/>
              <w:bottom w:w="40" w:type="dxa"/>
              <w:right w:w="80" w:type="dxa"/>
            </w:tcMar>
          </w:tcPr>
          <w:p w14:paraId="342F302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r w:rsidR="009262C4" w14:paraId="71A6301C"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527C298B"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Rule</w:t>
            </w:r>
          </w:p>
        </w:tc>
        <w:tc>
          <w:tcPr>
            <w:tcW w:w="5428" w:type="dxa"/>
            <w:tcBorders>
              <w:top w:val="nil"/>
              <w:left w:val="nil"/>
              <w:bottom w:val="nil"/>
              <w:right w:val="nil"/>
              <w:insideH w:val="nil"/>
              <w:insideV w:val="nil"/>
            </w:tcBorders>
            <w:tcMar>
              <w:top w:w="40" w:type="dxa"/>
              <w:left w:w="80" w:type="dxa"/>
              <w:bottom w:w="40" w:type="dxa"/>
              <w:right w:w="80" w:type="dxa"/>
            </w:tcMar>
          </w:tcPr>
          <w:p w14:paraId="00528BFF"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A study is included when QA1 + QA2 + QA3 + QA4 ≥ 3.0.</w:t>
            </w:r>
          </w:p>
        </w:tc>
        <w:tc>
          <w:tcPr>
            <w:tcW w:w="2400" w:type="dxa"/>
            <w:tcBorders>
              <w:top w:val="nil"/>
              <w:left w:val="nil"/>
              <w:bottom w:val="nil"/>
              <w:right w:val="nil"/>
              <w:insideH w:val="nil"/>
              <w:insideV w:val="nil"/>
            </w:tcBorders>
            <w:tcMar>
              <w:top w:w="40" w:type="dxa"/>
              <w:left w:w="80" w:type="dxa"/>
              <w:bottom w:w="40" w:type="dxa"/>
              <w:right w:w="80" w:type="dxa"/>
            </w:tcMar>
          </w:tcPr>
          <w:p w14:paraId="79D16896"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bl>
    <w:p>
      <w:pPr>
        <w:pStyle w:val="3"/>
      </w:pPr>
      <w:r>
        <w:t>2.3.4 Step 4: Shortlisted Papers for SLR and Categorising Them into Broad Areas</w:t>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14:paraId="2C249D89" w14:textId="77777777" w:rsidR="009262C4" w:rsidRDefault="00000000">
      <w:pPr>
        <w:keepNext/>
        <w:spacing w:before="160" w:after="160"/>
        <w:jc w:val="center"/>
      </w:pPr>
      <w:r>
        <w:rPr>
          <w:b/>
          <w:bCs/>
          <w:sz w:val="20"/>
          <w:szCs w:val="18"/>
        </w:rPr>
        <w:t xml:space="preserve">Table 2.2: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750"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spacing w:after="40" w:line="240" w:lineRule="auto"/>
              <w:jc w:val="left"/>
            </w:pPr>
            <w:r>
              <w:rPr>
                <w:rFonts w:ascii="Palatino Linotype" w:hAnsi="Palatino Linotype" w:cs="Palatino Linotype"/>
                <w:b/>
                <w:bCs/>
                <w:color w:val="000000"/>
                <w:sz w:val="19"/>
                <w:szCs w:val="17"/>
              </w:rPr>
              <w:t>Author(s)</w:t>
            </w:r>
          </w:p>
        </w:tc>
        <w:tc>
          <w:tcPr>
            <w:tcW w:w="60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spacing w:after="40" w:line="240" w:lineRule="auto"/>
              <w:jc w:val="left"/>
            </w:pPr>
            <w:r>
              <w:rPr>
                <w:rFonts w:ascii="Palatino Linotype" w:hAnsi="Palatino Linotype" w:cs="Palatino Linotype"/>
                <w:b/>
                <w:bCs/>
                <w:color w:val="000000"/>
                <w:sz w:val="19"/>
                <w:szCs w:val="17"/>
              </w:rPr>
              <w:t>Year</w:t>
            </w:r>
          </w:p>
        </w:tc>
        <w:tc>
          <w:tcPr>
            <w:tcW w:w="3978"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spacing w:after="40" w:line="240" w:lineRule="auto"/>
              <w:jc w:val="left"/>
            </w:pPr>
            <w:r>
              <w:rPr>
                <w:rFonts w:ascii="Palatino Linotype" w:hAnsi="Palatino Linotype" w:cs="Palatino Linotype"/>
                <w:b/>
                <w:bCs/>
                <w:color w:val="000000"/>
                <w:sz w:val="19"/>
                <w:szCs w:val="17"/>
              </w:rPr>
              <w:t>Title</w:t>
            </w:r>
          </w:p>
        </w:tc>
        <w:tc>
          <w:tcPr>
            <w:tcW w:w="2100"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750"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2100"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750"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0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978"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2100"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750"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2100"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750"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2100"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750"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750"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2100"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750"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0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2100"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750"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0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2100"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750"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2100"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750"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750"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0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750"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2100"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750"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2100"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750"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0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2100"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750"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2100"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750"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750"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2100"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750"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750"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2100"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750"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2100"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750"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2100"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750"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750"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2100"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750"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0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978"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2100"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750"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0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2100"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pPr>
        <w:pStyle w:val="3"/>
      </w:pPr>
      <w:r>
        <w:t>2.4.2 Decentralised identity and authority trust (Req 2)</w:t>
      </w:r>
    </w:p>
    <w:p w14:paraId="5A8E98C4" w14:textId="77777777" w:rsidR="009262C4" w:rsidRDefault="00000000">
      <w:pPr>
        <w:spacing w:after="110" w:line="264" w:lineRule="auto"/>
        <w:jc w:val="both"/>
      </w:pPr>
      <w:r>
        <w:t>The trust dimension T2 was graded Yes in only 10 of the 25 studies and Partial in 15, and the stricter Req 2 grade in Table 2.4, which needs both identity and authority, is Yes in only 7.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pStyle w:val="3"/>
      </w:pPr>
      <w:r>
        <w:t>2.4.3 Multi-party authorisation and collaborative consent (Req 3)</w:t>
      </w:r>
    </w:p>
    <w:p w14:paraId="2B876E6C" w14:textId="77777777" w:rsidR="009262C4" w:rsidRDefault="00000000">
      <w:pPr>
        <w:spacing w:after="110" w:line="264" w:lineRule="auto"/>
        <w:jc w:val="both"/>
      </w:pPr>
      <w:r>
        <w:t>T3 was graded Yes in 6 of the 25 studies, Partial in 4, and No in 15, across six ratified mechanism classes.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pStyle w:val="3"/>
      </w:pPr>
      <w:r>
        <w:t>2.4.4 Policy- and context-aware access control (Req 4)</w:t>
      </w:r>
    </w:p>
    <w:p w14:paraId="05A3E933" w14:textId="77777777" w:rsidR="009262C4" w:rsidRDefault="00000000">
      <w:pPr>
        <w:spacing w:after="110" w:line="264" w:lineRule="auto"/>
        <w:jc w:val="both"/>
      </w:pPr>
      <w:r>
        <w:t>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The trust dimension T4 is coded Yes in 11 studies, Partial in 10, and No in 4, and the Req 4 grade in Table 2.4 is Yes in 10 and No in 15. However, purpose-of-use enters the decision in only six studies (Eneh et al. 2026; Panagoulias et al. 2026), and every one is coded T3 No. Consequently, purpose and data-scope constraints are not carried by the consent object C and evaluated together with the identity, authority, and multi-party conditions.</w:t>
      </w:r>
    </w:p>
    <w:p>
      <w:pPr>
        <w:pStyle w:val="3"/>
      </w:pPr>
      <w:r>
        <w:t>2.4.5 Temporal validity and consent lifecycle (Req 5)</w:t>
      </w:r>
    </w:p>
    <w:p w14:paraId="7C35F356" w14:textId="77777777" w:rsidR="009262C4" w:rsidRDefault="00000000">
      <w:pPr>
        <w:spacing w:after="110" w:line="264" w:lineRule="auto"/>
        <w:jc w:val="both"/>
      </w:pPr>
      <w:r>
        <w:t>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T5 is coded Yes in 8 studies and T6 in 7, a post-revocation denial is demonstrated only by (Phuyal et al. 2026b), and the four stream-5 systems that enforce time inside the decision are all single-party, with Li et al. (2026a) doing so through the credential rather than the consent.</w:t>
      </w:r>
    </w:p>
    <w:p>
      <w:pPr>
        <w:pStyle w:val="3"/>
      </w:pPr>
      <w:r>
        <w:t>2.4.6 Formal security assurance and empirical validation (Req 6)</w:t>
      </w:r>
    </w:p>
    <w:p w14:paraId="3CC511B8" w14:textId="77777777" w:rsidR="009262C4" w:rsidRDefault="00000000">
      <w:pPr>
        <w:spacing w:after="110" w:line="264" w:lineRule="auto"/>
        <w:jc w:val="both"/>
      </w:pPr>
      <w:r>
        <w:t>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Formal assurance is coded Yes in only 4 of the 25 studies, and empirical validation Yes in 5, Partial in 19, and No in 1. An inverse relation between predicate breadth and assurance strength was observed. Few studies execute adversarial scenarios that examine whether security controls can resist deliberate attempts to circumvent the authorisation process.</w:t>
      </w:r>
    </w:p>
    <w:p w14:paraId="6F4593D6" w14:textId="77777777" w:rsidR="009262C4" w:rsidRDefault="00000000">
      <w:pPr>
        <w:keepNext/>
        <w:spacing w:before="160" w:after="160"/>
        <w:jc w:val="center"/>
      </w:pPr>
      <w:r>
        <w:rPr>
          <w:b/>
          <w:bCs/>
          <w:sz w:val="20"/>
          <w:szCs w:val="18"/>
        </w:rPr>
        <w:t xml:space="preserve">Table 2.3: </w:t>
      </w:r>
      <w:r>
        <w:rPr>
          <w:sz w:val="20"/>
          <w:szCs w:val="18"/>
        </w:rPr>
        <w:t>Descriptions, issues and limitations of the 25 primary studies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200"/>
        <w:gridCol w:w="3964"/>
        <w:gridCol w:w="3964"/>
      </w:tblGrid>
      <w:tr w:rsidR="009262C4" w14:paraId="695A90C9" w14:textId="77777777">
        <w:trPr>
          <w:cantSplit/>
          <w:tblHeader/>
        </w:trPr>
        <w:tc>
          <w:tcPr>
            <w:tcW w:w="1200" w:type="dxa"/>
            <w:tcBorders>
              <w:top w:val="nil"/>
              <w:left w:val="nil"/>
              <w:bottom w:val="single" w:sz="6" w:color="000000" w:space="0"/>
              <w:right w:val="nil"/>
              <w:insideH w:val="nil"/>
              <w:insideV w:val="nil"/>
            </w:tcBorders>
            <w:tcMar>
              <w:top w:w="40" w:type="dxa"/>
              <w:left w:w="80" w:type="dxa"/>
              <w:bottom w:w="40" w:type="dxa"/>
              <w:right w:w="80" w:type="dxa"/>
            </w:tcMar>
          </w:tcPr>
          <w:p w14:paraId="5B456A55"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110D26CF" w14:textId="77777777" w:rsidR="009262C4" w:rsidRDefault="00000000">
            <w:pPr>
              <w:spacing w:after="40" w:line="240" w:lineRule="auto"/>
              <w:jc w:val="left"/>
            </w:pPr>
            <w:r>
              <w:rPr>
                <w:rFonts w:ascii="Palatino Linotype" w:hAnsi="Palatino Linotype" w:cs="Palatino Linotype"/>
                <w:b/>
                <w:bCs/>
                <w:color w:val="000000"/>
                <w:sz w:val="19"/>
                <w:szCs w:val="17"/>
              </w:rPr>
              <w:t>Description of the 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40968434" w14:textId="77777777" w:rsidR="009262C4" w:rsidRDefault="00000000">
            <w:pPr>
              <w:spacing w:after="40" w:line="240" w:lineRule="auto"/>
              <w:jc w:val="left"/>
            </w:pPr>
            <w:r>
              <w:rPr>
                <w:rFonts w:ascii="Palatino Linotype" w:hAnsi="Palatino Linotype" w:cs="Palatino Linotype"/>
                <w:b/>
                <w:bCs/>
                <w:color w:val="000000"/>
                <w:sz w:val="19"/>
                <w:szCs w:val="17"/>
              </w:rPr>
              <w:t>Issues/Limitations</w:t>
            </w:r>
          </w:p>
        </w:tc>
      </w:tr>
      <w:tr w:rsidR="009262C4" w14:paraId="55050F4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2715D50"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6215AE49" w14:textId="77777777" w:rsidR="009262C4" w:rsidRDefault="00000000">
            <w:pPr>
              <w:spacing w:after="40" w:line="240" w:lineRule="auto"/>
              <w:jc w:val="left"/>
            </w:pPr>
            <w:r>
              <w:rPr>
                <w:rFonts w:ascii="Palatino Linotype" w:hAnsi="Palatino Linotype" w:cs="Palatino Linotype"/>
                <w:color w:val="000000"/>
                <w:sz w:val="19"/>
                <w:szCs w:val="17"/>
              </w:rPr>
              <w:t>Decentralised EHR management in which a Shamir (5, 3) threshold reconstructs a symmetric key, and automated oracles release their shares according to the requester's on-chain role.</w:t>
            </w:r>
          </w:p>
        </w:tc>
        <w:tc>
          <w:tcPr>
            <w:tcW w:w="3964" w:type="dxa"/>
            <w:tcBorders>
              <w:top w:val="nil"/>
              <w:left w:val="nil"/>
              <w:bottom w:val="nil"/>
              <w:right w:val="nil"/>
              <w:insideH w:val="nil"/>
              <w:insideV w:val="nil"/>
            </w:tcBorders>
            <w:tcMar>
              <w:top w:w="40" w:type="dxa"/>
              <w:left w:w="80" w:type="dxa"/>
              <w:bottom w:w="40" w:type="dxa"/>
              <w:right w:w="80" w:type="dxa"/>
            </w:tcMar>
          </w:tcPr>
          <w:p w14:paraId="74CC19C2" w14:textId="77777777" w:rsidR="009262C4" w:rsidRDefault="00000000">
            <w:pPr>
              <w:spacing w:after="40" w:line="240" w:lineRule="auto"/>
              <w:jc w:val="left"/>
            </w:pPr>
            <w:r>
              <w:rPr>
                <w:rFonts w:ascii="Palatino Linotype" w:hAnsi="Palatino Linotype" w:cs="Palatino Linotype"/>
                <w:color w:val="000000"/>
                <w:sz w:val="19"/>
                <w:szCs w:val="17"/>
              </w:rPr>
              <w:t>The threshold is over key custodians rather than authorisers, the patient share is not required, purpose is not evaluated, and no authorisation decision is verified despite extensive performance measurement.</w:t>
            </w:r>
          </w:p>
        </w:tc>
      </w:tr>
      <w:tr w:rsidR="009262C4" w14:paraId="4BBAC3B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E26FA1E"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3964" w:type="dxa"/>
            <w:tcBorders>
              <w:top w:val="nil"/>
              <w:left w:val="nil"/>
              <w:bottom w:val="nil"/>
              <w:right w:val="nil"/>
              <w:insideH w:val="nil"/>
              <w:insideV w:val="nil"/>
            </w:tcBorders>
            <w:tcMar>
              <w:top w:w="40" w:type="dxa"/>
              <w:left w:w="80" w:type="dxa"/>
              <w:bottom w:w="40" w:type="dxa"/>
              <w:right w:w="80" w:type="dxa"/>
            </w:tcMar>
          </w:tcPr>
          <w:p w14:paraId="78563201"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proof of concept for clinical genomic data, in which a hashed policy tree of data type, role, and purpose is evaluated by the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1DC939CA" w14:textId="77777777" w:rsidR="009262C4" w:rsidRDefault="00000000">
            <w:pPr>
              <w:spacing w:after="40" w:line="240" w:lineRule="auto"/>
              <w:jc w:val="left"/>
            </w:pPr>
            <w:r>
              <w:rPr>
                <w:rFonts w:ascii="Palatino Linotype" w:hAnsi="Palatino Linotype" w:cs="Palatino Linotype"/>
                <w:color w:val="000000"/>
                <w:sz w:val="19"/>
                <w:szCs w:val="17"/>
              </w:rPr>
              <w:t>A single patient sets and cancels consent, the requester's role and credentials are not verified, time is applied only at the delivery layer, and there is no formal assurance.</w:t>
            </w:r>
          </w:p>
        </w:tc>
      </w:tr>
      <w:tr w:rsidR="009262C4" w14:paraId="68A56B0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6F3FCD4"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93742AE" w14:textId="77777777" w:rsidR="009262C4" w:rsidRDefault="00000000">
            <w:pPr>
              <w:spacing w:after="40" w:line="240" w:lineRule="auto"/>
              <w:jc w:val="left"/>
            </w:pPr>
            <w:r>
              <w:rPr>
                <w:rFonts w:ascii="Palatino Linotype" w:hAnsi="Palatino Linotype" w:cs="Palatino Linotype"/>
                <w:color w:val="000000"/>
                <w:sz w:val="19"/>
                <w:szCs w:val="17"/>
              </w:rPr>
              <w:t>Informed consent is modelled as a patient-driven policy object with hash integrity, which an authorisation module conjoins with other policies inside a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0805FC1C" w14:textId="77777777" w:rsidR="009262C4" w:rsidRDefault="00000000">
            <w:pPr>
              <w:spacing w:after="40" w:line="240" w:lineRule="auto"/>
              <w:jc w:val="left"/>
            </w:pPr>
            <w:r>
              <w:rPr>
                <w:rFonts w:ascii="Palatino Linotype" w:hAnsi="Palatino Linotype" w:cs="Palatino Linotype"/>
                <w:color w:val="000000"/>
                <w:sz w:val="19"/>
                <w:szCs w:val="17"/>
              </w:rPr>
              <w:t xml:space="preserve">Purpose is not a condition, the time and expiry conditions are specified but not enforced, the only multi-party element is a 2-of-2 co-signature at registration, and the Goerli evaluation reports no measured results.</w:t>
            </w:r>
          </w:p>
        </w:tc>
      </w:tr>
      <w:tr w:rsidR="009262C4" w14:paraId="7095D8B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D08CA5C"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4547EFD5" w14:textId="77777777" w:rsidR="009262C4" w:rsidRDefault="00000000">
            <w:pPr>
              <w:spacing w:after="40" w:line="240" w:lineRule="auto"/>
              <w:jc w:val="left"/>
            </w:pPr>
            <w:r>
              <w:rPr>
                <w:rFonts w:ascii="Palatino Linotype" w:hAnsi="Palatino Linotype" w:cs="Palatino Linotype"/>
                <w:color w:val="000000"/>
                <w:sz w:val="19"/>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nil"/>
              <w:left w:val="nil"/>
              <w:bottom w:val="nil"/>
              <w:right w:val="nil"/>
              <w:insideH w:val="nil"/>
              <w:insideV w:val="nil"/>
            </w:tcBorders>
            <w:tcMar>
              <w:top w:w="40" w:type="dxa"/>
              <w:left w:w="80" w:type="dxa"/>
              <w:bottom w:w="40" w:type="dxa"/>
              <w:right w:w="80" w:type="dxa"/>
            </w:tcMar>
          </w:tcPr>
          <w:p w14:paraId="73C891FF" w14:textId="77777777" w:rsidR="009262C4" w:rsidRDefault="00000000">
            <w:pPr>
              <w:spacing w:after="40" w:line="240" w:lineRule="auto"/>
              <w:jc w:val="left"/>
            </w:pPr>
            <w:r>
              <w:rPr>
                <w:rFonts w:ascii="Palatino Linotype" w:hAnsi="Palatino Linotype" w:cs="Palatino Linotype"/>
                <w:color w:val="000000"/>
                <w:sz w:val="19"/>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045509B6"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FA913FE"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470D3CF" w14:textId="77777777" w:rsidR="009262C4" w:rsidRDefault="00000000">
            <w:pPr>
              <w:spacing w:after="40" w:line="240" w:lineRule="auto"/>
              <w:jc w:val="left"/>
            </w:pPr>
            <w:r>
              <w:rPr>
                <w:rFonts w:ascii="Palatino Linotype" w:hAnsi="Palatino Linotype" w:cs="Palatino Linotype"/>
                <w:color w:val="000000"/>
                <w:sz w:val="19"/>
                <w:szCs w:val="17"/>
              </w:rPr>
              <w:t xml:space="preserve">EdgeConsent, a demonstration of on-chain attribute-based access control in which consent rules with purpose, data category, and notBefore and notAfter bounds are evaluated at decision time.</w:t>
            </w:r>
          </w:p>
        </w:tc>
        <w:tc>
          <w:tcPr>
            <w:tcW w:w="3964" w:type="dxa"/>
            <w:tcBorders>
              <w:top w:val="nil"/>
              <w:left w:val="nil"/>
              <w:bottom w:val="nil"/>
              <w:right w:val="nil"/>
              <w:insideH w:val="nil"/>
              <w:insideV w:val="nil"/>
            </w:tcBorders>
            <w:tcMar>
              <w:top w:w="40" w:type="dxa"/>
              <w:left w:w="80" w:type="dxa"/>
              <w:bottom w:w="40" w:type="dxa"/>
              <w:right w:w="80" w:type="dxa"/>
            </w:tcMar>
          </w:tcPr>
          <w:p w14:paraId="077A928E" w14:textId="77777777" w:rsidR="009262C4" w:rsidRDefault="00000000">
            <w:pPr>
              <w:spacing w:after="40" w:line="240" w:lineRule="auto"/>
              <w:jc w:val="left"/>
            </w:pPr>
            <w:r>
              <w:rPr>
                <w:rFonts w:ascii="Palatino Linotype" w:hAnsi="Palatino Linotype" w:cs="Palatino Linotype"/>
                <w:color w:val="000000"/>
                <w:sz w:val="19"/>
                <w:szCs w:val="17"/>
              </w:rPr>
              <w:t>A two-page demonstration with weak identity and authority trust and no DID or VC, no multi-party approval, a lifecycle that is only an active flag, and preliminary local evaluation without formal assurance.</w:t>
            </w:r>
          </w:p>
        </w:tc>
      </w:tr>
      <w:tr w:rsidR="009262C4" w14:paraId="23BB09A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D624077"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4D4FFBA8" w14:textId="77777777" w:rsidR="009262C4" w:rsidRDefault="00000000">
            <w:pPr>
              <w:spacing w:after="40" w:line="240" w:lineRule="auto"/>
              <w:jc w:val="left"/>
            </w:pPr>
            <w:r>
              <w:rPr>
                <w:rFonts w:ascii="Palatino Linotype" w:hAnsi="Palatino Linotype" w:cs="Palatino Linotype"/>
                <w:color w:val="000000"/>
                <w:sz w:val="19"/>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nil"/>
              <w:left w:val="nil"/>
              <w:bottom w:val="nil"/>
              <w:right w:val="nil"/>
              <w:insideH w:val="nil"/>
              <w:insideV w:val="nil"/>
            </w:tcBorders>
            <w:tcMar>
              <w:top w:w="40" w:type="dxa"/>
              <w:left w:w="80" w:type="dxa"/>
              <w:bottom w:w="40" w:type="dxa"/>
              <w:right w:w="80" w:type="dxa"/>
            </w:tcMar>
          </w:tcPr>
          <w:p w14:paraId="1076417D" w14:textId="77777777" w:rsidR="009262C4" w:rsidRDefault="00000000">
            <w:pPr>
              <w:spacing w:after="40" w:line="240" w:lineRule="auto"/>
              <w:jc w:val="left"/>
            </w:pPr>
            <w:r>
              <w:rPr>
                <w:rFonts w:ascii="Palatino Linotype" w:hAnsi="Palatino Linotype" w:cs="Palatino Linotype"/>
                <w:color w:val="000000"/>
                <w:sz w:val="19"/>
                <w:szCs w:val="17"/>
              </w:rPr>
              <w:t>The mechanism is centralised and applied at documentation time, and the guardian is the party whose proxy access is gated rather than a co-authoriser of the patient's access decision.</w:t>
            </w:r>
          </w:p>
        </w:tc>
      </w:tr>
      <w:tr w:rsidR="009262C4" w14:paraId="7CD81AF3"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96D9904"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3964" w:type="dxa"/>
            <w:tcBorders>
              <w:top w:val="nil"/>
              <w:left w:val="nil"/>
              <w:bottom w:val="nil"/>
              <w:right w:val="nil"/>
              <w:insideH w:val="nil"/>
              <w:insideV w:val="nil"/>
            </w:tcBorders>
            <w:tcMar>
              <w:top w:w="40" w:type="dxa"/>
              <w:left w:w="80" w:type="dxa"/>
              <w:bottom w:w="40" w:type="dxa"/>
              <w:right w:w="80" w:type="dxa"/>
            </w:tcMar>
          </w:tcPr>
          <w:p w14:paraId="5C941062" w14:textId="77777777" w:rsidR="009262C4" w:rsidRDefault="00000000">
            <w:pPr>
              <w:spacing w:after="40" w:line="240" w:lineRule="auto"/>
              <w:jc w:val="left"/>
            </w:pPr>
            <w:r>
              <w:rPr>
                <w:rFonts w:ascii="Palatino Linotype" w:hAnsi="Palatino Linotype" w:cs="Palatino Linotype"/>
                <w:color w:val="000000"/>
                <w:sz w:val="19"/>
                <w:szCs w:val="17"/>
              </w:rPr>
              <w:t>A consent model in which ontology terms requested by a data requester are matched against the patient's consent inside the smart contract, with denial tested across requester profiles.</w:t>
            </w:r>
          </w:p>
        </w:tc>
        <w:tc>
          <w:tcPr>
            <w:tcW w:w="3964" w:type="dxa"/>
            <w:tcBorders>
              <w:top w:val="nil"/>
              <w:left w:val="nil"/>
              <w:bottom w:val="nil"/>
              <w:right w:val="nil"/>
              <w:insideH w:val="nil"/>
              <w:insideV w:val="nil"/>
            </w:tcBorders>
            <w:tcMar>
              <w:top w:w="40" w:type="dxa"/>
              <w:left w:w="80" w:type="dxa"/>
              <w:bottom w:w="40" w:type="dxa"/>
              <w:right w:w="80" w:type="dxa"/>
            </w:tcMar>
          </w:tcPr>
          <w:p w14:paraId="374568F4" w14:textId="77777777" w:rsidR="009262C4" w:rsidRDefault="00000000">
            <w:pPr>
              <w:spacing w:after="40" w:line="240" w:lineRule="auto"/>
              <w:jc w:val="left"/>
            </w:pPr>
            <w:r>
              <w:rPr>
                <w:rFonts w:ascii="Palatino Linotype" w:hAnsi="Palatino Linotype" w:cs="Palatino Linotype"/>
                <w:color w:val="000000"/>
                <w:sz w:val="19"/>
                <w:szCs w:val="17"/>
              </w:rPr>
              <w:t>Security assurance is explicitly outside its scope, and there is no multi-party approval.</w:t>
            </w:r>
          </w:p>
        </w:tc>
      </w:tr>
      <w:tr w:rsidR="009262C4" w14:paraId="7CBCD83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98ED2F8"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3964" w:type="dxa"/>
            <w:tcBorders>
              <w:top w:val="nil"/>
              <w:left w:val="nil"/>
              <w:bottom w:val="nil"/>
              <w:right w:val="nil"/>
              <w:insideH w:val="nil"/>
              <w:insideV w:val="nil"/>
            </w:tcBorders>
            <w:tcMar>
              <w:top w:w="40" w:type="dxa"/>
              <w:left w:w="80" w:type="dxa"/>
              <w:bottom w:w="40" w:type="dxa"/>
              <w:right w:w="80" w:type="dxa"/>
            </w:tcMar>
          </w:tcPr>
          <w:p w14:paraId="47401CC8"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nil"/>
              <w:left w:val="nil"/>
              <w:bottom w:val="nil"/>
              <w:right w:val="nil"/>
              <w:insideH w:val="nil"/>
              <w:insideV w:val="nil"/>
            </w:tcBorders>
            <w:tcMar>
              <w:top w:w="40" w:type="dxa"/>
              <w:left w:w="80" w:type="dxa"/>
              <w:bottom w:w="40" w:type="dxa"/>
              <w:right w:w="80" w:type="dxa"/>
            </w:tcMar>
          </w:tcPr>
          <w:p w14:paraId="019CF057" w14:textId="77777777" w:rsidR="009262C4" w:rsidRDefault="00000000">
            <w:pPr>
              <w:spacing w:after="40" w:line="240" w:lineRule="auto"/>
              <w:jc w:val="left"/>
            </w:pPr>
            <w:r>
              <w:rPr>
                <w:rFonts w:ascii="Palatino Linotype" w:hAnsi="Palatino Linotype" w:cs="Palatino Linotype"/>
                <w:color w:val="000000"/>
                <w:sz w:val="19"/>
                <w:szCs w:val="17"/>
              </w:rPr>
              <w:t>The authorisers are consumer-side delegates rather than patient-side stakeholders, the patient's own decision is unilateral, a trusted authority escrows keys, and there is no temporal, lifecycle, or purpose condition.</w:t>
            </w:r>
          </w:p>
        </w:tc>
      </w:tr>
      <w:tr w:rsidR="009262C4" w14:paraId="42CA024B"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3C0F440"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4C67414C" w14:textId="77777777" w:rsidR="009262C4" w:rsidRDefault="00000000">
            <w:pPr>
              <w:spacing w:after="40" w:line="240" w:lineRule="auto"/>
              <w:jc w:val="left"/>
            </w:pPr>
            <w:r>
              <w:rPr>
                <w:rFonts w:ascii="Palatino Linotype" w:hAnsi="Palatino Linotype" w:cs="Palatino Linotype"/>
                <w:color w:val="000000"/>
                <w:sz w:val="19"/>
                <w:szCs w:val="17"/>
              </w:rPr>
              <w:t>A hybrid RBAC and smart contract scheme with attribute-based authentication for fine-grained EMR access in IoMT, which enforces credential expiry at every sharing interaction.</w:t>
            </w:r>
          </w:p>
        </w:tc>
        <w:tc>
          <w:tcPr>
            <w:tcW w:w="3964" w:type="dxa"/>
            <w:tcBorders>
              <w:top w:val="nil"/>
              <w:left w:val="nil"/>
              <w:bottom w:val="nil"/>
              <w:right w:val="nil"/>
              <w:insideH w:val="nil"/>
              <w:insideV w:val="nil"/>
            </w:tcBorders>
            <w:tcMar>
              <w:top w:w="40" w:type="dxa"/>
              <w:left w:w="80" w:type="dxa"/>
              <w:bottom w:w="40" w:type="dxa"/>
              <w:right w:w="80" w:type="dxa"/>
            </w:tcMar>
          </w:tcPr>
          <w:p w14:paraId="3040D8CD" w14:textId="77777777" w:rsidR="009262C4" w:rsidRDefault="00000000">
            <w:pPr>
              <w:spacing w:after="40" w:line="240" w:lineRule="auto"/>
              <w:jc w:val="left"/>
            </w:pPr>
            <w:r>
              <w:rPr>
                <w:rFonts w:ascii="Palatino Linotype" w:hAnsi="Palatino Linotype" w:cs="Palatino Linotype"/>
                <w:color w:val="000000"/>
                <w:sz w:val="19"/>
                <w:szCs w:val="17"/>
              </w:rPr>
              <w:t>Time is enforced in the decision through the credential rather than the consent, which is why Req 5 is graded Yes, but the consent itself carries no enforced validity window, and there is no multi-party approval.</w:t>
            </w:r>
          </w:p>
        </w:tc>
      </w:tr>
      <w:tr w:rsidR="009262C4" w14:paraId="1E32E58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AC6DE92"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1A557363" w14:textId="77777777" w:rsidR="009262C4" w:rsidRDefault="00000000">
            <w:pPr>
              <w:spacing w:after="40" w:line="240" w:lineRule="auto"/>
              <w:jc w:val="left"/>
            </w:pPr>
            <w:r>
              <w:rPr>
                <w:rFonts w:ascii="Palatino Linotype" w:hAnsi="Palatino Linotype" w:cs="Palatino Linotype"/>
                <w:color w:val="000000"/>
                <w:sz w:val="19"/>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nil"/>
              <w:left w:val="nil"/>
              <w:bottom w:val="nil"/>
              <w:right w:val="nil"/>
              <w:insideH w:val="nil"/>
              <w:insideV w:val="nil"/>
            </w:tcBorders>
            <w:tcMar>
              <w:top w:w="40" w:type="dxa"/>
              <w:left w:w="80" w:type="dxa"/>
              <w:bottom w:w="40" w:type="dxa"/>
              <w:right w:w="80" w:type="dxa"/>
            </w:tcMar>
          </w:tcPr>
          <w:p w14:paraId="5B386977" w14:textId="77777777" w:rsidR="009262C4" w:rsidRDefault="00000000">
            <w:pPr>
              <w:spacing w:after="40" w:line="240" w:lineRule="auto"/>
              <w:jc w:val="left"/>
            </w:pPr>
            <w:r>
              <w:rPr>
                <w:rFonts w:ascii="Palatino Linotype" w:hAnsi="Palatino Linotype" w:cs="Palatino Linotype"/>
                <w:color w:val="000000"/>
                <w:sz w:val="19"/>
                <w:szCs w:val="17"/>
              </w:rPr>
              <w:t>On the normal path a single patient key authorises, so multi-party approval is a contingency. Purpose and data-category policy are absent, revocation after delivery is not possible, and there is no formal assurance.</w:t>
            </w:r>
          </w:p>
        </w:tc>
      </w:tr>
      <w:tr w:rsidR="009262C4" w14:paraId="7ECAB45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19C4A15"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3964" w:type="dxa"/>
            <w:tcBorders>
              <w:top w:val="nil"/>
              <w:left w:val="nil"/>
              <w:bottom w:val="nil"/>
              <w:right w:val="nil"/>
              <w:insideH w:val="nil"/>
              <w:insideV w:val="nil"/>
            </w:tcBorders>
            <w:tcMar>
              <w:top w:w="40" w:type="dxa"/>
              <w:left w:w="80" w:type="dxa"/>
              <w:bottom w:w="40" w:type="dxa"/>
              <w:right w:w="80" w:type="dxa"/>
            </w:tcMar>
          </w:tcPr>
          <w:p w14:paraId="03D2B989" w14:textId="77777777" w:rsidR="009262C4" w:rsidRDefault="00000000">
            <w:pPr>
              <w:spacing w:after="40" w:line="240" w:lineRule="auto"/>
              <w:jc w:val="left"/>
            </w:pPr>
            <w:r>
              <w:rPr>
                <w:rFonts w:ascii="Palatino Linotype" w:hAnsi="Palatino Linotype" w:cs="Palatino Linotype"/>
                <w:color w:val="000000"/>
                <w:sz w:val="19"/>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nil"/>
              <w:left w:val="nil"/>
              <w:bottom w:val="nil"/>
              <w:right w:val="nil"/>
              <w:insideH w:val="nil"/>
              <w:insideV w:val="nil"/>
            </w:tcBorders>
            <w:tcMar>
              <w:top w:w="40" w:type="dxa"/>
              <w:left w:w="80" w:type="dxa"/>
              <w:bottom w:w="40" w:type="dxa"/>
              <w:right w:w="80" w:type="dxa"/>
            </w:tcMar>
          </w:tcPr>
          <w:p w14:paraId="46246F32" w14:textId="77777777" w:rsidR="009262C4" w:rsidRDefault="00000000">
            <w:pPr>
              <w:spacing w:after="40" w:line="240" w:lineRule="auto"/>
              <w:jc w:val="left"/>
            </w:pPr>
            <w:r>
              <w:rPr>
                <w:rFonts w:ascii="Palatino Linotype" w:hAnsi="Palatino Linotype" w:cs="Palatino Linotype"/>
                <w:color w:val="000000"/>
                <w:sz w:val="19"/>
                <w:szCs w:val="17"/>
              </w:rPr>
              <w:t>Policy and temporal conditions are not evaluated, and the proofs cover the threshold gate in isolation rather than the complete decision.</w:t>
            </w:r>
          </w:p>
        </w:tc>
      </w:tr>
      <w:tr w:rsidR="009262C4" w14:paraId="5206E4A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17666DF" w14:textId="77777777" w:rsidR="009262C4" w:rsidRDefault="00000000">
            <w:pPr>
              <w:spacing w:after="40" w:line="240" w:lineRule="auto"/>
              <w:jc w:val="left"/>
            </w:pPr>
            <w:r>
              <w:rPr>
                <w:rFonts w:ascii="Palatino Linotype" w:hAnsi="Palatino Linotype" w:cs="Palatino Linotype"/>
                <w:color w:val="000000"/>
                <w:sz w:val="19"/>
                <w:szCs w:val="17"/>
              </w:rPr>
              <w:lastRenderedPageBreak/>
              <w:t>S12 Mei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76554210" w14:textId="77777777" w:rsidR="009262C4" w:rsidRDefault="00000000">
            <w:pPr>
              <w:spacing w:after="40" w:line="240" w:lineRule="auto"/>
              <w:jc w:val="left"/>
            </w:pPr>
            <w:r>
              <w:rPr>
                <w:rFonts w:ascii="Palatino Linotype" w:hAnsi="Palatino Linotype" w:cs="Palatino Linotype"/>
                <w:color w:val="000000"/>
                <w:sz w:val="19"/>
                <w:szCs w:val="17"/>
              </w:rPr>
              <w:t>An efficient dual-revocation CP-ABE scheme for IoMT that terminates access immediately through ciphertext update, motivated by consent withdrawal, with a security reduction under q-BDHE.</w:t>
            </w:r>
          </w:p>
        </w:tc>
        <w:tc>
          <w:tcPr>
            <w:tcW w:w="3964" w:type="dxa"/>
            <w:tcBorders>
              <w:top w:val="nil"/>
              <w:left w:val="nil"/>
              <w:bottom w:val="nil"/>
              <w:right w:val="nil"/>
              <w:insideH w:val="nil"/>
              <w:insideV w:val="nil"/>
            </w:tcBorders>
            <w:tcMar>
              <w:top w:w="40" w:type="dxa"/>
              <w:left w:w="80" w:type="dxa"/>
              <w:bottom w:w="40" w:type="dxa"/>
              <w:right w:w="80" w:type="dxa"/>
            </w:tcMar>
          </w:tcPr>
          <w:p w14:paraId="3FD463D6" w14:textId="77777777" w:rsidR="009262C4" w:rsidRDefault="00000000">
            <w:pPr>
              <w:spacing w:after="40" w:line="240" w:lineRule="auto"/>
              <w:jc w:val="left"/>
            </w:pPr>
            <w:r>
              <w:rPr>
                <w:rFonts w:ascii="Palatino Linotype" w:hAnsi="Palatino Linotype" w:cs="Palatino Linotype"/>
                <w:color w:val="000000"/>
                <w:sz w:val="19"/>
                <w:szCs w:val="17"/>
              </w:rPr>
              <w:t>The proof covers a static encryption predicate, revocation operates at scheme level rather than on a consent object, and there is no multi-party approval.</w:t>
            </w:r>
          </w:p>
        </w:tc>
      </w:tr>
      <w:tr w:rsidR="009262C4" w14:paraId="2BD7AB8C"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D7FBC2D"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86309CD"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nil"/>
              <w:left w:val="nil"/>
              <w:bottom w:val="nil"/>
              <w:right w:val="nil"/>
              <w:insideH w:val="nil"/>
              <w:insideV w:val="nil"/>
            </w:tcBorders>
            <w:tcMar>
              <w:top w:w="40" w:type="dxa"/>
              <w:left w:w="80" w:type="dxa"/>
              <w:bottom w:w="40" w:type="dxa"/>
              <w:right w:w="80" w:type="dxa"/>
            </w:tcMar>
          </w:tcPr>
          <w:p w14:paraId="6A7BD643" w14:textId="77777777" w:rsidR="009262C4" w:rsidRDefault="00000000">
            <w:pPr>
              <w:spacing w:after="40" w:line="240" w:lineRule="auto"/>
              <w:jc w:val="left"/>
            </w:pPr>
            <w:r>
              <w:rPr>
                <w:rFonts w:ascii="Palatino Linotype" w:hAnsi="Palatino Linotype" w:cs="Palatino Linotype"/>
                <w:color w:val="000000"/>
                <w:sz w:val="19"/>
                <w:szCs w:val="17"/>
              </w:rPr>
              <w:t>A simulated single-node prototype with set-membership policy and aggregate deny attribution, without multi-party approval or identity depth, and the authors declare no formal assurance.</w:t>
            </w:r>
          </w:p>
        </w:tc>
      </w:tr>
      <w:tr w:rsidR="009262C4" w14:paraId="16E9616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BDCE038"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3964" w:type="dxa"/>
            <w:tcBorders>
              <w:top w:val="nil"/>
              <w:left w:val="nil"/>
              <w:bottom w:val="nil"/>
              <w:right w:val="nil"/>
              <w:insideH w:val="nil"/>
              <w:insideV w:val="nil"/>
            </w:tcBorders>
            <w:tcMar>
              <w:top w:w="40" w:type="dxa"/>
              <w:left w:w="80" w:type="dxa"/>
              <w:bottom w:w="40" w:type="dxa"/>
              <w:right w:w="80" w:type="dxa"/>
            </w:tcMar>
          </w:tcPr>
          <w:p w14:paraId="33928D53" w14:textId="77777777" w:rsidR="009262C4" w:rsidRDefault="00000000">
            <w:pPr>
              <w:spacing w:after="40" w:line="240" w:lineRule="auto"/>
              <w:jc w:val="left"/>
            </w:pPr>
            <w:r>
              <w:rPr>
                <w:rFonts w:ascii="Palatino Linotype" w:hAnsi="Palatino Linotype" w:cs="Palatino Linotype"/>
                <w:color w:val="000000"/>
                <w:sz w:val="19"/>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nil"/>
              <w:left w:val="nil"/>
              <w:bottom w:val="nil"/>
              <w:right w:val="nil"/>
              <w:insideH w:val="nil"/>
              <w:insideV w:val="nil"/>
            </w:tcBorders>
            <w:tcMar>
              <w:top w:w="40" w:type="dxa"/>
              <w:left w:w="80" w:type="dxa"/>
              <w:bottom w:w="40" w:type="dxa"/>
              <w:right w:w="80" w:type="dxa"/>
            </w:tcMar>
          </w:tcPr>
          <w:p w14:paraId="18447FD9" w14:textId="77777777" w:rsidR="009262C4" w:rsidRDefault="00000000">
            <w:pPr>
              <w:spacing w:after="40" w:line="240" w:lineRule="auto"/>
              <w:jc w:val="left"/>
            </w:pPr>
            <w:r>
              <w:rPr>
                <w:rFonts w:ascii="Palatino Linotype" w:hAnsi="Palatino Linotype" w:cs="Palatino Linotype"/>
                <w:color w:val="000000"/>
                <w:sz w:val="19"/>
                <w:szCs w:val="17"/>
              </w:rPr>
              <w:t>A single patient grants consent, the stored expiry is not checked, purpose is handled only at the interface, and there is no threat model.</w:t>
            </w:r>
          </w:p>
        </w:tc>
      </w:tr>
      <w:tr w:rsidR="009262C4" w14:paraId="4AD8C81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2498CE6"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2AAF120C" w14:textId="77777777" w:rsidR="009262C4" w:rsidRDefault="00000000">
            <w:pPr>
              <w:spacing w:after="40" w:line="240" w:lineRule="auto"/>
              <w:jc w:val="left"/>
            </w:pPr>
            <w:r>
              <w:rPr>
                <w:rFonts w:ascii="Palatino Linotype" w:hAnsi="Palatino Linotype" w:cs="Palatino Linotype"/>
                <w:color w:val="000000"/>
                <w:sz w:val="19"/>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nil"/>
              <w:left w:val="nil"/>
              <w:bottom w:val="nil"/>
              <w:right w:val="nil"/>
              <w:insideH w:val="nil"/>
              <w:insideV w:val="nil"/>
            </w:tcBorders>
            <w:tcMar>
              <w:top w:w="40" w:type="dxa"/>
              <w:left w:w="80" w:type="dxa"/>
              <w:bottom w:w="40" w:type="dxa"/>
              <w:right w:w="80" w:type="dxa"/>
            </w:tcMar>
          </w:tcPr>
          <w:p w14:paraId="19541C92" w14:textId="77777777" w:rsidR="009262C4" w:rsidRDefault="00000000">
            <w:pPr>
              <w:spacing w:after="40" w:line="240" w:lineRule="auto"/>
              <w:jc w:val="left"/>
            </w:pPr>
            <w:r>
              <w:rPr>
                <w:rFonts w:ascii="Palatino Linotype" w:hAnsi="Palatino Linotype" w:cs="Palatino Linotype"/>
                <w:color w:val="000000"/>
                <w:sz w:val="19"/>
                <w:szCs w:val="17"/>
              </w:rPr>
              <w:t>The architecture is design-only and is neither implemented nor evaluated, and delegation through VCs is not joint multi-party approval.</w:t>
            </w:r>
          </w:p>
        </w:tc>
      </w:tr>
      <w:tr w:rsidR="009262C4" w14:paraId="40B94E7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980AC8F"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5868EF78" w14:textId="77777777" w:rsidR="009262C4" w:rsidRDefault="00000000">
            <w:pPr>
              <w:spacing w:after="40" w:line="240" w:lineRule="auto"/>
              <w:jc w:val="left"/>
            </w:pPr>
            <w:r>
              <w:rPr>
                <w:rFonts w:ascii="Palatino Linotype" w:hAnsi="Palatino Linotype" w:cs="Palatino Linotype"/>
                <w:color w:val="000000"/>
                <w:sz w:val="19"/>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nil"/>
              <w:left w:val="nil"/>
              <w:bottom w:val="nil"/>
              <w:right w:val="nil"/>
              <w:insideH w:val="nil"/>
              <w:insideV w:val="nil"/>
            </w:tcBorders>
            <w:tcMar>
              <w:top w:w="40" w:type="dxa"/>
              <w:left w:w="80" w:type="dxa"/>
              <w:bottom w:w="40" w:type="dxa"/>
              <w:right w:w="80" w:type="dxa"/>
            </w:tcMar>
          </w:tcPr>
          <w:p w14:paraId="4CB7C2CF" w14:textId="77777777" w:rsidR="009262C4" w:rsidRDefault="00000000">
            <w:pPr>
              <w:spacing w:after="40" w:line="240" w:lineRule="auto"/>
              <w:jc w:val="left"/>
            </w:pPr>
            <w:r>
              <w:rPr>
                <w:rFonts w:ascii="Palatino Linotype" w:hAnsi="Palatino Linotype" w:cs="Palatino Linotype"/>
                <w:color w:val="000000"/>
                <w:sz w:val="19"/>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7A2266D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004588B"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1C58524" w14:textId="77777777" w:rsidR="009262C4" w:rsidRDefault="00000000">
            <w:pPr>
              <w:spacing w:after="40" w:line="240" w:lineRule="auto"/>
              <w:jc w:val="left"/>
            </w:pPr>
            <w:r>
              <w:rPr>
                <w:rFonts w:ascii="Palatino Linotype" w:hAnsi="Palatino Linotype" w:cs="Palatino Linotype"/>
                <w:color w:val="000000"/>
                <w:sz w:val="19"/>
                <w:szCs w:val="17"/>
              </w:rPr>
              <w:t>A blockchain-based service-oriented architecture on Hyperledger Fabric for consent management, access control, and auditing, in which FHIR purpose-of-use limits are evaluated per resource through XACML.</w:t>
            </w:r>
          </w:p>
        </w:tc>
        <w:tc>
          <w:tcPr>
            <w:tcW w:w="3964" w:type="dxa"/>
            <w:tcBorders>
              <w:top w:val="nil"/>
              <w:left w:val="nil"/>
              <w:bottom w:val="nil"/>
              <w:right w:val="nil"/>
              <w:insideH w:val="nil"/>
              <w:insideV w:val="nil"/>
            </w:tcBorders>
            <w:tcMar>
              <w:top w:w="40" w:type="dxa"/>
              <w:left w:w="80" w:type="dxa"/>
              <w:bottom w:w="40" w:type="dxa"/>
              <w:right w:w="80" w:type="dxa"/>
            </w:tcMar>
          </w:tcPr>
          <w:p w14:paraId="71919C34" w14:textId="77777777" w:rsidR="009262C4" w:rsidRDefault="00000000">
            <w:pPr>
              <w:spacing w:after="40" w:line="240" w:lineRule="auto"/>
              <w:jc w:val="left"/>
            </w:pPr>
            <w:r>
              <w:rPr>
                <w:rFonts w:ascii="Palatino Linotype" w:hAnsi="Palatino Linotype" w:cs="Palatino Linotype"/>
                <w:color w:val="000000"/>
                <w:sz w:val="19"/>
                <w:szCs w:val="17"/>
              </w:rPr>
              <w:t>There is no withdrawal or expiry path, and the experiments validate only the blockchain component.</w:t>
            </w:r>
          </w:p>
        </w:tc>
      </w:tr>
      <w:tr w:rsidR="009262C4" w14:paraId="39EAAC8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4CFE19B"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60EC444" w14:textId="77777777" w:rsidR="009262C4" w:rsidRDefault="00000000">
            <w:pPr>
              <w:spacing w:after="40" w:line="240" w:lineRule="auto"/>
              <w:jc w:val="left"/>
            </w:pPr>
            <w:r>
              <w:rPr>
                <w:rFonts w:ascii="Palatino Linotype" w:hAnsi="Palatino Linotype" w:cs="Palatino Linotype"/>
                <w:color w:val="000000"/>
                <w:sz w:val="19"/>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nil"/>
              <w:left w:val="nil"/>
              <w:bottom w:val="nil"/>
              <w:right w:val="nil"/>
              <w:insideH w:val="nil"/>
              <w:insideV w:val="nil"/>
            </w:tcBorders>
            <w:tcMar>
              <w:top w:w="40" w:type="dxa"/>
              <w:left w:w="80" w:type="dxa"/>
              <w:bottom w:w="40" w:type="dxa"/>
              <w:right w:w="80" w:type="dxa"/>
            </w:tcMar>
          </w:tcPr>
          <w:p w14:paraId="7F8C06B8" w14:textId="77777777" w:rsidR="009262C4" w:rsidRDefault="00000000">
            <w:pPr>
              <w:spacing w:after="40" w:line="240" w:lineRule="auto"/>
              <w:jc w:val="left"/>
            </w:pPr>
            <w:r>
              <w:rPr>
                <w:rFonts w:ascii="Palatino Linotype" w:hAnsi="Palatino Linotype" w:cs="Palatino Linotype"/>
                <w:color w:val="000000"/>
                <w:sz w:val="19"/>
                <w:szCs w:val="17"/>
              </w:rPr>
              <w:t>Consent is issued from a single patient key, identity relies on a cloud authentication service without DID or VC, and assurance is limited to an adversary model.</w:t>
            </w:r>
          </w:p>
        </w:tc>
      </w:tr>
      <w:tr w:rsidR="009262C4" w14:paraId="0F4D8A9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AE91E8A"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C458520" w14:textId="77777777" w:rsidR="009262C4" w:rsidRDefault="00000000">
            <w:pPr>
              <w:spacing w:after="40" w:line="240" w:lineRule="auto"/>
              <w:jc w:val="left"/>
            </w:pPr>
            <w:r>
              <w:rPr>
                <w:rFonts w:ascii="Palatino Linotype" w:hAnsi="Palatino Linotype" w:cs="Palatino Linotype"/>
                <w:color w:val="000000"/>
                <w:sz w:val="19"/>
                <w:szCs w:val="17"/>
              </w:rPr>
              <w:t xml:space="preserve">The authentication and authorisation processes of the iAgree portal across three United States health systems, using OAuth2, SMART on FHIR, and one-time passwords, with a permissioned Ethereum audit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7210F32A" w14:textId="77777777" w:rsidR="009262C4" w:rsidRDefault="00000000">
            <w:pPr>
              <w:spacing w:after="40" w:line="240" w:lineRule="auto"/>
              <w:jc w:val="left"/>
            </w:pPr>
            <w:r>
              <w:rPr>
                <w:rFonts w:ascii="Palatino Linotype" w:hAnsi="Palatino Linotype" w:cs="Palatino Linotype"/>
                <w:color w:val="000000"/>
                <w:sz w:val="19"/>
                <w:szCs w:val="17"/>
              </w:rPr>
              <w:t>Consent enforcement is outside its scope, a single patient decides, identity and authority are not separated, revocation is claimed but not tested, and there are no formal methods.</w:t>
            </w:r>
          </w:p>
        </w:tc>
      </w:tr>
      <w:tr w:rsidR="009262C4" w14:paraId="3CF6A5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CCAB845"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780BFABE" w14:textId="77777777" w:rsidR="009262C4" w:rsidRDefault="00000000">
            <w:pPr>
              <w:spacing w:after="40" w:line="240" w:lineRule="auto"/>
              <w:jc w:val="left"/>
            </w:pPr>
            <w:r>
              <w:rPr>
                <w:rFonts w:ascii="Palatino Linotype" w:hAnsi="Palatino Linotype" w:cs="Palatino Linotype"/>
                <w:color w:val="000000"/>
                <w:sz w:val="19"/>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nil"/>
              <w:left w:val="nil"/>
              <w:bottom w:val="nil"/>
              <w:right w:val="nil"/>
              <w:insideH w:val="nil"/>
              <w:insideV w:val="nil"/>
            </w:tcBorders>
            <w:tcMar>
              <w:top w:w="40" w:type="dxa"/>
              <w:left w:w="80" w:type="dxa"/>
              <w:bottom w:w="40" w:type="dxa"/>
              <w:right w:w="80" w:type="dxa"/>
            </w:tcMar>
          </w:tcPr>
          <w:p w14:paraId="7E9F3664" w14:textId="77777777" w:rsidR="009262C4" w:rsidRDefault="00000000">
            <w:pPr>
              <w:spacing w:after="40" w:line="240" w:lineRule="auto"/>
              <w:jc w:val="left"/>
            </w:pPr>
            <w:r>
              <w:rPr>
                <w:rFonts w:ascii="Palatino Linotype" w:hAnsi="Palatino Linotype" w:cs="Palatino Linotype"/>
                <w:color w:val="000000"/>
                <w:sz w:val="19"/>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585FB14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D4251C1"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54473520" w14:textId="77777777" w:rsidR="009262C4" w:rsidRDefault="00000000">
            <w:pPr>
              <w:spacing w:after="40" w:line="240" w:lineRule="auto"/>
              <w:jc w:val="left"/>
            </w:pPr>
            <w:r>
              <w:rPr>
                <w:rFonts w:ascii="Palatino Linotype" w:hAnsi="Palatino Linotype" w:cs="Palatino Linotype"/>
                <w:color w:val="000000"/>
                <w:sz w:val="19"/>
                <w:szCs w:val="17"/>
              </w:rPr>
              <w:t xml:space="preserve">A purpose-based consent model on Hyperledger Fabric, in which a consent tuple of role, doctor identifiers, action, and intended purpose is matched against a purpose tree in chaincode at request time.</w:t>
            </w:r>
          </w:p>
        </w:tc>
        <w:tc>
          <w:tcPr>
            <w:tcW w:w="3964" w:type="dxa"/>
            <w:tcBorders>
              <w:top w:val="nil"/>
              <w:left w:val="nil"/>
              <w:bottom w:val="nil"/>
              <w:right w:val="nil"/>
              <w:insideH w:val="nil"/>
              <w:insideV w:val="nil"/>
            </w:tcBorders>
            <w:tcMar>
              <w:top w:w="40" w:type="dxa"/>
              <w:left w:w="80" w:type="dxa"/>
              <w:bottom w:w="40" w:type="dxa"/>
              <w:right w:w="80" w:type="dxa"/>
            </w:tcMar>
          </w:tcPr>
          <w:p w14:paraId="4ACDE890" w14:textId="77777777" w:rsidR="009262C4" w:rsidRDefault="00000000">
            <w:pPr>
              <w:spacing w:after="40" w:line="240" w:lineRule="auto"/>
              <w:jc w:val="left"/>
            </w:pPr>
            <w:r>
              <w:rPr>
                <w:rFonts w:ascii="Palatino Linotype" w:hAnsi="Palatino Linotype" w:cs="Palatino Linotype"/>
                <w:color w:val="000000"/>
                <w:sz w:val="19"/>
                <w:szCs w:val="17"/>
              </w:rPr>
              <w:t>Consent is given by a single patient, the tuple has no temporal element, the effect of withdrawal is not tested, identity uses Fabric certificates without DID or VC, and there is no formal verification.</w:t>
            </w:r>
          </w:p>
        </w:tc>
      </w:tr>
      <w:tr w:rsidR="009262C4" w14:paraId="1A4B068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A20F03E"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CAD799B" w14:textId="77777777" w:rsidR="009262C4" w:rsidRDefault="00000000">
            <w:pPr>
              <w:spacing w:after="40" w:line="240" w:lineRule="auto"/>
              <w:jc w:val="left"/>
            </w:pPr>
            <w:r>
              <w:rPr>
                <w:rFonts w:ascii="Palatino Linotype" w:hAnsi="Palatino Linotype" w:cs="Palatino Linotype"/>
                <w:color w:val="000000"/>
                <w:sz w:val="19"/>
                <w:szCs w:val="17"/>
              </w:rPr>
              <w:t xml:space="preserve">Ten years of the Mainzelliste production service for pseudonymisation, record linkage, and informed consent management, with purpose-scoped FHIR consent directives and automated consent checks.</w:t>
            </w:r>
          </w:p>
        </w:tc>
        <w:tc>
          <w:tcPr>
            <w:tcW w:w="3964" w:type="dxa"/>
            <w:tcBorders>
              <w:top w:val="nil"/>
              <w:left w:val="nil"/>
              <w:bottom w:val="nil"/>
              <w:right w:val="nil"/>
              <w:insideH w:val="nil"/>
              <w:insideV w:val="nil"/>
            </w:tcBorders>
            <w:tcMar>
              <w:top w:w="40" w:type="dxa"/>
              <w:left w:w="80" w:type="dxa"/>
              <w:bottom w:w="40" w:type="dxa"/>
              <w:right w:w="80" w:type="dxa"/>
            </w:tcMar>
          </w:tcPr>
          <w:p w14:paraId="761EE52E" w14:textId="77777777" w:rsidR="009262C4" w:rsidRDefault="00000000">
            <w:pPr>
              <w:spacing w:after="40" w:line="240" w:lineRule="auto"/>
              <w:jc w:val="left"/>
            </w:pPr>
            <w:r>
              <w:rPr>
                <w:rFonts w:ascii="Palatino Linotype" w:hAnsi="Palatino Linotype" w:cs="Palatino Linotype"/>
                <w:color w:val="000000"/>
                <w:sz w:val="19"/>
                <w:szCs w:val="17"/>
              </w:rPr>
              <w:t>The consent checks have no specified semantics and no demonstrated enforcement of withdrawal, its multi-party computation parties are linkage units rather than authorisers, and no consent decision is verified.</w:t>
            </w:r>
          </w:p>
        </w:tc>
      </w:tr>
      <w:tr w:rsidR="009262C4" w14:paraId="277E828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B473E57"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072F77C2" w14:textId="77777777" w:rsidR="009262C4" w:rsidRDefault="00000000">
            <w:pPr>
              <w:spacing w:after="40" w:line="240" w:lineRule="auto"/>
              <w:jc w:val="left"/>
            </w:pPr>
            <w:r>
              <w:rPr>
                <w:rFonts w:ascii="Palatino Linotype" w:hAnsi="Palatino Linotype" w:cs="Palatino Linotype"/>
                <w:color w:val="000000"/>
                <w:sz w:val="19"/>
                <w:szCs w:val="17"/>
              </w:rPr>
              <w:t>EMR-Chain, a decentralised electronic medical record exchange that verifies authority-issued roles separately from X.509 identities and enforces token expiry at the validator.</w:t>
            </w:r>
          </w:p>
        </w:tc>
        <w:tc>
          <w:tcPr>
            <w:tcW w:w="3964" w:type="dxa"/>
            <w:tcBorders>
              <w:top w:val="nil"/>
              <w:left w:val="nil"/>
              <w:bottom w:val="nil"/>
              <w:right w:val="nil"/>
              <w:insideH w:val="nil"/>
              <w:insideV w:val="nil"/>
            </w:tcBorders>
            <w:tcMar>
              <w:top w:w="40" w:type="dxa"/>
              <w:left w:w="80" w:type="dxa"/>
              <w:bottom w:w="40" w:type="dxa"/>
              <w:right w:w="80" w:type="dxa"/>
            </w:tcMar>
          </w:tcPr>
          <w:p w14:paraId="43121363" w14:textId="77777777" w:rsidR="009262C4" w:rsidRDefault="00000000">
            <w:pPr>
              <w:spacing w:after="40" w:line="240" w:lineRule="auto"/>
              <w:jc w:val="left"/>
            </w:pPr>
            <w:r>
              <w:rPr>
                <w:rFonts w:ascii="Palatino Linotype" w:hAnsi="Palatino Linotype" w:cs="Palatino Linotype"/>
                <w:color w:val="000000"/>
                <w:sz w:val="19"/>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59D651E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B61318E"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3964" w:type="dxa"/>
            <w:tcBorders>
              <w:top w:val="nil"/>
              <w:left w:val="nil"/>
              <w:bottom w:val="nil"/>
              <w:right w:val="nil"/>
              <w:insideH w:val="nil"/>
              <w:insideV w:val="nil"/>
            </w:tcBorders>
            <w:tcMar>
              <w:top w:w="40" w:type="dxa"/>
              <w:left w:w="80" w:type="dxa"/>
              <w:bottom w:w="40" w:type="dxa"/>
              <w:right w:w="80" w:type="dxa"/>
            </w:tcMar>
          </w:tcPr>
          <w:p w14:paraId="1AB6F240" w14:textId="77777777" w:rsidR="009262C4" w:rsidRDefault="00000000">
            <w:pPr>
              <w:spacing w:after="40" w:line="240" w:lineRule="auto"/>
              <w:jc w:val="left"/>
            </w:pPr>
            <w:r>
              <w:rPr>
                <w:rFonts w:ascii="Palatino Linotype" w:hAnsi="Palatino Linotype" w:cs="Palatino Linotype"/>
                <w:color w:val="000000"/>
                <w:sz w:val="19"/>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nil"/>
              <w:left w:val="nil"/>
              <w:bottom w:val="nil"/>
              <w:right w:val="nil"/>
              <w:insideH w:val="nil"/>
              <w:insideV w:val="nil"/>
            </w:tcBorders>
            <w:tcMar>
              <w:top w:w="40" w:type="dxa"/>
              <w:left w:w="80" w:type="dxa"/>
              <w:bottom w:w="40" w:type="dxa"/>
              <w:right w:w="80" w:type="dxa"/>
            </w:tcMar>
          </w:tcPr>
          <w:p w14:paraId="777836AC" w14:textId="77777777" w:rsidR="009262C4" w:rsidRDefault="00000000">
            <w:pPr>
              <w:spacing w:after="40" w:line="240" w:lineRule="auto"/>
              <w:jc w:val="left"/>
            </w:pPr>
            <w:r>
              <w:rPr>
                <w:rFonts w:ascii="Palatino Linotype" w:hAnsi="Palatino Linotype" w:cs="Palatino Linotype"/>
                <w:color w:val="000000"/>
                <w:sz w:val="19"/>
                <w:szCs w:val="17"/>
              </w:rPr>
              <w:t>The consent grant is unilateral, the voters are institution-side investigators, the vote reduces to a hash-integrity check, there is no policy engine, and there is no formal assurance.</w:t>
            </w:r>
          </w:p>
        </w:tc>
      </w:tr>
      <w:tr w:rsidR="009262C4" w14:paraId="292C28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E100613" w14:textId="77777777" w:rsidR="009262C4" w:rsidRDefault="00000000">
            <w:pPr>
              <w:spacing w:after="40" w:line="240" w:lineRule="auto"/>
              <w:jc w:val="left"/>
            </w:pPr>
            <w:r>
              <w:rPr>
                <w:rFonts w:ascii="Palatino Linotype" w:hAnsi="Palatino Linotype" w:cs="Palatino Linotype"/>
                <w:color w:val="000000"/>
                <w:sz w:val="19"/>
                <w:szCs w:val="17"/>
              </w:rPr>
              <w:lastRenderedPageBreak/>
              <w:t>S25 Wu and Zhang (2025)</w:t>
            </w:r>
          </w:p>
        </w:tc>
        <w:tc>
          <w:tcPr>
            <w:tcW w:w="3964" w:type="dxa"/>
            <w:tcBorders>
              <w:top w:val="nil"/>
              <w:left w:val="nil"/>
              <w:bottom w:val="nil"/>
              <w:right w:val="nil"/>
              <w:insideH w:val="nil"/>
              <w:insideV w:val="nil"/>
            </w:tcBorders>
            <w:tcMar>
              <w:top w:w="40" w:type="dxa"/>
              <w:left w:w="80" w:type="dxa"/>
              <w:bottom w:w="40" w:type="dxa"/>
              <w:right w:w="80" w:type="dxa"/>
            </w:tcMar>
          </w:tcPr>
          <w:p w14:paraId="17C5B882" w14:textId="77777777" w:rsidR="009262C4" w:rsidRDefault="00000000">
            <w:pPr>
              <w:spacing w:after="40" w:line="240" w:lineRule="auto"/>
              <w:jc w:val="left"/>
            </w:pPr>
            <w:r>
              <w:rPr>
                <w:rFonts w:ascii="Palatino Linotype" w:hAnsi="Palatino Linotype" w:cs="Palatino Linotype"/>
                <w:color w:val="000000"/>
                <w:sz w:val="19"/>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nil"/>
              <w:left w:val="nil"/>
              <w:bottom w:val="nil"/>
              <w:right w:val="nil"/>
              <w:insideH w:val="nil"/>
              <w:insideV w:val="nil"/>
            </w:tcBorders>
            <w:tcMar>
              <w:top w:w="40" w:type="dxa"/>
              <w:left w:w="80" w:type="dxa"/>
              <w:bottom w:w="40" w:type="dxa"/>
              <w:right w:w="80" w:type="dxa"/>
            </w:tcMar>
          </w:tcPr>
          <w:p w14:paraId="17441025" w14:textId="77777777" w:rsidR="009262C4" w:rsidRDefault="00000000">
            <w:pPr>
              <w:spacing w:after="40" w:line="240" w:lineRule="auto"/>
              <w:jc w:val="left"/>
            </w:pPr>
            <w:r>
              <w:rPr>
                <w:rFonts w:ascii="Palatino Linotype" w:hAnsi="Palatino Linotype" w:cs="Palatino Linotype"/>
                <w:color w:val="000000"/>
                <w:sz w:val="19"/>
                <w:szCs w:val="17"/>
              </w:rPr>
              <w:t>The proofs cover only the identity and authority fragment, multi-party refers to the privacy requirements of several stakeholders rather than joint approval, and there are no policy, temporal, or lifecycle conditions.</w:t>
            </w:r>
          </w:p>
        </w:tc>
      </w:tr>
    </w:tbl>
    <w:p w14:paraId="1E24D26E" w14:textId="77777777" w:rsidR="009262C4" w:rsidRDefault="009262C4">
      <w:pPr>
        <w:spacing w:after="160"/>
      </w:pP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 xml:space="preserve">Table 2.4: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spacing w:after="40" w:line="240" w:lineRule="auto"/>
              <w:jc w:val="left"/>
            </w:pPr>
            <w:r>
              <w:rPr>
                <w:rFonts w:ascii="Palatino Linotype" w:hAnsi="Palatino Linotype" w:cs="Palatino Linotype"/>
                <w:b/>
                <w:bCs/>
                <w:color w:val="000000"/>
                <w:sz w:val="19"/>
                <w:szCs w:val="17"/>
              </w:rPr>
              <w:t>Req 1</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spacing w:after="40" w:line="240" w:lineRule="auto"/>
              <w:jc w:val="left"/>
            </w:pPr>
            <w:r>
              <w:rPr>
                <w:rFonts w:ascii="Palatino Linotype" w:hAnsi="Palatino Linotype" w:cs="Palatino Linotype"/>
                <w:b/>
                <w:bCs/>
                <w:color w:val="000000"/>
                <w:sz w:val="19"/>
                <w:szCs w:val="17"/>
              </w:rPr>
              <w:t>Req 2</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spacing w:after="40" w:line="240" w:lineRule="auto"/>
              <w:jc w:val="left"/>
            </w:pPr>
            <w:r>
              <w:rPr>
                <w:rFonts w:ascii="Palatino Linotype" w:hAnsi="Palatino Linotype" w:cs="Palatino Linotype"/>
                <w:b/>
                <w:bCs/>
                <w:color w:val="000000"/>
                <w:sz w:val="19"/>
                <w:szCs w:val="17"/>
              </w:rPr>
              <w:t>Req 3</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spacing w:after="40" w:line="240" w:lineRule="auto"/>
              <w:jc w:val="left"/>
            </w:pPr>
            <w:r>
              <w:rPr>
                <w:rFonts w:ascii="Palatino Linotype" w:hAnsi="Palatino Linotype" w:cs="Palatino Linotype"/>
                <w:b/>
                <w:bCs/>
                <w:color w:val="000000"/>
                <w:sz w:val="19"/>
                <w:szCs w:val="17"/>
              </w:rPr>
              <w:t>Req 4</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spacing w:after="40" w:line="240" w:lineRule="auto"/>
              <w:jc w:val="left"/>
            </w:pPr>
            <w:r>
              <w:rPr>
                <w:rFonts w:ascii="Palatino Linotype" w:hAnsi="Palatino Linotype" w:cs="Palatino Linotype"/>
                <w:b/>
                <w:bCs/>
                <w:color w:val="000000"/>
                <w:sz w:val="19"/>
                <w:szCs w:val="17"/>
              </w:rPr>
              <w:t>Req 5</w:t>
            </w:r>
          </w:p>
        </w:tc>
        <w:tc>
          <w:tcPr>
            <w:tcW w:w="1133"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1131"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1131"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1131"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1131"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1131"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1131"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1131"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Table 2.5 in 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 addressed by the proposed framework, with the number of the 25 analysed studies graded Yes for each requirement in Table 2.4.</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in progress or partially completed will be completed in the next stage.</w:t>
      </w:r>
    </w:p>
    <w:p w14:paraId="2F3EC740" w14:textId="77777777" w:rsidR="009262C4" w:rsidRDefault="00000000">
      <w:pPr>
        <w:keepNext/>
        <w:spacing w:before="160" w:after="160"/>
        <w:jc w:val="center"/>
      </w:pPr>
      <w:r>
        <w:rPr>
          <w:b/>
          <w:bCs/>
          <w:sz w:val="20"/>
          <w:szCs w:val="18"/>
        </w:rPr>
        <w:t xml:space="preserve">Table 2.5: </w:t>
      </w:r>
      <w:r>
        <w:rPr>
          <w:sz w:val="20"/>
          <w:szCs w:val="18"/>
        </w:rPr>
        <w:t>How the proposed framework addresses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67BFD570" w14:textId="77777777">
        <w:trPr>
          <w:cantSplit/>
          <w:tblHeader/>
        </w:trPr>
        <w:tc>
          <w:tcPr>
            <w:tcW w:w="1350" w:type="dxa"/>
            <w:tcBorders>
              <w:top w:val="nil"/>
              <w:left w:val="nil"/>
              <w:bottom w:val="single" w:sz="6" w:color="000000" w:space="0"/>
              <w:right w:val="nil"/>
              <w:insideH w:val="nil"/>
              <w:insideV w:val="nil"/>
            </w:tcBorders>
            <w:tcMar>
              <w:top w:w="40" w:type="dxa"/>
              <w:left w:w="80" w:type="dxa"/>
              <w:bottom w:w="40" w:type="dxa"/>
              <w:right w:w="80" w:type="dxa"/>
            </w:tcMar>
          </w:tcPr>
          <w:p w14:paraId="166EBE1D" w14:textId="77777777" w:rsidR="009262C4" w:rsidRDefault="00000000">
            <w:pPr>
              <w:spacing w:after="40" w:line="240" w:lineRule="auto"/>
              <w:jc w:val="left"/>
            </w:pPr>
            <w:r>
              <w:rPr>
                <w:rFonts w:ascii="Palatino Linotype" w:hAnsi="Palatino Linotype" w:cs="Palatino Linotype"/>
                <w:b/>
                <w:bCs/>
                <w:color w:val="000000"/>
                <w:sz w:val="19"/>
                <w:szCs w:val="17"/>
              </w:rPr>
              <w:t>Requirement</w:t>
            </w:r>
          </w:p>
        </w:tc>
        <w:tc>
          <w:tcPr>
            <w:tcW w:w="4478" w:type="dxa"/>
            <w:tcBorders>
              <w:top w:val="nil"/>
              <w:left w:val="nil"/>
              <w:bottom w:val="single" w:sz="6" w:color="000000" w:space="0"/>
              <w:right w:val="nil"/>
              <w:insideH w:val="nil"/>
              <w:insideV w:val="nil"/>
            </w:tcBorders>
            <w:tcMar>
              <w:top w:w="40" w:type="dxa"/>
              <w:left w:w="80" w:type="dxa"/>
              <w:bottom w:w="40" w:type="dxa"/>
              <w:right w:w="80" w:type="dxa"/>
            </w:tcMar>
          </w:tcPr>
          <w:p w14:paraId="31802C89" w14:textId="77777777" w:rsidR="009262C4" w:rsidRDefault="00000000">
            <w:pPr>
              <w:spacing w:after="40" w:line="240" w:lineRule="auto"/>
              <w:jc w:val="left"/>
            </w:pPr>
            <w:r>
              <w:rPr>
                <w:rFonts w:ascii="Palatino Linotype" w:hAnsi="Palatino Linotype" w:cs="Palatino Linotype"/>
                <w:b/>
                <w:bCs/>
                <w:color w:val="000000"/>
                <w:sz w:val="19"/>
                <w:szCs w:val="17"/>
              </w:rPr>
              <w:t>How the proposed framework (HALAH) addresses it</w:t>
            </w:r>
          </w:p>
        </w:tc>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D3960FC" w14:textId="77777777" w:rsidR="009262C4" w:rsidRDefault="00000000">
            <w:pPr>
              <w:spacing w:after="40" w:line="240" w:lineRule="auto"/>
              <w:jc w:val="left"/>
            </w:pPr>
            <w:r>
              <w:rPr>
                <w:rFonts w:ascii="Palatino Linotype" w:hAnsi="Palatino Linotype" w:cs="Palatino Linotype"/>
                <w:b/>
                <w:bCs/>
                <w:color w:val="000000"/>
                <w:sz w:val="19"/>
                <w:szCs w:val="17"/>
              </w:rPr>
              <w:t>Objective</w:t>
            </w:r>
          </w:p>
        </w:tc>
        <w:tc>
          <w:tcPr>
            <w:tcW w:w="1800" w:type="dxa"/>
            <w:tcBorders>
              <w:top w:val="nil"/>
              <w:left w:val="nil"/>
              <w:bottom w:val="single" w:sz="6" w:color="000000" w:space="0"/>
              <w:right w:val="nil"/>
              <w:insideH w:val="nil"/>
              <w:insideV w:val="nil"/>
            </w:tcBorders>
            <w:tcMar>
              <w:top w:w="40" w:type="dxa"/>
              <w:left w:w="80" w:type="dxa"/>
              <w:bottom w:w="40" w:type="dxa"/>
              <w:right w:w="80" w:type="dxa"/>
            </w:tcMar>
          </w:tcPr>
          <w:p w14:paraId="3D4A5586" w14:textId="77777777" w:rsidR="009262C4" w:rsidRDefault="00000000">
            <w:pPr>
              <w:spacing w:after="40" w:line="240" w:lineRule="auto"/>
              <w:jc w:val="left"/>
            </w:pPr>
            <w:r>
              <w:rPr>
                <w:rFonts w:ascii="Palatino Linotype" w:hAnsi="Palatino Linotype" w:cs="Palatino Linotype"/>
                <w:b/>
                <w:bCs/>
                <w:color w:val="000000"/>
                <w:sz w:val="19"/>
                <w:szCs w:val="17"/>
              </w:rPr>
              <w:t>Status</w:t>
            </w:r>
          </w:p>
        </w:tc>
      </w:tr>
      <w:tr w:rsidR="009262C4" w14:paraId="6F4964BE"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56C08C6" w14:textId="77777777" w:rsidR="009262C4" w:rsidRDefault="00000000">
            <w:pPr>
              <w:spacing w:after="40" w:line="240" w:lineRule="auto"/>
              <w:jc w:val="left"/>
            </w:pPr>
            <w:r>
              <w:rPr>
                <w:rFonts w:ascii="Palatino Linotype" w:hAnsi="Palatino Linotype" w:cs="Palatino Linotype"/>
                <w:color w:val="000000"/>
                <w:sz w:val="19"/>
                <w:szCs w:val="17"/>
              </w:rPr>
              <w:t>Req 1</w:t>
            </w:r>
          </w:p>
        </w:tc>
        <w:tc>
          <w:tcPr>
            <w:tcW w:w="4478" w:type="dxa"/>
            <w:tcBorders>
              <w:top w:val="nil"/>
              <w:left w:val="nil"/>
              <w:bottom w:val="nil"/>
              <w:right w:val="nil"/>
              <w:insideH w:val="nil"/>
              <w:insideV w:val="nil"/>
            </w:tcBorders>
            <w:tcMar>
              <w:top w:w="40" w:type="dxa"/>
              <w:left w:w="80" w:type="dxa"/>
              <w:bottom w:w="40" w:type="dxa"/>
              <w:right w:w="80" w:type="dxa"/>
            </w:tcMar>
          </w:tcPr>
          <w:p w14:paraId="5C995AA9" w14:textId="77777777" w:rsidR="009262C4" w:rsidRDefault="00000000">
            <w:pPr>
              <w:spacing w:after="40" w:line="240" w:lineRule="auto"/>
              <w:jc w:val="left"/>
            </w:pPr>
            <w:r>
              <w:rPr>
                <w:rFonts w:ascii="Palatino Linotype" w:hAnsi="Palatino Linotype" w:cs="Palatino Linotype"/>
                <w:color w:val="000000"/>
                <w:sz w:val="19"/>
                <w:szCs w:val="17"/>
              </w:rPr>
              <w:t>Consent is represented as the evaluable object C = (I, A, P, T, L, E), created through Algorithm 1 and evaluated at every access request.</w:t>
            </w:r>
          </w:p>
        </w:tc>
        <w:tc>
          <w:tcPr>
            <w:tcW w:w="1500" w:type="dxa"/>
            <w:tcBorders>
              <w:top w:val="nil"/>
              <w:left w:val="nil"/>
              <w:bottom w:val="nil"/>
              <w:right w:val="nil"/>
              <w:insideH w:val="nil"/>
              <w:insideV w:val="nil"/>
            </w:tcBorders>
            <w:tcMar>
              <w:top w:w="40" w:type="dxa"/>
              <w:left w:w="80" w:type="dxa"/>
              <w:bottom w:w="40" w:type="dxa"/>
              <w:right w:w="80" w:type="dxa"/>
            </w:tcMar>
          </w:tcPr>
          <w:p w14:paraId="0237F138" w14:textId="77777777" w:rsidR="009262C4" w:rsidRDefault="00000000">
            <w:pPr>
              <w:spacing w:after="40" w:line="240" w:lineRule="auto"/>
              <w:jc w:val="left"/>
            </w:pPr>
            <w:r>
              <w:rPr>
                <w:rFonts w:ascii="Palatino Linotype" w:hAnsi="Palatino Linotype" w:cs="Palatino Linotype"/>
                <w:color w:val="000000"/>
                <w:sz w:val="19"/>
                <w:szCs w:val="17"/>
              </w:rPr>
              <w:t>RO1 (Section 6)</w:t>
            </w:r>
          </w:p>
        </w:tc>
        <w:tc>
          <w:tcPr>
            <w:tcW w:w="1800" w:type="dxa"/>
            <w:tcBorders>
              <w:top w:val="nil"/>
              <w:left w:val="nil"/>
              <w:bottom w:val="nil"/>
              <w:right w:val="nil"/>
              <w:insideH w:val="nil"/>
              <w:insideV w:val="nil"/>
            </w:tcBorders>
            <w:tcMar>
              <w:top w:w="40" w:type="dxa"/>
              <w:left w:w="80" w:type="dxa"/>
              <w:bottom w:w="40" w:type="dxa"/>
              <w:right w:w="80" w:type="dxa"/>
            </w:tcMar>
          </w:tcPr>
          <w:p w14:paraId="372DB36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43901F3F"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6DAABF70" w14:textId="77777777" w:rsidR="009262C4" w:rsidRDefault="00000000">
            <w:pPr>
              <w:spacing w:after="40" w:line="240" w:lineRule="auto"/>
              <w:jc w:val="left"/>
            </w:pPr>
            <w:r>
              <w:rPr>
                <w:rFonts w:ascii="Palatino Linotype" w:hAnsi="Palatino Linotype" w:cs="Palatino Linotype"/>
                <w:color w:val="000000"/>
                <w:sz w:val="19"/>
                <w:szCs w:val="17"/>
              </w:rPr>
              <w:t>Req 2</w:t>
            </w:r>
          </w:p>
        </w:tc>
        <w:tc>
          <w:tcPr>
            <w:tcW w:w="4478" w:type="dxa"/>
            <w:tcBorders>
              <w:top w:val="nil"/>
              <w:left w:val="nil"/>
              <w:bottom w:val="nil"/>
              <w:right w:val="nil"/>
              <w:insideH w:val="nil"/>
              <w:insideV w:val="nil"/>
            </w:tcBorders>
            <w:tcMar>
              <w:top w:w="40" w:type="dxa"/>
              <w:left w:w="80" w:type="dxa"/>
              <w:bottom w:w="40" w:type="dxa"/>
              <w:right w:w="80" w:type="dxa"/>
            </w:tcMar>
          </w:tcPr>
          <w:p w14:paraId="4A7F139D" w14:textId="77777777" w:rsidR="009262C4" w:rsidRDefault="00000000">
            <w:pPr>
              <w:spacing w:after="40" w:line="240" w:lineRule="auto"/>
              <w:jc w:val="left"/>
            </w:pPr>
            <w:r>
              <w:rPr>
                <w:rFonts w:ascii="Palatino Linotype" w:hAnsi="Palatino Linotype" w:cs="Palatino Linotype"/>
                <w:color w:val="000000"/>
                <w:sz w:val="19"/>
                <w:szCs w:val="17"/>
              </w:rPr>
              <w:t>DID and VC verification separates identity from authority and is evaluated as V</w:t>
            </w:r>
            <w:r>
              <w:rPr>
                <w:rFonts w:ascii="Palatino Linotype" w:hAnsi="Palatino Linotype" w:cs="Palatino Linotype"/>
                <w:color w:val="000000"/>
                <w:sz w:val="19"/>
                <w:szCs w:val="17"/>
                <w:vertAlign w:val="subscript"/>
              </w:rPr>
              <w:t>I</w:t>
            </w:r>
            <w:r>
              <w:rPr>
                <w:rFonts w:ascii="Palatino Linotype" w:hAnsi="Palatino Linotype" w:cs="Palatino Linotype"/>
                <w:color w:val="000000"/>
                <w:sz w:val="19"/>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0820457B" w14:textId="77777777" w:rsidR="009262C4" w:rsidRDefault="00000000">
            <w:pPr>
              <w:spacing w:after="40" w:line="240" w:lineRule="auto"/>
              <w:jc w:val="left"/>
            </w:pPr>
            <w:r>
              <w:rPr>
                <w:rFonts w:ascii="Palatino Linotype" w:hAnsi="Palatino Linotype" w:cs="Palatino Linotype"/>
                <w:color w:val="000000"/>
                <w:sz w:val="19"/>
                <w:szCs w:val="17"/>
              </w:rPr>
              <w:t>RO2 (Section 7)</w:t>
            </w:r>
          </w:p>
        </w:tc>
        <w:tc>
          <w:tcPr>
            <w:tcW w:w="1800" w:type="dxa"/>
            <w:tcBorders>
              <w:top w:val="nil"/>
              <w:left w:val="nil"/>
              <w:bottom w:val="nil"/>
              <w:right w:val="nil"/>
              <w:insideH w:val="nil"/>
              <w:insideV w:val="nil"/>
            </w:tcBorders>
            <w:tcMar>
              <w:top w:w="40" w:type="dxa"/>
              <w:left w:w="80" w:type="dxa"/>
              <w:bottom w:w="40" w:type="dxa"/>
              <w:right w:w="80" w:type="dxa"/>
            </w:tcMar>
          </w:tcPr>
          <w:p w14:paraId="5916322F"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68CE953D"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0B0B9C7D" w14:textId="77777777" w:rsidR="009262C4" w:rsidRDefault="00000000">
            <w:pPr>
              <w:spacing w:after="40" w:line="240" w:lineRule="auto"/>
              <w:jc w:val="left"/>
            </w:pPr>
            <w:r>
              <w:rPr>
                <w:rFonts w:ascii="Palatino Linotype" w:hAnsi="Palatino Linotype" w:cs="Palatino Linotype"/>
                <w:color w:val="000000"/>
                <w:sz w:val="19"/>
                <w:szCs w:val="17"/>
              </w:rPr>
              <w:t>Req 3</w:t>
            </w:r>
          </w:p>
        </w:tc>
        <w:tc>
          <w:tcPr>
            <w:tcW w:w="4478" w:type="dxa"/>
            <w:tcBorders>
              <w:top w:val="nil"/>
              <w:left w:val="nil"/>
              <w:bottom w:val="nil"/>
              <w:right w:val="nil"/>
              <w:insideH w:val="nil"/>
              <w:insideV w:val="nil"/>
            </w:tcBorders>
            <w:tcMar>
              <w:top w:w="40" w:type="dxa"/>
              <w:left w:w="80" w:type="dxa"/>
              <w:bottom w:w="40" w:type="dxa"/>
              <w:right w:w="80" w:type="dxa"/>
            </w:tcMar>
          </w:tcPr>
          <w:p w14:paraId="577F30C4" w14:textId="77777777" w:rsidR="009262C4" w:rsidRDefault="00000000">
            <w:pPr>
              <w:spacing w:after="40" w:line="240" w:lineRule="auto"/>
              <w:jc w:val="left"/>
            </w:pPr>
            <w:r>
              <w:rPr>
                <w:rFonts w:ascii="Palatino Linotype" w:hAnsi="Palatino Linotype" w:cs="Palatino Linotype"/>
                <w:color w:val="000000"/>
                <w:sz w:val="19"/>
                <w:szCs w:val="17"/>
              </w:rPr>
              <w:t xml:space="preserve">N-of-N approval by the guardian set G with EIP-712 guardian signatures (Bloemen, Logvinov &amp; Evans 2017), evaluated as V</w:t>
            </w:r>
            <w:r>
              <w:rPr>
                <w:rFonts w:ascii="Palatino Linotype" w:hAnsi="Palatino Linotype" w:cs="Palatino Linotype"/>
                <w:color w:val="000000"/>
                <w:sz w:val="19"/>
                <w:szCs w:val="17"/>
                <w:vertAlign w:val="subscript"/>
              </w:rPr>
              <w:t>A</w:t>
            </w:r>
            <w:r>
              <w:rPr>
                <w:rFonts w:ascii="Palatino Linotype" w:hAnsi="Palatino Linotype" w:cs="Palatino Linotype"/>
                <w:color w:val="000000"/>
                <w:sz w:val="19"/>
                <w:szCs w:val="17"/>
              </w:rPr>
              <w:t xml:space="preserve"> through Algorithm 3.</w:t>
            </w:r>
          </w:p>
        </w:tc>
        <w:tc>
          <w:tcPr>
            <w:tcW w:w="1500" w:type="dxa"/>
            <w:tcBorders>
              <w:top w:val="nil"/>
              <w:left w:val="nil"/>
              <w:bottom w:val="nil"/>
              <w:right w:val="nil"/>
              <w:insideH w:val="nil"/>
              <w:insideV w:val="nil"/>
            </w:tcBorders>
            <w:tcMar>
              <w:top w:w="40" w:type="dxa"/>
              <w:left w:w="80" w:type="dxa"/>
              <w:bottom w:w="40" w:type="dxa"/>
              <w:right w:w="80" w:type="dxa"/>
            </w:tcMar>
          </w:tcPr>
          <w:p w14:paraId="457EA260" w14:textId="77777777" w:rsidR="009262C4" w:rsidRDefault="00000000">
            <w:pPr>
              <w:spacing w:after="40" w:line="240" w:lineRule="auto"/>
              <w:jc w:val="left"/>
            </w:pPr>
            <w:r>
              <w:rPr>
                <w:rFonts w:ascii="Palatino Linotype" w:hAnsi="Palatino Linotype" w:cs="Palatino Linotype"/>
                <w:color w:val="000000"/>
                <w:sz w:val="19"/>
                <w:szCs w:val="17"/>
              </w:rPr>
              <w:t>RO3 (Section 8)</w:t>
            </w:r>
          </w:p>
        </w:tc>
        <w:tc>
          <w:tcPr>
            <w:tcW w:w="1800" w:type="dxa"/>
            <w:tcBorders>
              <w:top w:val="nil"/>
              <w:left w:val="nil"/>
              <w:bottom w:val="nil"/>
              <w:right w:val="nil"/>
              <w:insideH w:val="nil"/>
              <w:insideV w:val="nil"/>
            </w:tcBorders>
            <w:tcMar>
              <w:top w:w="40" w:type="dxa"/>
              <w:left w:w="80" w:type="dxa"/>
              <w:bottom w:w="40" w:type="dxa"/>
              <w:right w:w="80" w:type="dxa"/>
            </w:tcMar>
          </w:tcPr>
          <w:p w14:paraId="2628082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38B5227"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58403EC5" w14:textId="77777777" w:rsidR="009262C4" w:rsidRDefault="00000000">
            <w:pPr>
              <w:spacing w:after="40" w:line="240" w:lineRule="auto"/>
              <w:jc w:val="left"/>
            </w:pPr>
            <w:r>
              <w:rPr>
                <w:rFonts w:ascii="Palatino Linotype" w:hAnsi="Palatino Linotype" w:cs="Palatino Linotype"/>
                <w:color w:val="000000"/>
                <w:sz w:val="19"/>
                <w:szCs w:val="17"/>
              </w:rPr>
              <w:t>Req 4</w:t>
            </w:r>
          </w:p>
        </w:tc>
        <w:tc>
          <w:tcPr>
            <w:tcW w:w="4478" w:type="dxa"/>
            <w:tcBorders>
              <w:top w:val="nil"/>
              <w:left w:val="nil"/>
              <w:bottom w:val="nil"/>
              <w:right w:val="nil"/>
              <w:insideH w:val="nil"/>
              <w:insideV w:val="nil"/>
            </w:tcBorders>
            <w:tcMar>
              <w:top w:w="40" w:type="dxa"/>
              <w:left w:w="80" w:type="dxa"/>
              <w:bottom w:w="40" w:type="dxa"/>
              <w:right w:w="80" w:type="dxa"/>
            </w:tcMar>
          </w:tcPr>
          <w:p w14:paraId="33B4DDD7" w14:textId="77777777" w:rsidR="009262C4" w:rsidRDefault="00000000">
            <w:pPr>
              <w:spacing w:after="40" w:line="240" w:lineRule="auto"/>
              <w:jc w:val="left"/>
            </w:pPr>
            <w:r>
              <w:rPr>
                <w:rFonts w:ascii="Palatino Linotype" w:hAnsi="Palatino Linotype" w:cs="Palatino Linotype"/>
                <w:color w:val="000000"/>
                <w:sz w:val="19"/>
                <w:szCs w:val="17"/>
              </w:rPr>
              <w:t>Purpose and a non-empty data scope within the consent are evaluated as V</w:t>
            </w:r>
            <w:r>
              <w:rPr>
                <w:rFonts w:ascii="Palatino Linotype" w:hAnsi="Palatino Linotype" w:cs="Palatino Linotype"/>
                <w:color w:val="000000"/>
                <w:sz w:val="19"/>
                <w:szCs w:val="17"/>
                <w:vertAlign w:val="subscript"/>
              </w:rPr>
              <w:t>P</w:t>
            </w:r>
            <w:r>
              <w:rPr>
                <w:rFonts w:ascii="Palatino Linotype" w:hAnsi="Palatino Linotype" w:cs="Palatino Linotype"/>
                <w:color w:val="000000"/>
                <w:sz w:val="19"/>
                <w:szCs w:val="17"/>
              </w:rPr>
              <w:t xml:space="preserve"> through Algorithm 4.</w:t>
            </w:r>
          </w:p>
        </w:tc>
        <w:tc>
          <w:tcPr>
            <w:tcW w:w="1500" w:type="dxa"/>
            <w:tcBorders>
              <w:top w:val="nil"/>
              <w:left w:val="nil"/>
              <w:bottom w:val="nil"/>
              <w:right w:val="nil"/>
              <w:insideH w:val="nil"/>
              <w:insideV w:val="nil"/>
            </w:tcBorders>
            <w:tcMar>
              <w:top w:w="40" w:type="dxa"/>
              <w:left w:w="80" w:type="dxa"/>
              <w:bottom w:w="40" w:type="dxa"/>
              <w:right w:w="80" w:type="dxa"/>
            </w:tcMar>
          </w:tcPr>
          <w:p w14:paraId="3CAF4584" w14:textId="77777777" w:rsidR="009262C4" w:rsidRDefault="00000000">
            <w:pPr>
              <w:spacing w:after="40" w:line="240" w:lineRule="auto"/>
              <w:jc w:val="left"/>
            </w:pPr>
            <w:r>
              <w:rPr>
                <w:rFonts w:ascii="Palatino Linotype" w:hAnsi="Palatino Linotype" w:cs="Palatino Linotype"/>
                <w:color w:val="000000"/>
                <w:sz w:val="19"/>
                <w:szCs w:val="17"/>
              </w:rPr>
              <w:t>RO4 (Section 9)</w:t>
            </w:r>
          </w:p>
        </w:tc>
        <w:tc>
          <w:tcPr>
            <w:tcW w:w="1800" w:type="dxa"/>
            <w:tcBorders>
              <w:top w:val="nil"/>
              <w:left w:val="nil"/>
              <w:bottom w:val="nil"/>
              <w:right w:val="nil"/>
              <w:insideH w:val="nil"/>
              <w:insideV w:val="nil"/>
            </w:tcBorders>
            <w:tcMar>
              <w:top w:w="40" w:type="dxa"/>
              <w:left w:w="80" w:type="dxa"/>
              <w:bottom w:w="40" w:type="dxa"/>
              <w:right w:w="80" w:type="dxa"/>
            </w:tcMar>
          </w:tcPr>
          <w:p w14:paraId="2B0AAC93"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0E02140"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22DB7856" w14:textId="77777777" w:rsidR="009262C4" w:rsidRDefault="00000000">
            <w:pPr>
              <w:spacing w:after="40" w:line="240" w:lineRule="auto"/>
              <w:jc w:val="left"/>
            </w:pPr>
            <w:r>
              <w:rPr>
                <w:rFonts w:ascii="Palatino Linotype" w:hAnsi="Palatino Linotype" w:cs="Palatino Linotype"/>
                <w:color w:val="000000"/>
                <w:sz w:val="19"/>
                <w:szCs w:val="17"/>
              </w:rPr>
              <w:t>Req 5</w:t>
            </w:r>
          </w:p>
        </w:tc>
        <w:tc>
          <w:tcPr>
            <w:tcW w:w="4478" w:type="dxa"/>
            <w:tcBorders>
              <w:top w:val="nil"/>
              <w:left w:val="nil"/>
              <w:bottom w:val="nil"/>
              <w:right w:val="nil"/>
              <w:insideH w:val="nil"/>
              <w:insideV w:val="nil"/>
            </w:tcBorders>
            <w:tcMar>
              <w:top w:w="40" w:type="dxa"/>
              <w:left w:w="80" w:type="dxa"/>
              <w:bottom w:w="40" w:type="dxa"/>
              <w:right w:w="80" w:type="dxa"/>
            </w:tcMar>
          </w:tcPr>
          <w:p w14:paraId="58A450BC" w14:textId="77777777" w:rsidR="009262C4" w:rsidRDefault="00000000">
            <w:pPr>
              <w:spacing w:after="40" w:line="240" w:lineRule="auto"/>
              <w:jc w:val="left"/>
            </w:pPr>
            <w:r>
              <w:rPr>
                <w:rFonts w:ascii="Palatino Linotype" w:hAnsi="Palatino Linotype" w:cs="Palatino Linotype"/>
                <w:color w:val="000000"/>
                <w:sz w:val="19"/>
                <w:szCs w:val="17"/>
              </w:rPr>
              <w:t>The validity window V</w:t>
            </w:r>
            <w:r>
              <w:rPr>
                <w:rFonts w:ascii="Palatino Linotype" w:hAnsi="Palatino Linotype" w:cs="Palatino Linotype"/>
                <w:color w:val="000000"/>
                <w:sz w:val="19"/>
                <w:szCs w:val="17"/>
                <w:vertAlign w:val="subscript"/>
              </w:rPr>
              <w:t>T</w:t>
            </w:r>
            <w:r>
              <w:rPr>
                <w:rFonts w:ascii="Palatino Linotype" w:hAnsi="Palatino Linotype" w:cs="Palatino Linotype"/>
                <w:color w:val="000000"/>
                <w:sz w:val="19"/>
                <w:szCs w:val="17"/>
              </w:rPr>
              <w:t xml:space="preserve">, revocation, the lifecycle states, and the on-chain revocation on Sepolia are implemented, as specified in Algorithm 5. The SUSPENDED state and the lifecycle transition check are not yet implemented.</w:t>
            </w:r>
          </w:p>
        </w:tc>
        <w:tc>
          <w:tcPr>
            <w:tcW w:w="1500" w:type="dxa"/>
            <w:tcBorders>
              <w:top w:val="nil"/>
              <w:left w:val="nil"/>
              <w:bottom w:val="nil"/>
              <w:right w:val="nil"/>
              <w:insideH w:val="nil"/>
              <w:insideV w:val="nil"/>
            </w:tcBorders>
            <w:tcMar>
              <w:top w:w="40" w:type="dxa"/>
              <w:left w:w="80" w:type="dxa"/>
              <w:bottom w:w="40" w:type="dxa"/>
              <w:right w:w="80" w:type="dxa"/>
            </w:tcMar>
          </w:tcPr>
          <w:p w14:paraId="32BA1FCE" w14:textId="77777777" w:rsidR="009262C4" w:rsidRDefault="00000000">
            <w:pPr>
              <w:spacing w:after="40" w:line="240" w:lineRule="auto"/>
              <w:jc w:val="left"/>
            </w:pPr>
            <w:r>
              <w:rPr>
                <w:rFonts w:ascii="Palatino Linotype" w:hAnsi="Palatino Linotype" w:cs="Palatino Linotype"/>
                <w:color w:val="000000"/>
                <w:sz w:val="19"/>
                <w:szCs w:val="17"/>
              </w:rPr>
              <w:t>RO5 (Section 10)</w:t>
            </w:r>
          </w:p>
        </w:tc>
        <w:tc>
          <w:tcPr>
            <w:tcW w:w="1800" w:type="dxa"/>
            <w:tcBorders>
              <w:top w:val="nil"/>
              <w:left w:val="nil"/>
              <w:bottom w:val="nil"/>
              <w:right w:val="nil"/>
              <w:insideH w:val="nil"/>
              <w:insideV w:val="nil"/>
            </w:tcBorders>
            <w:tcMar>
              <w:top w:w="40" w:type="dxa"/>
              <w:left w:w="80" w:type="dxa"/>
              <w:bottom w:w="40" w:type="dxa"/>
              <w:right w:w="80" w:type="dxa"/>
            </w:tcMar>
          </w:tcPr>
          <w:p w14:paraId="2962DDB5" w14:textId="77777777" w:rsidR="009262C4" w:rsidRDefault="00000000">
            <w:pPr>
              <w:spacing w:after="40" w:line="240" w:lineRule="auto"/>
              <w:jc w:val="left"/>
            </w:pPr>
            <w:r>
              <w:rPr>
                <w:rFonts w:ascii="Palatino Linotype" w:hAnsi="Palatino Linotype" w:cs="Palatino Linotype"/>
                <w:color w:val="000000"/>
                <w:sz w:val="19"/>
                <w:szCs w:val="17"/>
              </w:rPr>
              <w:t>In Progress</w:t>
            </w:r>
          </w:p>
        </w:tc>
      </w:tr>
      <w:tr w:rsidR="009262C4" w14:paraId="6F6EEE5B"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1686C71" w14:textId="77777777" w:rsidR="009262C4" w:rsidRDefault="00000000">
            <w:pPr>
              <w:spacing w:after="40" w:line="240" w:lineRule="auto"/>
              <w:jc w:val="left"/>
            </w:pPr>
            <w:r>
              <w:rPr>
                <w:rFonts w:ascii="Palatino Linotype" w:hAnsi="Palatino Linotype" w:cs="Palatino Linotype"/>
                <w:color w:val="000000"/>
                <w:sz w:val="19"/>
                <w:szCs w:val="17"/>
              </w:rPr>
              <w:lastRenderedPageBreak/>
              <w:t>Req 6</w:t>
            </w:r>
          </w:p>
        </w:tc>
        <w:tc>
          <w:tcPr>
            <w:tcW w:w="4478" w:type="dxa"/>
            <w:tcBorders>
              <w:top w:val="nil"/>
              <w:left w:val="nil"/>
              <w:bottom w:val="nil"/>
              <w:right w:val="nil"/>
              <w:insideH w:val="nil"/>
              <w:insideV w:val="nil"/>
            </w:tcBorders>
            <w:tcMar>
              <w:top w:w="40" w:type="dxa"/>
              <w:left w:w="80" w:type="dxa"/>
              <w:bottom w:w="40" w:type="dxa"/>
              <w:right w:w="80" w:type="dxa"/>
            </w:tcMar>
          </w:tcPr>
          <w:p w14:paraId="5E14FCDF" w14:textId="77777777" w:rsidR="009262C4" w:rsidRDefault="00000000">
            <w:pPr>
              <w:spacing w:after="40" w:line="240" w:lineRule="auto"/>
              <w:jc w:val="left"/>
            </w:pPr>
            <w:r>
              <w:rPr>
                <w:rFonts w:ascii="Palatino Linotype" w:hAnsi="Palatino Linotype" w:cs="Palatino Linotype"/>
                <w:color w:val="000000"/>
                <w:sz w:val="19"/>
                <w:szCs w:val="17"/>
              </w:rPr>
              <w:t>Audit ledger evidence and 46 automated tests, including twelve attack scenarios A1 to A12. The testing part of Algorithm 6 is done. Formal analysis is left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6635DE56" w14:textId="77777777" w:rsidR="009262C4" w:rsidRDefault="00000000">
            <w:pPr>
              <w:spacing w:after="40" w:line="240" w:lineRule="auto"/>
              <w:jc w:val="left"/>
            </w:pPr>
            <w:r>
              <w:rPr>
                <w:rFonts w:ascii="Palatino Linotype" w:hAnsi="Palatino Linotype" w:cs="Palatino Linotype"/>
                <w:color w:val="000000"/>
                <w:sz w:val="19"/>
                <w:szCs w:val="17"/>
              </w:rPr>
              <w:t>RO6 (Section 11)</w:t>
            </w:r>
          </w:p>
        </w:tc>
        <w:tc>
          <w:tcPr>
            <w:tcW w:w="1800" w:type="dxa"/>
            <w:tcBorders>
              <w:top w:val="nil"/>
              <w:left w:val="nil"/>
              <w:bottom w:val="nil"/>
              <w:right w:val="nil"/>
              <w:insideH w:val="nil"/>
              <w:insideV w:val="nil"/>
            </w:tcBorders>
            <w:tcMar>
              <w:top w:w="40" w:type="dxa"/>
              <w:left w:w="80" w:type="dxa"/>
              <w:bottom w:w="40" w:type="dxa"/>
              <w:right w:w="80" w:type="dxa"/>
            </w:tcMar>
          </w:tcPr>
          <w:p w14:paraId="3B9F7597"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0DBB045C" w14:textId="77777777" w:rsidR="009262C4" w:rsidRDefault="009262C4">
      <w:pPr>
        <w:spacing w:after="160"/>
      </w:pPr>
    </w:p>
    <w:p>
      <w:pPr>
        <w:pStyle w:val="3"/>
      </w:pPr>
      <w:r>
        <w:rPr>
          <w:highlight w:val="yellow"/>
        </w:rPr>
        <w:t>2.5.1 Representation of Consent as an Evaluable Authorisation Object (Req 1)</w:t>
      </w:r>
    </w:p>
    <w:p>
      <w:pPr>
        <w:pStyle w:val="3"/>
      </w:pPr>
      <w:r>
        <w:rPr>
          <w:highlight w:val="yellow"/>
        </w:rPr>
        <w:t>2.5.2 Decentralised Verification of Identity and Authority (Req 2)</w:t>
      </w:r>
    </w:p>
    <w:p>
      <w:pPr>
        <w:pStyle w:val="3"/>
      </w:pPr>
      <w:r>
        <w:rPr>
          <w:highlight w:val="yellow"/>
        </w:rPr>
        <w:t>2.5.3 Multi-Party Authorisation through a Verifiable Threshold (Req 3)</w:t>
      </w:r>
    </w:p>
    <w:p>
      <w:pPr>
        <w:pStyle w:val="3"/>
      </w:pPr>
      <w:r>
        <w:rPr>
          <w:highlight w:val="yellow"/>
        </w:rPr>
        <w:t>2.5.4 Policy- and Context-Aware Enforcement at the Time of Access (Req 4)</w:t>
      </w:r>
    </w:p>
    <w:p>
      <w:pPr>
        <w:pStyle w:val="3"/>
      </w:pPr>
      <w:r>
        <w:rPr>
          <w:highlight w:val="yellow"/>
        </w:rPr>
        <w:t>2.5.5 Temporal Validity and Lifecycle Control of Consent (Req 5)</w:t>
      </w:r>
    </w:p>
    <w:p>
      <w:pPr>
        <w:pStyle w:val="3"/>
      </w:pPr>
      <w:r>
        <w:rPr>
          <w:highlight w:val="yellow"/>
        </w:rPr>
        <w:t>2.5.6 Verifiable Auditability and Security Assurance (Req 6)</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five databases, screened under the PRISMA 2020 statement, and assessed for quality,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rFonts w:ascii="Palatino Linotype" w:hAnsi="Palatino Linotype"/>
        <w:sz w:val="20"/>
      </w:rPr>
    </w:r>
    <w:r>
      <w:rPr>
        <w:rFonts w:ascii="Palatino Linotype" w:hAnsi="Palatino Linotype"/>
        <w:sz w:val="20"/>
      </w:rPr>
      <w:fldChar w:fldCharType="begin"/>
    </w:r>
    <w:r>
      <w:rPr>
        <w:rFonts w:ascii="Palatino Linotype" w:hAnsi="Palatino Linotype"/>
        <w:sz w:val="20"/>
      </w:rPr>
      <w:instrText xml:space="preserve"> PAGE </w:instrText>
    </w:r>
    <w:r>
      <w:rPr>
        <w:rFonts w:ascii="Palatino Linotype" w:hAnsi="Palatino Linotype"/>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sz w:val="20"/>
      </w:rPr>
    </w:r>
    <w:r>
      <w:rPr>
        <w:rFonts w:ascii="Palatino Linotype" w:hAnsi="Palatino Linotype"/>
        <w:sz w:val="20"/>
      </w:rPr>
      <w:fldChar w:fldCharType="begin"/>
    </w:r>
    <w:r>
      <w:rPr>
        <w:rFonts w:ascii="Palatino Linotype" w:hAnsi="Palatino Linotype"/>
        <w:sz w:val="20"/>
      </w:rPr>
      <w:instrText xml:space="preserve"> PAGE </w:instrText>
    </w:r>
    <w:r>
      <w:rPr>
        <w:rFonts w:ascii="Palatino Linotype" w:hAnsi="Palatino Linotype"/>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2.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