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color w:val="FF0000"/>
        </w:rP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color w:val="FF0000"/>
        </w:rP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rPr>
          <w:color w:val="FF0000"/>
        </w:rPr>
        <w:t>This section details the process adopted to identify the relevant papers to be reviewed in the SLR. A four-step process was adopted:</w:t>
      </w:r>
    </w:p>
    <w:p>
      <w:pPr/>
      <w:r>
        <w:rPr>
          <w:color w:val="FF0000"/>
        </w:rPr>
        <w:t>Step 1: Searching the literature. This step involves defining the search terms, identifying the data sources and the process of data collection.</w:t>
      </w:r>
    </w:p>
    <w:p>
      <w:pPr/>
      <w:r>
        <w:rPr>
          <w:color w:val="FF0000"/>
        </w:rPr>
        <w:t>Step 2: Inclusion and exclusion criteria. Criteria are defined to guide the selection of the most relevant studies.</w:t>
      </w:r>
    </w:p>
    <w:p>
      <w:pPr/>
      <w:r>
        <w:rPr>
          <w:color w:val="FF0000"/>
        </w:rPr>
        <w:t>Step 3: Quality evaluation. Each of the full-text studies is reviewed against the six quality evaluation questions, QA1 to QA6, one for each key requirement.</w:t>
      </w:r>
    </w:p>
    <w:p>
      <w:pPr/>
      <w:r>
        <w:rPr>
          <w:color w:val="FF0000"/>
        </w:rP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rPr>
          <w:color w:val="FF0000"/>
        </w:rP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rPr>
          <w:color w:val="FF0000"/>
        </w:rPr>
        <w:t>Table 2.1 shows the seven databases and the number of records retrieved from each.</w:t>
      </w:r>
    </w:p>
    <w:p>
      <w:pPr>
        <w:keepNext/>
        <w:spacing w:before="160" w:after="160"/>
        <w:jc w:val="center"/>
      </w:pPr>
      <w:r>
        <w:rPr>
          <w:color w:val="FF0000"/>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w:t>
            </w:r>
          </w:p>
        </w:tc>
      </w:tr>
    </w:tbl>
    <w:p>
      <w:pPr/>
      <w:r>
        <w:rPr>
          <w:color w:val="FF0000"/>
        </w:rPr>
      </w:r>
    </w:p>
    <w:p>
      <w:pPr>
        <w:pStyle w:val="3"/>
      </w:pPr>
      <w:r>
        <w:t>2.3.2 Step 2: Inclusion and Exclusion Criteria</w:t>
      </w:r>
    </w:p>
    <w:p>
      <w:pPr/>
      <w:r>
        <w:rPr>
          <w:color w:val="FF0000"/>
        </w:rP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rPr>
          <w:color w:val="FF0000"/>
        </w:rPr>
        <w:t>Inclusion criteria:</w:t>
      </w:r>
    </w:p>
    <w:p>
      <w:pPr/>
      <w:r>
        <w:rPr>
          <w:color w:val="FF0000"/>
        </w:rPr>
        <w:t>1. The study concerns healthcare data (IC1).</w:t>
      </w:r>
    </w:p>
    <w:p>
      <w:pPr/>
      <w:r>
        <w:rPr>
          <w:color w:val="FF0000"/>
        </w:rPr>
        <w:t>2. The study concerns consent, authorisation, access control, trust or governance relevant to data access (IC2).</w:t>
      </w:r>
    </w:p>
    <w:p>
      <w:pPr/>
      <w:r>
        <w:rPr>
          <w:color w:val="FF0000"/>
        </w:rPr>
        <w:t>3. The study presents a mechanism, model, system or evaluation relevant to a review question (IC3).</w:t>
      </w:r>
    </w:p>
    <w:p>
      <w:pPr/>
      <w:r>
        <w:rPr>
          <w:color w:val="FF0000"/>
        </w:rPr>
        <w:t>4. The study is a peer-reviewed English paper with full text available (IC4 to IC7).</w:t>
      </w:r>
    </w:p>
    <w:p>
      <w:pPr/>
      <w:r>
        <w:rPr>
          <w:color w:val="FF0000"/>
        </w:rPr>
        <w:t>5. The study was published between 2020 and 2026.</w:t>
      </w:r>
    </w:p>
    <w:p>
      <w:pPr/>
      <w:r>
        <w:rPr>
          <w:color w:val="FF0000"/>
        </w:rPr>
        <w:t>Exclusion criteria. The records are excluded if:</w:t>
      </w:r>
    </w:p>
    <w:p>
      <w:pPr/>
      <w:r>
        <w:rPr>
          <w:color w:val="FF0000"/>
        </w:rPr>
        <w:t>1. They are outside healthcare or outside the authorisation scope.</w:t>
      </w:r>
    </w:p>
    <w:p>
      <w:pPr/>
      <w:r>
        <w:rPr>
          <w:color w:val="FF0000"/>
        </w:rPr>
        <w:t>2. They treat authentication alone or mention consent only superficially.</w:t>
      </w:r>
    </w:p>
    <w:p>
      <w:pPr/>
      <w:r>
        <w:rPr>
          <w:color w:val="FF0000"/>
        </w:rPr>
        <w:t>3. They are not peer-reviewed.</w:t>
      </w:r>
    </w:p>
    <w:p>
      <w:pPr/>
      <w:r>
        <w:rPr>
          <w:color w:val="FF0000"/>
        </w:rPr>
        <w:t>4. They are duplicate publications of the same study.</w:t>
      </w:r>
    </w:p>
    <w:p>
      <w:pPr/>
      <w:r>
        <w:rPr>
          <w:color w:val="FF0000"/>
        </w:rPr>
        <w:t>5. They are secondary reviews.</w:t>
      </w:r>
    </w:p>
    <w:p>
      <w:pPr/>
      <w:r>
        <w:rPr>
          <w:color w:val="FF0000"/>
        </w:rPr>
        <w:t>The stages of evaluating and selecting the relevant papers for the SLR are summarised in Table 2.2.</w:t>
      </w:r>
    </w:p>
    <w:p>
      <w:pPr>
        <w:keepNext/>
        <w:spacing w:before="160" w:after="160"/>
        <w:jc w:val="center"/>
      </w:pPr>
      <w:r>
        <w:rPr>
          <w:color w:val="FF0000"/>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 excluded, 25 included</w:t>
            </w:r>
          </w:p>
        </w:tc>
      </w:tr>
    </w:tbl>
    <w:p>
      <w:pPr/>
      <w:r>
        <w:rPr>
          <w:color w:val="FF0000"/>
        </w:r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rPr>
          <w:color w:val="FF0000"/>
        </w:rPr>
        <w:t>The 39 full-text studies were retrieved and evaluated against six quality evaluation questions, QA1 to QA6, listed in Table 2.3, one for each key requirement of Section 2.2. Quality inclusion uses QA1 to QA4: each question was answered Yes or No, and a study was included when it answered Yes to at least three of them. QA5 and QA6 were answered for every included study but were not used for inclusion.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color w:val="FF0000"/>
          <w:sz w:val="20"/>
          <w:szCs w:val="18"/>
        </w:rPr>
        <w:t>Table 2.3:</w:t>
      </w:r>
      <w:r>
        <w:rPr>
          <w:b/>
          <w:bCs/>
          <w:sz w:val="20"/>
          <w:szCs w:val="18"/>
        </w:rPr>
        <w:t xml:space="preserve"> </w:t>
      </w:r>
      <w:r>
        <w:rPr>
          <w:color w:val="FF0000"/>
          <w:sz w:val="20"/>
          <w:szCs w:val="18"/>
        </w:rPr>
        <w:t>Quality assessment questions QA1 to QA6</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1134"/>
        <w:gridCol w:w="7370"/>
      </w:tblGrid>
      <w:tr w:rsidR="009262C4" w14:paraId="2326890E" w14:textId="77777777">
        <w:trPr>
          <w:cantSplit/>
          <w:tblHeader/>
        </w:trPr>
        <w:tc>
          <w:tcPr>
            <w:tcW w:w="1134"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7370"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FF0000"/>
                <w:sz w:val="19"/>
                <w:szCs w:val="20"/>
              </w:rPr>
              <w:t xml:space="preserve">Question</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QA1</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define a consent model covering identity, authority, policy, and evidence?</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QA2</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verify participant identities and their authorisation authority?</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QA3</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support consent decisions requiring approval from multiple authorised participants?</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QA4</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enforce purpose, data scope, and approval rules before allowing access?</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QA5</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manage consent validity, expiry, and revocation?</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QA6</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validate security and access decisions through formal analysis or implementation testing?</w:t>
            </w:r>
          </w:p>
        </w:tc>
      </w:tr>
    </w:tbl>
    <w:p>
      <w:pPr/>
      <w:r>
        <w:rPr>
          <w:color w:val="FF0000"/>
        </w:rPr>
      </w:r>
    </w:p>
    <w:p>
      <w:pPr>
        <w:pStyle w:val="3"/>
      </w:pPr>
      <w:r>
        <w:t>2.3.4 Step 4: Shortlisted Papers for SLR and Categorising Them into Broad Areas</w:t>
      </w:r>
    </w:p>
    <w:p>
      <w:pPr/>
      <w:r>
        <w:rPr>
          <w:color w:val="FF0000"/>
        </w:rP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color w:val="FF0000"/>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680"/>
        <w:gridCol w:w="1814"/>
        <w:gridCol w:w="680"/>
        <w:gridCol w:w="3515"/>
        <w:gridCol w:w="1814"/>
      </w:tblGrid>
      <w:tr w:rsidR="009262C4" w14:paraId="4A276FDF" w14:textId="77777777">
        <w:trPr>
          <w:cantSplit/>
          <w:tblHeader/>
        </w:trPr>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Author(s)</w:t>
            </w:r>
          </w:p>
        </w:tc>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keepNext/>
              <w:spacing w:after="40" w:line="240" w:lineRule="auto"/>
              <w:jc w:val="left"/>
            </w:pPr>
            <w:r>
              <w:rPr>
                <w:rFonts w:ascii="Palatino Linotype" w:hAnsi="Palatino Linotype" w:cs="Palatino Linotype"/>
                <w:b/>
                <w:bCs/>
                <w:color w:val="000000"/>
                <w:sz w:val="19"/>
                <w:szCs w:val="17"/>
              </w:rPr>
              <w:t>Year</w:t>
            </w:r>
          </w:p>
        </w:tc>
        <w:tc>
          <w:tcPr>
            <w:tcW w:w="3515"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Title</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keepNext/>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814"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1814"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814"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8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515"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1814"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814"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1814"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814"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1814"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814"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814"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1814"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814"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8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1814"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814"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8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1814"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814"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1814"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814"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814"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8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814"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1814"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814"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1814"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814"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8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1814"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814"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1814"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814"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814"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1814"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814"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814"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1814"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814"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1814"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814"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1814"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814"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814"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1814"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814"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8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515"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1814"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814"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8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1814"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rPr>
          <w:color w:val="FF0000"/>
        </w:rPr>
        <w:t>Table 2.5 summarises the description, the issues and limitations, and the requirement grades of the studies in this stream.</w:t>
      </w:r>
    </w:p>
    <w:p>
      <w:pPr>
        <w:keepNext/>
        <w:spacing w:before="160" w:after="160"/>
        <w:jc w:val="center"/>
      </w:pPr>
      <w:r>
        <w:rPr>
          <w:color w:val="FF0000"/>
          <w:sz w:val="20"/>
        </w:rPr>
        <w:t>Table 2.5: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2.4.2 Decentralised identity and authority trust (Req 2)</w:t>
      </w:r>
    </w:p>
    <w:p w14:paraId="5A8E98C4" w14:textId="77777777" w:rsidR="009262C4" w:rsidRDefault="00000000">
      <w:pPr>
        <w:spacing w:after="110" w:line="264" w:lineRule="auto"/>
        <w:jc w:val="both"/>
      </w:pPr>
      <w:r/>
      <w:r>
        <w:rPr>
          <w:color w:val="FF0000"/>
        </w:rP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rPr>
          <w:color w:val="FF0000"/>
        </w:rPr>
        <w:t>Table 2.6 summarises the description, the issues and limitations, and the requirement grades of the studies in this stream.</w:t>
      </w:r>
    </w:p>
    <w:p>
      <w:pPr>
        <w:keepNext/>
        <w:spacing w:before="160" w:after="160"/>
        <w:jc w:val="center"/>
      </w:pPr>
      <w:r>
        <w:rPr>
          <w:color w:val="FF0000"/>
          <w:sz w:val="20"/>
        </w:rPr>
        <w:t>Table 2.6: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2.4.3 Multi-party authorisation and collaborative consent (Req 3)</w:t>
      </w:r>
    </w:p>
    <w:p w14:paraId="2B876E6C" w14:textId="77777777" w:rsidR="009262C4" w:rsidRDefault="00000000">
      <w:pPr>
        <w:spacing w:after="110" w:line="264" w:lineRule="auto"/>
        <w:jc w:val="both"/>
      </w:pPr>
      <w:r/>
      <w:r>
        <w:rPr>
          <w:color w:val="FF0000"/>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rPr>
          <w:color w:val="FF0000"/>
        </w:rPr>
        <w:t>Table 2.7 summarises the description, the issues and limitations, and the requirement grades of the studies in this stream.</w:t>
      </w:r>
    </w:p>
    <w:p>
      <w:pPr>
        <w:keepNext/>
        <w:spacing w:before="160" w:after="160"/>
        <w:jc w:val="center"/>
      </w:pPr>
      <w:r>
        <w:rPr>
          <w:color w:val="FF0000"/>
          <w:sz w:val="20"/>
        </w:rPr>
        <w:t>Table 2.7: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color w:val="FF0000"/>
        </w:rPr>
        <w:t>Req 4 is graded Yes in 10 studies and No in 15 in Table 2.11.</w:t>
      </w:r>
      <w:r>
        <w:t xml:space="preserve"> However, purpose-of-use enters the decision in only six studies (Eneh et al. 2026; Panagoulias et al. 2026), </w:t>
      </w:r>
      <w:r>
        <w:rPr>
          <w:color w:val="FF0000"/>
        </w:rPr>
        <w:t>and every one is graded No on Req 3</w:t>
      </w:r>
      <w:r>
        <w:t>. Consequently, purpose and data-scope constraints are not carried by the consent object C and evaluated together with the identity, authority, and multi-party conditions.</w:t>
      </w:r>
    </w:p>
    <w:p>
      <w:pPr/>
      <w:r>
        <w:rPr>
          <w:color w:val="FF0000"/>
        </w:rPr>
        <w:t>Table 2.8 summarises the description, the issues and limitations, and the requirement grades of the studies in this stream.</w:t>
      </w:r>
    </w:p>
    <w:p>
      <w:pPr>
        <w:keepNext/>
        <w:spacing w:before="160" w:after="160"/>
        <w:jc w:val="center"/>
      </w:pPr>
      <w:r>
        <w:rPr>
          <w:color w:val="FF0000"/>
          <w:sz w:val="20"/>
        </w:rPr>
        <w:t>Table 2.8: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color w:val="FF0000"/>
        </w:rP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rPr>
          <w:color w:val="FF0000"/>
        </w:rPr>
        <w:t>Table 2.9 summarises the description, the issues and limitations, and the requirement grades of the studies in this stream.</w:t>
      </w:r>
    </w:p>
    <w:p>
      <w:pPr>
        <w:keepNext/>
        <w:spacing w:before="160" w:after="160"/>
        <w:jc w:val="center"/>
      </w:pPr>
      <w:r>
        <w:rPr>
          <w:color w:val="FF0000"/>
          <w:sz w:val="20"/>
        </w:rPr>
        <w:t>Table 2.9: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color w:val="FF0000"/>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rPr>
          <w:color w:val="FF0000"/>
        </w:rPr>
        <w:t>Table 2.10 summarises the description, the issues and limitations, and the requirement grades of the studies in this stream.</w:t>
      </w:r>
    </w:p>
    <w:p>
      <w:pPr>
        <w:keepNext/>
        <w:spacing w:before="160" w:after="160"/>
        <w:jc w:val="center"/>
      </w:pPr>
      <w:r>
        <w:rPr>
          <w:color w:val="FF0000"/>
          <w:sz w:val="20"/>
        </w:rPr>
        <w:t>Table 2.10: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bl>
    <w:p>
      <w:pPr/>
      <w:r>
        <w:rPr>
          <w:color w:val="FF0000"/>
        </w:r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color w:val="FF0000"/>
        </w:rP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color w:val="FF0000"/>
        </w:rP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color w:val="FF0000"/>
        </w:rP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rPr>
          <w:color w:val="FF0000"/>
        </w:rP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color w:val="FF0000"/>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color w:val="FF0000"/>
        </w:rP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color w:val="FF0000"/>
        </w:rP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rPr>
          <w:color w:val="FF0000"/>
        </w:rP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color w:val="FF0000"/>
        </w:rPr>
        <w:t>stated in Chapter 3</w:t>
      </w:r>
      <w:r>
        <w:t xml:space="preserve">, and each gap corresponds to the research question and objective of the same number </w:t>
      </w:r>
      <w:r>
        <w:rPr>
          <w:color w:val="FF0000"/>
        </w:rP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color w:val="FF0000"/>
          <w:sz w:val="20"/>
          <w:szCs w:val="18"/>
        </w:rPr>
        <w:t>in Table 2.11.</w:t>
      </w:r>
    </w:p>
    <w:p>
      <w:pPr/>
      <w:r>
        <w:rPr>
          <w:color w:val="FF0000"/>
        </w:rPr>
        <w:t>As presented in Tables 2.5 to 2.11,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rPr>
          <w:color w:val="FF0000"/>
        </w:rPr>
        <w:t>•</w:t>
        <w:tab/>
      </w:r>
      <w:r>
        <w:rPr>
          <w:i/>
          <w:color w:val="FF0000"/>
          <w:u w:val="single"/>
        </w:rPr>
        <w:t>Inability to represent consent as an evaluable authorisation object (Req 1):</w:t>
      </w:r>
      <w:r>
        <w:rPr>
          <w:color w:val="FF0000"/>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rPr>
          <w:color w:val="FF0000"/>
        </w:rPr>
        <w:t>•</w:t>
        <w:tab/>
      </w:r>
      <w:r>
        <w:rPr>
          <w:i/>
          <w:color w:val="FF0000"/>
          <w:u w:val="single"/>
        </w:rPr>
        <w:t>Inability to verify authority separately from identity (Req 2):</w:t>
      </w:r>
      <w:r>
        <w:rPr>
          <w:color w:val="FF0000"/>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2.11). Without this separation, an authenticated participant is treated as an authorised one.</w:t>
      </w:r>
    </w:p>
    <w:p>
      <w:pPr>
        <w:tabs>
          <w:tab w:pos="510" w:val="left"/>
        </w:tabs>
        <w:spacing w:after="120"/>
        <w:ind w:left="510" w:hanging="283"/>
      </w:pPr>
      <w:r>
        <w:rPr>
          <w:color w:val="FF0000"/>
        </w:rPr>
        <w:t>•</w:t>
        <w:tab/>
      </w:r>
      <w:r>
        <w:rPr>
          <w:i/>
          <w:color w:val="FF0000"/>
          <w:u w:val="single"/>
        </w:rPr>
        <w:t>Absence of multi-party approval as a standing condition of every access decision (Req 3):</w:t>
      </w:r>
      <w:r>
        <w:rPr>
          <w:color w:val="FF0000"/>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2.11). None of the papers examined makes approval by a patient-defined set a condition of every access decision.</w:t>
      </w:r>
    </w:p>
    <w:p>
      <w:pPr>
        <w:tabs>
          <w:tab w:pos="510" w:val="left"/>
        </w:tabs>
        <w:spacing w:after="120"/>
        <w:ind w:left="510" w:hanging="283"/>
      </w:pPr>
      <w:r>
        <w:rPr>
          <w:color w:val="FF0000"/>
        </w:rPr>
        <w:t>•</w:t>
        <w:tab/>
      </w:r>
      <w:r>
        <w:rPr>
          <w:i/>
          <w:color w:val="FF0000"/>
          <w:u w:val="single"/>
        </w:rPr>
        <w:t>Inability to bind purpose and data scope to the same decision as identity, authority and approval (Req 4):</w:t>
      </w:r>
      <w:r>
        <w:rPr>
          <w:color w:val="FF0000"/>
        </w:rPr>
        <w:t xml:space="preserve"> Purpose and data-scope constraints are enforced by 10 of the 25 studies (Table 2.11),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rPr>
          <w:color w:val="FF0000"/>
        </w:rPr>
        <w:t>•</w:t>
        <w:tab/>
      </w:r>
      <w:r>
        <w:rPr>
          <w:i/>
          <w:color w:val="FF0000"/>
          <w:u w:val="single"/>
        </w:rPr>
        <w:t>Absence of temporal and lifecycle evaluation at the time of each access request (Req 5):</w:t>
      </w:r>
      <w:r>
        <w:rPr>
          <w:color w:val="FF0000"/>
        </w:rPr>
        <w:t xml:space="preserve"> Req 5 is graded Yes in 8 of the 25 studies (Table 2.11).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rPr>
          <w:color w:val="FF0000"/>
        </w:rPr>
        <w:t>•</w:t>
        <w:tab/>
      </w:r>
      <w:r>
        <w:rPr>
          <w:i/>
          <w:color w:val="FF0000"/>
          <w:u w:val="single"/>
        </w:rPr>
        <w:t>Absence of formal and empirical assurance of the complete decision (Req 6):</w:t>
      </w:r>
      <w:r>
        <w:rPr>
          <w:color w:val="FF0000"/>
        </w:rP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rPr>
          <w:color w:val="FF0000"/>
        </w:rP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rPr>
          <w:color w:val="FF0000"/>
        </w:rP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rPr>
          <w:color w:val="FF0000"/>
        </w:rP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rPr>
          <w:color w:val="FF0000"/>
        </w:rP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rPr>
          <w:color w:val="FF0000"/>
        </w:rP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rPr>
          <w:color w:val="FF0000"/>
        </w:rP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rPr>
          <w:color w:val="FF0000"/>
        </w:rP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rPr>
          <w:color w:val="FF0000"/>
        </w:rPr>
        <w:t>This requirement is delivered by RO6, presented in Chapter 10.</w:t>
      </w:r>
    </w:p>
    <w:p>
      <w:pPr>
        <w:pStyle w:val="2"/>
      </w:pPr>
      <w:r>
        <w:rPr>
          <w:color w:val="FF0000"/>
        </w:rPr>
        <w:t>2.6 Conclusion</w:t>
      </w:r>
    </w:p>
    <w:p>
      <w:pPr/>
      <w:r>
        <w:rPr>
          <w:color w:val="FF0000"/>
        </w:rP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rPr>
          <w:color w:val="FF0000"/>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2026-10-22T08:43:36Z</dcterms:created>
  <dcterms:modified xsi:type="dcterms:W3CDTF">2026-10-22T08:43:36Z</dcterms:modified>
</cp:coreProperties>
</file>