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color w:val="FFFFFF"/>
          <w:sz w:val="2"/>
        </w:rPr>
        <w:t xml:space="preserve">3. </w:t>
      </w:r>
      <w:r>
        <w:rPr>
          <w:smallCaps/>
        </w:rPr>
        <w:t>Research Questions and Objectives</w:t>
      </w:r>
    </w:p>
    <w:p>
      <w:pPr>
        <w:pStyle w:val="2"/>
      </w:pPr>
      <w:r>
        <w:t>3.1 Introduction</w:t>
      </w:r>
    </w:p>
    <w:p>
      <w:pPr/>
      <w: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t>From a thorough review of the existing literature documented in Chapter 2, we have identified the following six gaps:</w:t>
      </w:r>
    </w:p>
    <w:p>
      <w:pPr>
        <w:tabs>
          <w:tab w:pos="624" w:val="left"/>
        </w:tabs>
        <w:spacing w:after="120"/>
        <w:ind w:left="624" w:hanging="397"/>
      </w:pPr>
      <w: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t>4.</w:t>
        <w:tab/>
        <w:t>There is no enforcement that binds the purpose and the data scope of a request to the same decision as identity, authority and collective approval.</w:t>
      </w:r>
    </w:p>
    <w:p>
      <w:pPr>
        <w:tabs>
          <w:tab w:pos="624" w:val="left"/>
        </w:tabs>
        <w:spacing w:after="120"/>
        <w:ind w:left="624" w:hanging="397"/>
      </w:pPr>
      <w: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t>(Chapter 8)</w:t>
      </w:r>
      <w:r>
        <w:t xml:space="preserve"> to pass and the Groth16 ZK proof (Groth 2016) to verify, so a request that satisfies the five predicates is still denied when either fails, as in Scenario 4 </w:t>
      </w:r>
      <w:r>
        <w:t>(Chapter 10)</w:t>
      </w:r>
      <w:r>
        <w:t xml:space="preserve"> and attack A9 </w:t>
      </w:r>
      <w: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t>Table 3.1</w:t>
      </w:r>
      <w:r>
        <w:t xml:space="preserve">. The mapping follows the structure of the research programme and maintains a direct correspondence between each research question and its associated objective. RO1 to RO6 are realised in </w:t>
      </w:r>
      <w:r>
        <w:t>Chapter 5 to Chapter 10</w:t>
      </w:r>
      <w:r>
        <w:t xml:space="preserve"> respectively, each in the section presenting the solution for the corresponding research question. Because each research question corresponds to one </w:t>
      </w:r>
      <w: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t>as stated in Chapter 1</w:t>
      </w:r>
      <w:r>
        <w:t xml:space="preserve">, RO5 is in progress and RO6 is partially completed. Their remaining work is detailed in </w:t>
      </w:r>
      <w:r>
        <w:t>Chapter 9 and Chapter 10</w:t>
      </w:r>
      <w:r>
        <w:t xml:space="preserve">, and its schedule is </w:t>
      </w:r>
      <w: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t>3.6 Conclusion</w:t>
      </w:r>
    </w:p>
    <w:p>
      <w:pPr/>
      <w: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2026-10-22T08:43:39Z</dcterms:created>
  <dcterms:modified xsi:type="dcterms:W3CDTF">2026-10-22T08:43:39Z</dcterms:modified>
</cp:coreProperties>
</file>