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color w:val="FFFFFF"/>
          <w:sz w:val="2"/>
        </w:rPr>
        <w:t xml:space="preserve">5. </w:t>
      </w:r>
      <w:r>
        <w:rPr>
          <w:smallCaps/>
        </w:rPr>
        <w:t>Research Architecture and Trust-Centric Consent Model</w:t>
      </w:r>
    </w:p>
    <w:p>
      <w:pPr>
        <w:pStyle w:val="2"/>
      </w:pPr>
      <w:r>
        <w:rPr>
          <w:color w:val="FF0000"/>
        </w:rPr>
        <w:t>5.1 Introduction</w:t>
      </w:r>
    </w:p>
    <w:p>
      <w:pPr/>
      <w:r>
        <w:rPr>
          <w:color w:val="FF0000"/>
        </w:rPr>
        <w:t>In this chapter, firstly the research architecture on which the whole framework is built is presented. There are three layers in the architecture, and the role of each layer is explained in this chapter. Furthermore, a model is proposed to represent patient consent as an evaluable authorisation object; this provides a complete solution to research objective 1. In this chapter, we also present the results of the validation of the proposed solution to research question one. To validate this research question, we built the HALAH prototype and used the following technologies to test the system:</w:t>
      </w:r>
    </w:p>
    <w:p>
      <w:pPr>
        <w:pStyle w:val="a4"/>
        <w:tabs>
          <w:tab w:pos="624" w:val="left"/>
        </w:tabs>
        <w:ind w:left="624" w:hanging="397"/>
      </w:pPr>
      <w:r>
        <w:rPr>
          <w:color w:val="FF0000"/>
        </w:rPr>
        <w:t>1.</w:t>
        <w:tab/>
      </w:r>
      <w:r>
        <w:rPr>
          <w:b/>
          <w:color w:val="FF0000"/>
        </w:rPr>
        <w:t xml:space="preserve">Blockchain: </w:t>
      </w:r>
      <w:r>
        <w:rPr>
          <w:color w:val="FF0000"/>
        </w:rPr>
        <w:t>A blockchain is a decentralised and distributed ledger that records transactions across many computers so that a recorded entry cannot be altered retroactively without altering the blocks that follow it (Wood 2014). In this research, the Ethereum test network Sepolia (Ethereum Foundation 2026b) is used to anchor the state of an approved consent as a soulbound token (Cai 2022) and to record its revocation.</w:t>
      </w:r>
    </w:p>
    <w:p>
      <w:pPr>
        <w:pStyle w:val="a4"/>
        <w:tabs>
          <w:tab w:pos="624" w:val="left"/>
        </w:tabs>
        <w:ind w:left="624" w:hanging="397"/>
      </w:pPr>
      <w:r>
        <w:rPr>
          <w:color w:val="FF0000"/>
        </w:rPr>
        <w:t>2.</w:t>
        <w:tab/>
      </w:r>
      <w:r>
        <w:rPr>
          <w:b/>
          <w:color w:val="FF0000"/>
        </w:rPr>
        <w:t xml:space="preserve">Solidity: </w:t>
      </w:r>
      <w:r>
        <w:rPr>
          <w:color w:val="FF0000"/>
        </w:rPr>
        <w:t>The consent contract is written in Solidity, the contract language of Ethereum (Ethereum Foundation 2026a), and was deployed to Sepolia with the Remix environment (Ethereum Foundation 2026c). The contract stores the start time, the expiry time and the revocation flag of each consent and reports whether the consent is valid at a given time.</w:t>
      </w:r>
    </w:p>
    <w:p>
      <w:pPr>
        <w:pStyle w:val="a4"/>
        <w:tabs>
          <w:tab w:pos="624" w:val="left"/>
        </w:tabs>
        <w:ind w:left="624" w:hanging="397"/>
      </w:pPr>
      <w:r>
        <w:rPr>
          <w:color w:val="FF0000"/>
        </w:rPr>
        <w:t>3.</w:t>
        <w:tab/>
      </w:r>
      <w:r>
        <w:rPr>
          <w:b/>
          <w:color w:val="FF0000"/>
        </w:rPr>
        <w:t xml:space="preserve">Python and Streamlit: </w:t>
      </w:r>
      <w:r>
        <w:rPr>
          <w:color w:val="FF0000"/>
        </w:rPr>
        <w:t>The Controller and the four role interfaces of the prototype, for the patient, the guardian, the doctor and the auditor, are written in Python. The interfaces use the Streamlit library, and the application talks to Sepolia through the web3 library. Consents, approvals, decisions and the audit ledger are kept in a local SQLite database.</w:t>
      </w:r>
    </w:p>
    <w:p>
      <w:pPr>
        <w:pStyle w:val="a4"/>
        <w:tabs>
          <w:tab w:pos="624" w:val="left"/>
        </w:tabs>
        <w:ind w:left="624" w:hanging="397"/>
      </w:pPr>
      <w:r>
        <w:rPr>
          <w:color w:val="FF0000"/>
        </w:rPr>
        <w:t>4.</w:t>
        <w:tab/>
      </w:r>
      <w:r>
        <w:rPr>
          <w:b/>
          <w:color w:val="FF0000"/>
        </w:rPr>
        <w:t xml:space="preserve">EIP-712 and Groth16: </w:t>
      </w:r>
      <w:r>
        <w:rPr>
          <w:color w:val="FF0000"/>
        </w:rPr>
        <w:t>Each guardian approval is a typed-data signature under EIP-712 (Bloemen, Logvinov &amp; Evans 2017), so an approval is bound to one consent, one guardian and one network. The zero-knowledge proof that a consent has not expired is written in circom (iden3 2026b) and is generated and verified with snarkjs (iden3 2026a) under the Groth16 scheme (Groth 2016).</w:t>
      </w:r>
    </w:p>
    <w:p>
      <w:pPr>
        <w:pStyle w:val="a4"/>
        <w:tabs>
          <w:tab w:pos="624" w:val="left"/>
        </w:tabs>
        <w:ind w:left="624" w:hanging="397"/>
      </w:pPr>
      <w:r>
        <w:rPr>
          <w:color w:val="FF0000"/>
        </w:rPr>
        <w:t>5.</w:t>
        <w:tab/>
      </w:r>
      <w:r>
        <w:rPr>
          <w:b/>
          <w:color w:val="FF0000"/>
        </w:rPr>
        <w:t xml:space="preserve">Synthea: </w:t>
      </w:r>
      <w:r>
        <w:rPr>
          <w:color w:val="FF0000"/>
        </w:rPr>
        <w:t>The healthcare records of the prototype are synthetic patients produced by the Synthea generator (Walonoski et al. 2018). The dataset is described in Section 5.7.</w:t>
      </w:r>
    </w:p>
    <w:p>
      <w:pPr/>
      <w:r>
        <w:rPr>
          <w:color w:val="FF0000"/>
        </w:rPr>
        <w:t>The outline of this chapter is as follows. In Section 5.2, we outline the three layers of the architecture and their components. Subsequently, in Section 5.3 we explain where trust is evaluated and where the boundaries between the layers lie, and in Section 5.4 we map the architecture to the six research objectives. In Section 5.5, we present the trust-centric consent model: the creation workflow, the structure of the consent object C = (I, A, P, T, L, E), and the creation procedure as Algorithm 1. Furthermore, in Section 5.6, we discuss the aims of engineering the prototype system used for validating the proposed consent model. In Section 5.7, we outline and explain the dataset used for validation purposes. In Section 5.8 we explain in detail in a stepwise manner the working of the prototype for consent creation. Finally, in Section 5.9 we discuss the results obtained from the validation of the consent model and the evaluation of the architecture, and Section 5.10 concludes the chapter.</w:t>
      </w:r>
    </w:p>
    <w:p>
      <w:pPr>
        <w:pStyle w:val="2"/>
      </w:pPr>
      <w:r>
        <w:t>5.2 Layered Architecture and Component Decomposition</w:t>
      </w:r>
    </w:p>
    <w:p w14:paraId="41D8500A"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rPr>
          <w:color w:val="FF0000"/>
        </w:rP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xml:space="preserve">. The prototype interface also shows a check labelled VL, which compares the jurisdiction declared in the request with the jurisdiction recorded in the consent. </w:t>
      </w:r>
      <w:r>
        <w:rPr>
          <w:color w:val="FF0000"/>
        </w:rPr>
        <w:t>This thesis denotes</w:t>
      </w:r>
      <w:r>
        <w:t xml:space="preserve"> that check V</w:t>
      </w:r>
      <w:r>
        <w:rPr>
          <w:vertAlign w:val="subscript"/>
        </w:rPr>
        <w:t>J</w:t>
      </w:r>
      <w:r>
        <w:t xml:space="preserve"> and treats jurisdiction as a contextual policy condition for the next stage </w:t>
      </w:r>
      <w:r>
        <w:rPr>
          <w:color w:val="FF0000"/>
        </w:rP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w:t>
      </w:r>
      <w:r>
        <w:rPr>
          <w:color w:val="FF0000"/>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w:t>
      </w:r>
      <w:r>
        <w:rPr>
          <w:color w:val="FF0000"/>
          <w:sz w:val="20"/>
          <w:szCs w:val="18"/>
        </w:rPr>
        <w:t>.</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rPr>
          <w:color w:val="FF0000"/>
        </w:rP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rPr>
          <w:color w:val="FF0000"/>
        </w:rPr>
        <w:t>Section 5.5.1 shows the consent creation workflow, Section 5.5.2 defines the structure of the consent object, Section 5.5.3 presents the creation procedure and the algorithm, Section 5.6 describes the aims of the prototype in which the model is realised, Section 5.7 the dataset, Section 5.8 the steps of consent creation, and Section 5.9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rPr>
          <w:color w:val="FF0000"/>
        </w:rP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rPr>
          <w:color w:val="FF0000"/>
        </w:rPr>
        <w:t>(5.1)</w:t>
      </w:r>
    </w:p>
    <w:p w14:paraId="63094BBA" w14:textId="77777777" w:rsidR="009262C4" w:rsidRDefault="00000000">
      <w:pPr>
        <w:spacing w:after="110" w:line="264" w:lineRule="auto"/>
        <w:jc w:val="both"/>
      </w:pPr>
      <w:r>
        <w:rPr>
          <w:color w:val="FF0000"/>
        </w:rPr>
        <w:t>In Equation (5.1)</w:t>
      </w:r>
      <w:r>
        <w:t xml:space="preserve">,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w:t>
      </w:r>
      <w:r>
        <w:rPr>
          <w:color w:val="FF0000"/>
        </w:rPr>
        <w:t>The temporal component bounds the consent in time, and the lifecycle component states whether the consent can currently be used. The identity component identifies</w:t>
      </w:r>
      <w:r>
        <w:t xml:space="preserve">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rPr>
          <w:color w:val="FF0000"/>
        </w:rP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color w:val="FF0000"/>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rPr>
          <w:color w:val="FF0000"/>
        </w:rPr>
        <w:t>(Chapter 8)</w:t>
      </w:r>
      <w:r>
        <w:t>.</w:t>
      </w:r>
    </w:p>
    <w:p>
      <w:pPr>
        <w:pStyle w:val="3"/>
      </w:pPr>
      <w:r>
        <w:t>5.5.2 Structure of the Consent Object</w:t>
      </w:r>
    </w:p>
    <w:p w14:paraId="5F6EAA5F" w14:textId="77777777" w:rsidR="009262C4" w:rsidRDefault="00000000">
      <w:pPr>
        <w:spacing w:after="110" w:line="264" w:lineRule="auto"/>
        <w:jc w:val="both"/>
      </w:pPr>
      <w:r>
        <w:rPr>
          <w:color w:val="FF0000"/>
        </w:rP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color w:val="FF0000"/>
          <w:sz w:val="20"/>
          <w:szCs w:val="18"/>
        </w:rPr>
        <w:t>Figure 5.6</w:t>
      </w:r>
      <w:r>
        <w:rPr>
          <w:b/>
          <w:bCs/>
          <w:sz w:val="20"/>
          <w:szCs w:val="18"/>
        </w:rPr>
        <w:t xml:space="preserve">: </w:t>
      </w:r>
      <w:r>
        <w:rPr>
          <w:sz w:val="20"/>
          <w:szCs w:val="18"/>
        </w:rPr>
        <w:t>Six-component consent model C = (I, A, P, T, L, E)</w:t>
      </w:r>
      <w:r>
        <w:rPr>
          <w:color w:val="FF0000"/>
          <w:sz w:val="20"/>
          <w:szCs w:val="18"/>
        </w:rPr>
        <w:t>.</w:t>
      </w:r>
    </w:p>
    <w:p w14:paraId="19DBCC08" w14:textId="77777777" w:rsidR="009262C4" w:rsidRDefault="00000000">
      <w:pPr>
        <w:spacing w:after="110" w:line="264" w:lineRule="auto"/>
        <w:jc w:val="both"/>
      </w:pPr>
      <w:r>
        <w:t>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a4"/>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a4"/>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a4"/>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a4"/>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a4"/>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a4"/>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a4"/>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a4"/>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a4"/>
      </w:pPr>
      <w:r>
        <w:rPr>
          <w:b/>
        </w:rPr>
        <w:t xml:space="preserve">Step 9 – Construct the Consent Object. </w:t>
      </w:r>
      <w:r>
        <w:t xml:space="preserve">The validated information is combined to construct the consent object C = (I, A, P, </w:t>
      </w:r>
      <w:r>
        <w:rPr>
          <w:color w:val="FF0000"/>
        </w:rPr>
        <w:t xml:space="preserve">T, L, </w:t>
      </w:r>
      <w:r>
        <w:t xml:space="preserve">E), where I represents the verified identity information, A represents the authorisation requirements, P represents the consent purpose and associated permissions, </w:t>
      </w:r>
      <w:r>
        <w:rPr>
          <w:color w:val="FF0000"/>
        </w:rP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a4"/>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a4"/>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a4"/>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r>
        <w:t>The overall procedure can therefore be represented as a sequential trust establishment process that Ip → D → G → Pu → SC → T → A → idC → C → E.</w:t>
      </w:r>
    </w:p>
    <w:p>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rPr>
          <w:color w:val="FF0000"/>
        </w:rPr>
        <w:t>as qualified in Chapter 6</w:t>
      </w:r>
      <w:r>
        <w:t xml:space="preserve">. The validation evidence for consent creation, including the demonstration scenarios and the unit-level tests, </w:t>
      </w:r>
      <w:r>
        <w:rPr>
          <w:color w:val="FF0000"/>
        </w:rPr>
        <w:t>is presented in Section 5.9.</w:t>
      </w:r>
    </w:p>
    <w:p>
      <w:pPr>
        <w:pStyle w:val="3"/>
      </w:pPr>
      <w:r>
        <w:rPr>
          <w:color w:val="FF0000"/>
        </w:rPr>
        <w:t>5.6.1 Aims of Engineering the Prototype System</w:t>
      </w:r>
    </w:p>
    <w:p>
      <w:pPr/>
      <w:r>
        <w:rPr>
          <w:color w:val="FF0000"/>
        </w:rPr>
        <w:t>The primary aim of engineering the prototype system was to simulate the working of the HALAH framework, in which patient consent is created as an evaluable object and every access request is evaluated against it. In particular, in this section, our objective was to use the developed HALAH prototype to test the efficacy of the consent model proposed in Section 5.5: a patient must be able to create the object C = (I, A, P, T, L, E) through an interface, and the object must carry every component that the later checks need. For validating the other objectives of this thesis, we have extended the same prototype (see Chapters 6 to 9).</w:t>
      </w:r>
    </w:p>
    <w:p>
      <w:pPr/>
      <w:r>
        <w:rPr>
          <w:color w:val="FF0000"/>
        </w:rPr>
        <w:t>As discussed in Chapter 2, one of the major challenges of consent management in healthcare is that a stored record of permission does not establish who may act on it, whether every required party agreed, or whether a request stays within the purpose and the data scope that the patient set. With our framework, the consent object carries these conditions, and the prototype makes the design testable: the same code that the interface calls is called by the automated tests, so a check that the interface enforces can also be attacked directly at the service level, which is how the gaps closed by the hardening of 1 October 2026 were found. The prototype also produces evidence: every creation, approval, decision and revocation is written to the audit ledger with the result of each check, so the claims of this and the following chapters can be traced to recorded events rather than to screenshots alone.</w:t>
      </w:r>
    </w:p>
    <w:p>
      <w:pPr/>
      <w:r>
        <w:rPr>
          <w:color w:val="FF0000"/>
        </w:rPr>
        <w:t>We used the Ethereum test network Sepolia as the computing platform for the on-chain part of the prototype, and Solidity as its programming language (Ethereum Foundation 2026a). Sepolia was chosen because it runs the same virtual machine as the Ethereum main network, so the contract and its transactions behave as they would in production, while its ether has no monetary value, which allowed the mint and revoke transactions to be repeated during development. The prototype is not engineered for throughput or for a production deployment; its purpose is to validate the design.</w:t>
      </w:r>
    </w:p>
    <w:p>
      <w:pPr>
        <w:pStyle w:val="2"/>
      </w:pPr>
      <w:r>
        <w:t>5.7 Datasets Used for Validation</w:t>
      </w:r>
    </w:p>
    <w:p w14:paraId="012CE1B9"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w:t>
      </w:r>
      <w:r>
        <w:rPr/>
        <w:t xml:space="preserve"> The Synthea 1K sample is a public synthetic healthcare dataset of 1,000 simulated patient records, with patient demographics, medical conditions, medications and procedures in CSV files.</w:t>
      </w:r>
      <w:r>
        <w:t xml:space="preserve">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w:t>
      </w:r>
      <w:r>
        <w:rPr/>
        <w:t xml:space="preserve"> and the healthcare data-access scenarios used to test the prototype</w:t>
      </w:r>
      <w:r>
        <w:t>. The authorisation decisions do not depend on the clinical content, and no medical content is written to the chain. The records are not changed. The only step is the selection of the subset loaded into the local database of the prototype.</w:t>
      </w:r>
    </w:p>
    <w:p>
      <w:pPr/>
      <w:r>
        <w:rPr>
          <w:color w:val="FF0000"/>
        </w:rPr>
        <w:t>Table 5.3 shows the Synthea tables loaded by the prototype, the number of records in the loaded subset, and the consent module that each table supplies. The patient DID of the prototype is derived from the Synthea patient identifier, and the records of a patient are selected by that identifier when a consent authorises the module.</w:t>
      </w:r>
    </w:p>
    <w:p>
      <w:pPr>
        <w:keepNext/>
        <w:spacing w:before="160" w:after="160"/>
        <w:jc w:val="center"/>
      </w:pPr>
      <w:r>
        <w:rPr>
          <w:color w:val="FF0000"/>
          <w:sz w:val="20"/>
        </w:rPr>
        <w:t>Table 5.3: Synthea tables loaded by the prototype and the consent module supplied by each</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814"/>
        <w:gridCol w:w="1814"/>
        <w:gridCol w:w="2494"/>
        <w:gridCol w:w="2381"/>
      </w:tblGrid>
      <w:tr>
        <w:trPr>
          <w:tblHeader/>
          <w:cantSplit/>
        </w:trPr>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Synthea table</w:t>
            </w:r>
          </w:p>
        </w:tc>
        <w:tc>
          <w:tcPr>
            <w:tcW w:type="dxa" w:w="181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 in the loaded subset</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 selected by</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Consent module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113</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 (the source of the patient DID)</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 identity in the patient interface</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4,428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Observation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2,931</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Medication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4,748</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Condition</w:t>
            </w:r>
          </w:p>
        </w:tc>
      </w:tr>
      <w:tr>
        <w:trPr>
          <w:cantSplit/>
        </w:trPr>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procedures.csv</w:t>
            </w:r>
          </w:p>
        </w:tc>
        <w:tc>
          <w:tcPr>
            <w:tcW w:type="dxa" w:w="181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4,237</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PATIENT</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Procedure</w:t>
            </w:r>
          </w:p>
        </w:tc>
      </w:tr>
    </w:tbl>
    <w:p>
      <w:pPr>
        <w:pStyle w:val="2"/>
      </w:pPr>
      <w:r>
        <w:rPr>
          <w:color w:val="FF0000"/>
        </w:rPr>
        <w:t>5.8 Steps in the Working of the Prototype System for Consent Creation</w:t>
      </w:r>
    </w:p>
    <w:p>
      <w:pPr/>
      <w:r>
        <w:rPr>
          <w:color w:val="FF0000"/>
        </w:rPr>
        <w:t>In order to create a consent, the HALAH prototype carries out its work at two levels, namely the patient interface and the service layer. In the patient interface, the consent specification is entered and checked. In the service layer, the consent object is constructed, stored and recorded in the audit ledger. The steps at both levels follow Algorithm 1 and are explained below in Section 5.8.1 and Section 5.8.2 respectively, and Figure 5.7 shows the patient interface after a consent has been created.</w:t>
      </w:r>
    </w:p>
    <w:p>
      <w:pPr>
        <w:pStyle w:val="3"/>
      </w:pPr>
      <w:r>
        <w:rPr>
          <w:color w:val="FF0000"/>
        </w:rPr>
        <w:t>5.8.1 Steps in the patient interface</w:t>
      </w:r>
    </w:p>
    <w:p>
      <w:pPr/>
      <w:r>
        <w:rPr>
          <w:color w:val="FF0000"/>
        </w:rPr>
        <w:t>1. The patient selects the role Patient and their own DID, which the prototype loads from the record set.</w:t>
      </w:r>
    </w:p>
    <w:p>
      <w:pPr/>
      <w:r>
        <w:rPr>
          <w:color w:val="FF0000"/>
        </w:rPr>
        <w:t>2. The patient enters the DID of the authorised doctor and the DIDs of the guardians, separated by commas.</w:t>
      </w:r>
    </w:p>
    <w:p>
      <w:pPr/>
      <w:r>
        <w:rPr>
          <w:color w:val="FF0000"/>
        </w:rPr>
        <w:t>3. The patient selects the data modules from Observation, Medication, Condition and Procedure, and sets the start and expiry times.</w:t>
      </w:r>
    </w:p>
    <w:p>
      <w:pPr/>
      <w:r>
        <w:rPr>
          <w:color w:val="FF0000"/>
        </w:rPr>
        <w:t>4. The patient presses Initial Consent. The prototype checks that at least one guardian is listed, that the doctor DID holds a valid doctor credential, that each guardian DID holds a valid guardian credential, that no guardian appears twice, that the data scope is not empty and that the expiry time is later than the start time. If any check fails, an error message names the failed field and nothing is stored.</w:t>
      </w:r>
    </w:p>
    <w:p>
      <w:pPr>
        <w:pStyle w:val="3"/>
      </w:pPr>
      <w:r>
        <w:rPr>
          <w:color w:val="FF0000"/>
        </w:rPr>
        <w:t>5.8.2 Steps in the service layer</w:t>
      </w:r>
    </w:p>
    <w:p>
      <w:pPr/>
      <w:r>
        <w:rPr>
          <w:color w:val="FF0000"/>
        </w:rPr>
        <w:t>5. If every check passes, the service layer assigns the consent identifier, stores the object in the state PENDING_SIGNATURE with N set to the number of guardians, writes the CREATE_CONSENT event to the audit ledger, and returns the identifier to the interface, which shows it to the patient.</w:t>
      </w:r>
    </w:p>
    <w:p>
      <w:pPr/>
      <w:r>
        <w:rPr>
          <w:color w:val="FF0000"/>
        </w:rPr>
        <w:t>6. The new consent appears in the patient's list with 0 of N approvals, where it waits for the guardians, whose steps are presented in Chapter 7.</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7"/>
                    <a:stretch>
                      <a:fillRect/>
                    </a:stretch>
                  </pic:blipFill>
                  <pic:spPr>
                    <a:xfrm>
                      <a:off x="0" y="0"/>
                      <a:ext cx="4860000" cy="3645000"/>
                    </a:xfrm>
                    <a:prstGeom prst="rect"/>
                  </pic:spPr>
                </pic:pic>
              </a:graphicData>
            </a:graphic>
          </wp:inline>
        </w:drawing>
      </w:r>
    </w:p>
    <w:p>
      <w:pPr>
        <w:spacing w:before="160" w:after="160"/>
        <w:jc w:val="center"/>
      </w:pPr>
      <w:r>
        <w:rPr>
          <w:color w:val="FF0000"/>
          <w:sz w:val="20"/>
        </w:rPr>
        <w:t>Figure 5.7: The patient interface of the HALAH prototype after a consent has been created.</w:t>
      </w:r>
    </w:p>
    <w:p>
      <w:pPr>
        <w:pStyle w:val="2"/>
      </w:pPr>
      <w:r>
        <w:rPr>
          <w:color w:val="FF0000"/>
        </w:rPr>
        <w:t>5.9 Prototype Evaluation and Discussion</w:t>
      </w:r>
    </w:p>
    <w:p>
      <w:pPr/>
      <w:r>
        <w:rPr>
          <w:color w:val="FF0000"/>
        </w:rPr>
        <w:t>Objective one involves the representation of patient consent as an evaluable authorisation object. The result of RO1 is therefore the conceptual model of Sections 5.2 to 5.5, not a set of measurements. The prototype results reported in this section show only that the model can be realised and behaves as specified, so they are reported as outcomes, created or rejected, rather than as numbers; the quantitative evaluation of the complete framework is given in Chapter 10. The results of the validation carried out for this objective are shown in Figure 5.8 and Table 5.4, and the security properties of the architecture are examined in Table 5.5. 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rPr>
          <w:color w:val="FF0000"/>
        </w:rPr>
        <w:t>5.9.1 Validation of Consent Creation</w:t>
      </w:r>
    </w:p>
    <w:p>
      <w:pPr/>
      <w:r>
        <w:rPr>
          <w:color w:val="FF0000"/>
        </w:rP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rPr>
          <w:color w:val="FF0000"/>
        </w:rP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rPr>
          <w:color w:val="FF0000"/>
        </w:rP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8"/>
                    <a:stretch>
                      <a:fillRect/>
                    </a:stretch>
                  </pic:blipFill>
                  <pic:spPr>
                    <a:xfrm>
                      <a:off x="0" y="0"/>
                      <a:ext cx="4860000" cy="2930294"/>
                    </a:xfrm>
                    <a:prstGeom prst="rect"/>
                  </pic:spPr>
                </pic:pic>
              </a:graphicData>
            </a:graphic>
          </wp:inline>
        </w:drawing>
      </w:r>
    </w:p>
    <w:p>
      <w:pPr>
        <w:spacing w:before="160" w:after="160"/>
        <w:jc w:val="center"/>
      </w:pPr>
      <w:r>
        <w:rPr>
          <w:color w:val="FF0000"/>
          <w:sz w:val="20"/>
        </w:rPr>
        <w:t>Figure 5.8: A specification that names the same guardian twice is rejected by Algorithm 1 before any consent is stored.</w:t>
      </w:r>
    </w:p>
    <w:p>
      <w:pPr/>
      <w:r>
        <w:rPr>
          <w:color w:val="FF0000"/>
        </w:rPr>
        <w:t>Table 5.4 brings these results together by component of the consent object. For each component of C it gives the check that Algorithm 1 applies at creation, the evidence from the live runs and the automated tests, and the result observed.</w:t>
      </w:r>
    </w:p>
    <w:p>
      <w:pPr>
        <w:keepNext/>
        <w:spacing w:before="160" w:after="160"/>
        <w:jc w:val="center"/>
      </w:pPr>
      <w:r>
        <w:rPr>
          <w:color w:val="FF0000"/>
          <w:sz w:val="20"/>
        </w:rPr>
        <w:t>Table 5.4: Validation results of the prototype for consent creation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531"/>
        <w:gridCol w:w="2381"/>
        <w:gridCol w:w="2835"/>
        <w:gridCol w:w="1757"/>
      </w:tblGrid>
      <w:tr>
        <w:trPr>
          <w:tblHeader/>
          <w:cantSplit/>
        </w:trPr>
        <w:tc>
          <w:tcPr>
            <w:tcW w:type="dxa" w:w="153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Component</w:t>
            </w:r>
          </w:p>
        </w:tc>
        <w:tc>
          <w:tcPr>
            <w:tcW w:type="dxa" w:w="238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Check at creation (Algorithm 1)</w:t>
            </w:r>
          </w:p>
        </w:tc>
        <w:tc>
          <w:tcPr>
            <w:tcW w:type="dxa" w:w="2835"/>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Evidence</w:t>
            </w:r>
          </w:p>
        </w:tc>
        <w:tc>
          <w:tcPr>
            <w:tcW w:type="dxa" w:w="175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Result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  Identity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1 to 3: the patient identity, the authorised doctor DID holding a valid doctor credential, and each guardian DID holding a valid guardian credential.</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Run of 11 October 2026: a doctor DID without a valid doctor credential and a guardian DID without a valid guardian credential were rejected. Test test_patient_form_checks_the_doctor_and_the_guardians.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Invalid identities rejected before anything is stored; valid identities accepted.</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Authorisation</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3: the guardian set G and the threshold N; no guardian may appear twice.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 specification naming the same guardian twice was rejected (Figure 5.8). Scenario 1 of 24 September 2026 created consent f050c29a with the two guardians did:parent:A and did:parent:B.</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Duplicate guardian rejected; consent created with N set to the number of guardians.</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  Policy</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4 and 5: the purpose and the data scope; the data scope must not be empty.</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Adversarial test A5 (test_A5_empty_scope_is_rejected). Scenario 1 recorded the four data modules and the purpose Treatment; the purpose vocabulary check is exercised by the automated tests.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Empty scope rejected; purpose and scope recorded in the consent object.</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  Time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6: the validity interval T = (ts, te); the expiry time must be later than the start time.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Scenario 1 recorded a validity window ending on 31 December 2026; the prototype refuses an expiry time that is not later than the start time (Section 5.8).</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Validity interval recorded; the interval is enforced at every request by VT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  Lifecycle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Steps 8 and 9: the consent identifier is generated and the object is created in the state PENDING_SIGNATURE.</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Consents f050c29a, 04da25f5 and 18ab9b62 were created in PENDING_SIGNATURE. Test test_consent_persists_across_reload: the stored object, including its state, is unchanged after a reload from disk.</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Created in PENDING_SIGNATURE; no access is possible until the state is ACTIVE (Chapter 9).</w:t>
            </w:r>
          </w:p>
        </w:tc>
      </w:tr>
      <w:tr>
        <w:trPr>
          <w:cantSplit/>
        </w:trPr>
        <w:tc>
          <w:tcPr>
            <w:tcW w:type="dxa" w:w="153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  Evidence</w:t>
            </w:r>
          </w:p>
        </w:tc>
        <w:tc>
          <w:tcPr>
            <w:tcW w:type="dxa" w:w="238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Step 11: the CREATE_CONSENT event is written to the audit ledger with the consent identifier, participants and timestamp.</w:t>
            </w:r>
          </w:p>
        </w:tc>
        <w:tc>
          <w:tcPr>
            <w:tcW w:type="dxa" w:w="2835"/>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Ledger events at 09:50:49 (f050c29a), 10:55:49 (04da25f5) and 17:41:36 (18ab9b62), each with the result SUCCESS. Nothing was logged for the three rejected submissions.</w:t>
            </w:r>
          </w:p>
        </w:tc>
        <w:tc>
          <w:tcPr>
            <w:tcW w:type="dxa" w:w="175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Every creation is logged; a rejected specification stores and logs nothing.</w:t>
            </w:r>
          </w:p>
        </w:tc>
      </w:tr>
    </w:tbl>
    <w:p>
      <w:pPr>
        <w:pStyle w:val="3"/>
      </w:pPr>
      <w:r>
        <w:rPr>
          <w:color w:val="FF0000"/>
        </w:rPr>
        <w:t>5.9.2 Evaluation of the Architecture against the Security Properties</w:t>
      </w:r>
    </w:p>
    <w:p>
      <w:pPr/>
      <w:r>
        <w:rPr>
          <w:color w:val="FF0000"/>
        </w:rPr>
        <w:t>The proposed MVC architecture provides several foundational security properties for the current stage. These properties emerge from the interaction between the Model, View, and Controller rather than from any single technology.</w:t>
      </w:r>
    </w:p>
    <w:p>
      <w:pPr/>
      <w:r>
        <w:rPr>
          <w:color w:val="FF0000"/>
        </w:rP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5.5, in which collective authorisation integrity and decision accountability appear as multi-party authorisation integrity and authorisation evidence respectively.</w:t>
      </w:r>
    </w:p>
    <w:p>
      <w:pPr>
        <w:keepNext/>
        <w:spacing w:before="160" w:after="160"/>
        <w:jc w:val="center"/>
      </w:pPr>
      <w:r>
        <w:rPr>
          <w:color w:val="FF0000"/>
          <w:sz w:val="20"/>
        </w:rPr>
        <w:t>Table 5.5: Security properties supported by the proposed MVC-based consent architecture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Designed to prevent user-interface actions from being interpreted directly as trusted authorisation outcomes.</w:t>
            </w:r>
          </w:p>
        </w:tc>
      </w:tr>
    </w:tbl>
    <w:p>
      <w:pPr/>
      <w:r>
        <w:rPr>
          <w:color w:val="FF0000"/>
        </w:rPr>
      </w:r>
    </w:p>
    <w:p>
      <w:pPr/>
      <w:r>
        <w:rPr>
          <w:color w:val="FF0000"/>
        </w:rPr>
        <w:t>Each property in Table 5.5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3"/>
      </w:pPr>
      <w:r>
        <w:rPr>
          <w:color w:val="FF0000"/>
        </w:rPr>
        <w:t>5.9.3 Discussion</w:t>
      </w:r>
    </w:p>
    <w:p>
      <w:pPr/>
      <w:r>
        <w:rPr>
          <w:color w:val="FF0000"/>
        </w:rPr>
        <w:t>The use of the consent object for consent creation has several advantages which include completeness, rejection before storage, and evidence. Completeness means that a created consent carries every condition that the later checks need, so no check has to look for its condition outside the object. Rejection before storage means that an invalid specification leaves no record behind, so the store never holds a consent that cannot be evaluated. Evidence means that every creation is written to the audit ledger with its identifier, its participants and its time, so the later decisions can be traced back to the consent they were taken on.</w:t>
      </w:r>
    </w:p>
    <w:p>
      <w:pPr/>
      <w:r>
        <w:rPr>
          <w:color w:val="FF0000"/>
        </w:rPr>
        <w:t>On the other hand, the trade-off is rigidity. A consent cannot be changed after it has been created, so a change of doctor, guardian or data scope requires a new consent, and the credentials of the doctor and of every guardian must have been issued before the consent can be created (see Chapter 6). In the current interface, the purpose is also fixed to Treatment. Although these may be considered limitations of the method, the certainty that every stored consent is complete and that every creation is recorded outweighs them at this stage, and consent modification is addressed in the next stage of the research (Chapter 9).</w:t>
      </w:r>
    </w:p>
    <w:p>
      <w:pPr>
        <w:pStyle w:val="2"/>
      </w:pPr>
      <w:r>
        <w:rPr>
          <w:color w:val="FF0000"/>
        </w:rPr>
        <w:t>5.10 Conclusion</w:t>
      </w:r>
    </w:p>
    <w:p>
      <w:pPr/>
      <w:r>
        <w:rPr>
          <w:color w:val="FF0000"/>
        </w:rPr>
        <w:t>In this chapter, we discussed the research architecture on which the whole framework is built. In particular, we discussed the three layers of the architecture, where trust is evaluated and where the boundaries between the layers lie, and how the architecture maps to the six research objectives. In addition, we proposed a model to represent patient consent as the evaluable object C = (I, A, P, T, L, E), created through Algorithm 1 only when every field is valid, assigned a unique identifier, persisted in the state PENDING_SIGNATURE and recorded in the audit ledger. This addressed the first research objective of this thesis.</w:t>
      </w:r>
    </w:p>
    <w:p>
      <w:pPr/>
      <w:r>
        <w:rPr>
          <w:color w:val="FF0000"/>
        </w:rPr>
        <w:t>In this chapter we also presented the prototype used for validating the solution to research objective 1. This was done using a public synthetic dataset. At the end of the validation process, the results show that valid specifications are created with all six components and that invalid ones are rejected before anything is stored, and the architecture was evaluated against the six security properties it is designed to provide. However, a key finding from the validation was that a consent cannot be changed once it has been created; the users of HALAH will have to create a new consent when its terms change.</w:t>
      </w:r>
    </w:p>
    <w:p>
      <w:pPr/>
      <w:r>
        <w:rPr>
          <w:color w:val="FF0000"/>
        </w:rPr>
        <w:t>The next chapter will discuss in a methodological manner the steps involved in verifying who the participants are and what authority they hold, which is the solution for research objective 2.</w:t>
      </w:r>
    </w:p>
    <w:sectPr w:rsidR="009262C4">
      <w:headerReference w:type="default" r:id="rId39"/>
      <w:headerReference w:type="even" r:id="rId40"/>
      <w:footerReference w:type="default" r:id="rId34"/>
      <w:footerReference w:type="even" r:id="rId41"/>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header" Target="header1.xml"/><Relationship Id="rId40" Type="http://schemas.openxmlformats.org/officeDocument/2006/relationships/header" Target="header2.xml"/><Relationship Id="rId4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2026-10-22T08:43:42Z</dcterms:created>
  <dcterms:modified xsi:type="dcterms:W3CDTF">2026-10-22T08:43:42Z</dcterms:modified>
</cp:coreProperties>
</file>