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16</w:t>
      </w:r>
    </w:p>
    <w:p>
      <w:pPr>
        <w:tabs>
          <w:tab w:val="right" w:pos="9128" w:leader="dot"/>
        </w:tabs>
        <w:spacing w:after="100"/>
      </w:pPr>
      <w:r>
        <w:rPr>
          <w:rFonts w:ascii="Times New Roman" w:cs="Times New Roman" w:eastAsia="Times New Roman" w:hAnsi="Times New Roman"/>
          <w:sz w:val="22"/>
          <w:szCs w:val="22"/>
        </w:rPr>
        <w:t xml:space="preserve">4. Research Objectives	19</w:t>
      </w:r>
    </w:p>
    <w:p>
      <w:pPr>
        <w:tabs>
          <w:tab w:val="right" w:pos="9128" w:leader="dot"/>
        </w:tabs>
        <w:spacing w:after="100"/>
      </w:pPr>
      <w:r>
        <w:rPr>
          <w:rFonts w:ascii="Times New Roman" w:cs="Times New Roman" w:eastAsia="Times New Roman" w:hAnsi="Times New Roman"/>
          <w:sz w:val="22"/>
          <w:szCs w:val="22"/>
        </w:rPr>
        <w:t xml:space="preserve">5. Research Architecture: MVC	21</w:t>
      </w:r>
    </w:p>
    <w:p>
      <w:pPr>
        <w:tabs>
          <w:tab w:val="right" w:pos="9128" w:leader="dot"/>
        </w:tabs>
        <w:spacing w:after="100"/>
      </w:pPr>
      <w:r>
        <w:rPr>
          <w:rFonts w:ascii="Times New Roman" w:cs="Times New Roman" w:eastAsia="Times New Roman" w:hAnsi="Times New Roman"/>
          <w:sz w:val="22"/>
          <w:szCs w:val="22"/>
        </w:rPr>
        <w:t xml:space="preserve">6. The Proposed Solution for RO1	27</w:t>
      </w:r>
    </w:p>
    <w:p>
      <w:pPr>
        <w:tabs>
          <w:tab w:val="right" w:pos="9128" w:leader="dot"/>
        </w:tabs>
        <w:spacing w:after="100"/>
      </w:pPr>
      <w:r>
        <w:rPr>
          <w:rFonts w:ascii="Times New Roman" w:cs="Times New Roman" w:eastAsia="Times New Roman" w:hAnsi="Times New Roman"/>
          <w:sz w:val="22"/>
          <w:szCs w:val="22"/>
        </w:rPr>
        <w:t xml:space="preserve">7. The Proposed Solution for RO2	31</w:t>
      </w:r>
    </w:p>
    <w:p>
      <w:pPr>
        <w:tabs>
          <w:tab w:val="right" w:pos="9128" w:leader="dot"/>
        </w:tabs>
        <w:spacing w:after="100"/>
      </w:pPr>
      <w:r>
        <w:rPr>
          <w:rFonts w:ascii="Times New Roman" w:cs="Times New Roman" w:eastAsia="Times New Roman" w:hAnsi="Times New Roman"/>
          <w:sz w:val="22"/>
          <w:szCs w:val="22"/>
        </w:rPr>
        <w:t xml:space="preserve">8. The Proposed Solution for RO3	34</w:t>
      </w:r>
    </w:p>
    <w:p>
      <w:pPr>
        <w:tabs>
          <w:tab w:val="right" w:pos="9128" w:leader="dot"/>
        </w:tabs>
        <w:spacing w:after="100"/>
      </w:pPr>
      <w:r>
        <w:rPr>
          <w:rFonts w:ascii="Times New Roman" w:cs="Times New Roman" w:eastAsia="Times New Roman" w:hAnsi="Times New Roman"/>
          <w:sz w:val="22"/>
          <w:szCs w:val="22"/>
        </w:rPr>
        <w:t xml:space="preserve">9. The Proposed Solution for RO4	39</w:t>
      </w:r>
    </w:p>
    <w:p>
      <w:pPr>
        <w:tabs>
          <w:tab w:val="right" w:pos="9128" w:leader="dot"/>
        </w:tabs>
        <w:spacing w:after="100"/>
      </w:pPr>
      <w:r>
        <w:rPr>
          <w:rFonts w:ascii="Times New Roman" w:cs="Times New Roman" w:eastAsia="Times New Roman" w:hAnsi="Times New Roman"/>
          <w:sz w:val="22"/>
          <w:szCs w:val="22"/>
        </w:rPr>
        <w:t xml:space="preserve">10. The Proposed Solution for RO5	43</w:t>
      </w:r>
    </w:p>
    <w:p>
      <w:pPr>
        <w:tabs>
          <w:tab w:val="right" w:pos="9128" w:leader="dot"/>
        </w:tabs>
        <w:spacing w:after="100"/>
      </w:pPr>
      <w:r>
        <w:rPr>
          <w:rFonts w:ascii="Times New Roman" w:cs="Times New Roman" w:eastAsia="Times New Roman" w:hAnsi="Times New Roman"/>
          <w:sz w:val="22"/>
          <w:szCs w:val="22"/>
        </w:rPr>
        <w:t xml:space="preserve">11. The Proposed Solution for RO6	46</w:t>
      </w:r>
    </w:p>
    <w:p>
      <w:pPr>
        <w:tabs>
          <w:tab w:val="right" w:pos="9128" w:leader="dot"/>
        </w:tabs>
        <w:spacing w:after="100"/>
      </w:pPr>
      <w:r>
        <w:rPr>
          <w:rFonts w:ascii="Times New Roman" w:cs="Times New Roman" w:eastAsia="Times New Roman" w:hAnsi="Times New Roman"/>
          <w:sz w:val="22"/>
          <w:szCs w:val="22"/>
        </w:rPr>
        <w:t xml:space="preserve">12. Publications Summary	59</w:t>
      </w:r>
    </w:p>
    <w:p>
      <w:pPr>
        <w:tabs>
          <w:tab w:val="right" w:pos="9128" w:leader="dot"/>
        </w:tabs>
        <w:spacing w:after="100"/>
      </w:pPr>
      <w:r>
        <w:rPr>
          <w:rFonts w:ascii="Times New Roman" w:cs="Times New Roman" w:eastAsia="Times New Roman" w:hAnsi="Times New Roman"/>
          <w:sz w:val="22"/>
          <w:szCs w:val="22"/>
        </w:rPr>
        <w:t xml:space="preserve">13. Research Plan	60</w:t>
      </w:r>
    </w:p>
    <w:p>
      <w:pPr>
        <w:tabs>
          <w:tab w:val="right" w:pos="9128" w:leader="dot"/>
        </w:tabs>
        <w:spacing w:after="100"/>
      </w:pPr>
      <w:r>
        <w:rPr>
          <w:rFonts w:ascii="Times New Roman" w:cs="Times New Roman" w:eastAsia="Times New Roman" w:hAnsi="Times New Roman"/>
          <w:sz w:val="22"/>
          <w:szCs w:val="22"/>
        </w:rPr>
        <w:t xml:space="preserve">References	62</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1,800 records advanced to full text and were read in a prioritised order under a dimension-level saturation rule. Records that were clearly unrelated to the review scope were excluded at that stage. Saturation is declared when eight consecutively coded studies with a positive signal for a dimension yield no new mechanism class. At the checkpoint, 44 reports had been fully coded and passed the quality gate, whereas 1,735 of the 1,800 records had not been assessed, so corpus completeness is bounded by the saturation rule rather than by exhaustive reading.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1 lists the 25 primary studies with their year, title, and category.</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Soohoo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the first study to enforce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the first complete formal assurance in the corpus, although only for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The panel records an inverse relation between predicate breadth and assurance strength. No study executes adversarial scenarios that examine whether security controls can resist deliberate attempts to circumvent the authorisation process. </w:t>
      </w:r>
      <w:r>
        <w:rPr>
          <w:rFonts w:ascii="Times New Roman" w:cs="Times New Roman" w:eastAsia="Times New Roman" w:hAnsi="Times New Roman"/>
          <w:color w:val="FF0000"/>
          <w:sz w:val="22"/>
          <w:szCs w:val="22"/>
        </w:rPr>
        <w:t xml:space="preserve">Table 2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3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 For the proposed framework, Yes denotes a requirement that is addressed and validated at the current stage, and Partial denotes a requirement that is partially completed and will be completed in CA3.</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The final row of Table 3 positions the proposed framework relative to the existing literature.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9}⟦/r⟧" title="Synthesis of the review: the conjunction gap and the assurance gap addressed by the proposed framework, with the number of the 25 analysed studies ⟦r⟧graded Yes for each requirement in {T9}⟦/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3</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saturation rule and a single coding panel mean that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[62, 63,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4.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5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6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7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8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9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10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12.</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2026-10-03T13:29:28.937Z</dcterms:created>
  <dcterms:modified xsi:type="dcterms:W3CDTF">2026-10-03T13:29:28.937Z</dcterms:modified>
</cp:coreProperties>
</file>

<file path=docProps/custom.xml><?xml version="1.0" encoding="utf-8"?>
<Properties xmlns="http://schemas.openxmlformats.org/officeDocument/2006/custom-properties" xmlns:vt="http://schemas.openxmlformats.org/officeDocument/2006/docPropsVTypes"/>
</file>