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 67].</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is the only step of the Figure 12 workflow that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be a major part of the next stage.</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2026-10-06T04:59:45.636Z</dcterms:created>
  <dcterms:modified xsi:type="dcterms:W3CDTF">2026-10-06T04:59:45.636Z</dcterms:modified>
</cp:coreProperties>
</file>

<file path=docProps/custom.xml><?xml version="1.0" encoding="utf-8"?>
<Properties xmlns="http://schemas.openxmlformats.org/officeDocument/2006/custom-properties" xmlns:vt="http://schemas.openxmlformats.org/officeDocument/2006/docPropsVTypes"/>
</file>