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64</w:t>
      </w:r>
    </w:p>
    <w:p>
      <w:pPr>
        <w:tabs>
          <w:tab w:val="right" w:pos="9128" w:leader="dot"/>
        </w:tabs>
        <w:spacing w:after="100"/>
      </w:pPr>
      <w:r>
        <w:rPr>
          <w:rFonts w:ascii="Times New Roman" w:cs="Times New Roman" w:eastAsia="Times New Roman" w:hAnsi="Times New Roman"/>
          <w:sz w:val="22"/>
          <w:szCs w:val="22"/>
        </w:rPr>
        <w:t xml:space="preserve">13. Research Plan	65</w:t>
      </w:r>
    </w:p>
    <w:p>
      <w:pPr>
        <w:tabs>
          <w:tab w:val="right" w:pos="9128" w:leader="dot"/>
        </w:tabs>
        <w:spacing w:after="100"/>
      </w:pPr>
      <w:r>
        <w:rPr>
          <w:rFonts w:ascii="Times New Roman" w:cs="Times New Roman" w:eastAsia="Times New Roman" w:hAnsi="Times New Roman"/>
          <w:sz w:val="22"/>
          <w:szCs w:val="22"/>
        </w:rPr>
        <w:t xml:space="preserve">References	67</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t>
      </w:r>
      <w:r>
        <w:rPr>
          <w:rFonts w:ascii="Times New Roman" w:cs="Times New Roman" w:eastAsia="Times New Roman" w:hAnsi="Times New Roman"/>
          <w:color w:val="00B0F0"/>
          <w:sz w:val="22"/>
          <w:szCs w:val="22"/>
        </w:rPr>
        <w:t xml:space="preserve">while decentralised identifiers [16]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color w:val="00B0F0"/>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color w:val="FF0000"/>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color w:val="FF0000"/>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color w:val="00B0F0"/>
          <w:sz w:val="22"/>
          <w:szCs w:val="22"/>
        </w:rPr>
        <w:t xml:space="preserve">We screened, coded, and assessed every record,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FF0000"/>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color w:val="00B0F0"/>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color w:val="FF0000"/>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color w:val="FF0000"/>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color w:val="FF0000"/>
          <w:sz w:val="22"/>
          <w:szCs w:val="22"/>
        </w:rPr>
        <w:t xml:space="preserve">One full-text report could not be retrieved, and the</w:t>
      </w:r>
      <w:r>
        <w:rPr>
          <w:rFonts w:ascii="Times New Roman" w:cs="Times New Roman" w:eastAsia="Times New Roman" w:hAnsi="Times New Roman"/>
          <w:color w:val="FF0000"/>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color w:val="FF0000"/>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color w:val="FF0000"/>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color w:val="FF0000"/>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color w:val="00B0F0"/>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color w:val="FF0000"/>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color w:val="00B0F0"/>
          <w:sz w:val="22"/>
          <w:szCs w:val="22"/>
        </w:rPr>
        <w:t xml:space="preserve">Each included study was assigned to one stream, normally the one on which it is coded most strongly</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color w:val="00B0F0"/>
          <w:sz w:val="22"/>
          <w:szCs w:val="22"/>
        </w:rPr>
        <w:t xml:space="preserve"> S6 [52]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SooHoo</w:t>
      </w:r>
      <w:r>
        <w:rPr>
          <w:rFonts w:ascii="Times New Roman" w:cs="Times New Roman" w:eastAsia="Times New Roman" w:hAnsi="Times New Roman"/>
          <w:sz w:val="22"/>
          <w:szCs w:val="22"/>
        </w:rPr>
        <w:t xml:space="preserve">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color w:val="FF0000"/>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color w:val="00B0F0"/>
          <w:sz w:val="22"/>
          <w:szCs w:val="22"/>
        </w:rPr>
        <w:t xml:space="preserve">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color w:val="00B0F0"/>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color w:val="FF0000"/>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w:t>
      </w:r>
      <w:r>
        <w:rPr>
          <w:rFonts w:ascii="Times New Roman" w:cs="Times New Roman" w:eastAsia="Times New Roman" w:hAnsi="Times New Roman"/>
          <w:color w:val="00B0F0"/>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color w:val="FF0000"/>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w:t>
      </w:r>
      <w:r>
        <w:rPr>
          <w:rFonts w:ascii="Times New Roman" w:cs="Times New Roman" w:eastAsia="Times New Roman" w:hAnsi="Times New Roman"/>
          <w:color w:val="00B0F0"/>
          <w:sz w:val="22"/>
          <w:szCs w:val="22"/>
        </w:rPr>
        <w:t xml:space="preserve">is demonstrated only by [21, 28, 29],</w:t>
      </w:r>
      <w:r>
        <w:rPr>
          <w:rFonts w:ascii="Times New Roman" w:cs="Times New Roman" w:eastAsia="Times New Roman" w:hAnsi="Times New Roman"/>
          <w:sz w:val="22"/>
          <w:szCs w:val="22"/>
        </w:rPr>
        <w:t xml:space="preserve">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color w:val="FF0000"/>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color w:val="FF0000"/>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 </w:t>
      </w:r>
      <w:r>
        <w:rPr>
          <w:rFonts w:ascii="Times New Roman" w:cs="Times New Roman" w:eastAsia="Times New Roman" w:hAnsi="Times New Roman"/>
          <w:color w:val="FF0000"/>
          <w:sz w:val="22"/>
          <w:szCs w:val="22"/>
        </w:rPr>
        <w:t xml:space="preserve">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color w:val="FF0000"/>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On the normal path a single patient key authorises, so multi-party approval is a contingency</w:t>
            </w:r>
            <w:r>
              <w:rPr>
                <w:rFonts w:ascii="Times New Roman" w:cs="Times New Roman" w:eastAsia="Times New Roman" w:hAnsi="Times New Roman"/>
                <w:b w:val="false"/>
                <w:bCs w:val="false"/>
                <w:color w:val="FF0000"/>
                <w:sz w:val="17"/>
                <w:szCs w:val="17"/>
              </w:rPr>
              <w:t xml:space="preserve">;</w:t>
            </w:r>
            <w:r>
              <w:rPr>
                <w:rFonts w:ascii="Times New Roman" w:cs="Times New Roman" w:eastAsia="Times New Roman" w:hAnsi="Times New Roman"/>
                <w:b w:val="false"/>
                <w:bCs w:val="false"/>
                <w:color w:val="FF0000"/>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color w:val="00B0F0"/>
          <w:sz w:val="22"/>
          <w:szCs w:val="22"/>
        </w:rPr>
        <w:t xml:space="preserve">The multi-party systems carry no purpose condition, whereas the proved schemes either omit policy, temporal validity, and lifecycle or, as in [55],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color w:val="FF0000"/>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color w:val="00B0F0"/>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color w:val="FF0000"/>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color w:val="FF0000"/>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color w:val="00B0F0"/>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B0F0"/>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color w:val="00B0F0"/>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color w:val="FF0000"/>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color w:val="FF0000"/>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color w:val="FF0000"/>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color w:val="FF0000"/>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DID and VC verification separates identity from authority and is evaluated as V</w:t>
            </w:r>
            <w:r>
              <w:rPr>
                <w:rFonts w:ascii="Times New Roman" w:cs="Times New Roman" w:eastAsia="Times New Roman" w:hAnsi="Times New Roman"/>
                <w:b w:val="false"/>
                <w:bCs w:val="false"/>
                <w:color w:val="00B0F0"/>
                <w:sz w:val="17"/>
                <w:szCs w:val="17"/>
                <w:vertAlign w:val="subscript"/>
              </w:rPr>
              <w:t xml:space="preserve">I</w:t>
            </w:r>
            <w:r>
              <w:rPr>
                <w:rFonts w:ascii="Times New Roman" w:cs="Times New Roman" w:eastAsia="Times New Roman" w:hAnsi="Times New Roman"/>
                <w:b w:val="false"/>
                <w:bCs w:val="false"/>
                <w:color w:val="00B0F0"/>
                <w:sz w:val="17"/>
                <w:szCs w:val="17"/>
              </w:rPr>
              <w:t xml:space="preserve"> through Algorithm 2.</w:t>
            </w:r>
            <w:r>
              <w:rPr>
                <w:rFonts w:ascii="Times New Roman" w:cs="Times New Roman" w:eastAsia="Times New Roman" w:hAnsi="Times New Roman"/>
                <w:b w:val="false"/>
                <w:bCs w:val="false"/>
                <w:color w:val="FF0000"/>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N-of-N approval by the guardian set G with EIP-712 guardian signatures [66],</w:t>
            </w:r>
            <w:r>
              <w:rPr>
                <w:rFonts w:ascii="Times New Roman" w:cs="Times New Roman" w:eastAsia="Times New Roman" w:hAnsi="Times New Roman"/>
                <w:b w:val="false"/>
                <w:bCs w:val="false"/>
                <w:color w:val="FF0000"/>
                <w:sz w:val="17"/>
                <w:szCs w:val="17"/>
              </w:rPr>
              <w:t xml:space="preserve"> evaluated as V</w:t>
            </w:r>
            <w:r>
              <w:rPr>
                <w:rFonts w:ascii="Times New Roman" w:cs="Times New Roman" w:eastAsia="Times New Roman" w:hAnsi="Times New Roman"/>
                <w:b w:val="false"/>
                <w:bCs w:val="false"/>
                <w:color w:val="FF0000"/>
                <w:sz w:val="17"/>
                <w:szCs w:val="17"/>
                <w:vertAlign w:val="subscript"/>
              </w:rPr>
              <w:t xml:space="preserve">A</w:t>
            </w:r>
            <w:r>
              <w:rPr>
                <w:rFonts w:ascii="Times New Roman" w:cs="Times New Roman" w:eastAsia="Times New Roman" w:hAnsi="Times New Roman"/>
                <w:b w:val="false"/>
                <w:bCs w:val="false"/>
                <w:color w:val="FF0000"/>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and a non-empty data scope within the consent are evaluated as V</w:t>
            </w:r>
            <w:r>
              <w:rPr>
                <w:rFonts w:ascii="Times New Roman" w:cs="Times New Roman" w:eastAsia="Times New Roman" w:hAnsi="Times New Roman"/>
                <w:b w:val="false"/>
                <w:bCs w:val="false"/>
                <w:color w:val="FF0000"/>
                <w:sz w:val="17"/>
                <w:szCs w:val="17"/>
                <w:vertAlign w:val="subscript"/>
              </w:rPr>
              <w:t xml:space="preserve">P</w:t>
            </w:r>
            <w:r>
              <w:rPr>
                <w:rFonts w:ascii="Times New Roman" w:cs="Times New Roman" w:eastAsia="Times New Roman" w:hAnsi="Times New Roman"/>
                <w:b w:val="false"/>
                <w:bCs w:val="false"/>
                <w:color w:val="FF0000"/>
                <w:sz w:val="17"/>
                <w:szCs w:val="17"/>
              </w:rPr>
              <w:t xml:space="preserve"> through Algorithm 4, together with the jurisdiction condition V</w:t>
            </w:r>
            <w:r>
              <w:rPr>
                <w:rFonts w:ascii="Times New Roman" w:cs="Times New Roman" w:eastAsia="Times New Roman" w:hAnsi="Times New Roman"/>
                <w:b w:val="false"/>
                <w:bCs w:val="false"/>
                <w:color w:val="FF0000"/>
                <w:sz w:val="17"/>
                <w:szCs w:val="17"/>
                <w:vertAlign w:val="subscript"/>
              </w:rPr>
              <w:t xml:space="preserve">L</w:t>
            </w:r>
            <w:r>
              <w:rPr>
                <w:rFonts w:ascii="Times New Roman" w:cs="Times New Roman" w:eastAsia="Times New Roman" w:hAnsi="Times New Roman"/>
                <w:b w:val="false"/>
                <w:bCs w:val="false"/>
                <w:color w:val="FF0000"/>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The validity window V</w:t>
            </w:r>
            <w:r>
              <w:rPr>
                <w:rFonts w:ascii="Times New Roman" w:cs="Times New Roman" w:eastAsia="Times New Roman" w:hAnsi="Times New Roman"/>
                <w:b w:val="false"/>
                <w:bCs w:val="false"/>
                <w:color w:val="00B0F0"/>
                <w:sz w:val="17"/>
                <w:szCs w:val="17"/>
                <w:vertAlign w:val="subscript"/>
              </w:rPr>
              <w:t xml:space="preserve">T</w:t>
            </w:r>
            <w:r>
              <w:rPr>
                <w:rFonts w:ascii="Times New Roman" w:cs="Times New Roman" w:eastAsia="Times New Roman" w:hAnsi="Times New Roman"/>
                <w:b w:val="false"/>
                <w:bCs w:val="false"/>
                <w:color w:val="00B0F0"/>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67] </w:t>
      </w:r>
      <w:r>
        <w:rPr>
          <w:rFonts w:ascii="Times New Roman" w:cs="Times New Roman" w:eastAsia="Times New Roman" w:hAnsi="Times New Roman"/>
          <w:color w:val="00B0F0"/>
          <w:sz w:val="22"/>
          <w:szCs w:val="22"/>
        </w:rPr>
        <w:t xml:space="preserve">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color w:val="00B0F0"/>
          <w:sz w:val="22"/>
          <w:szCs w:val="22"/>
        </w:rPr>
        <w:t xml:space="preserve">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[21, 24, 28, 48, 67]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color w:val="00B0F0"/>
          <w:sz w:val="22"/>
          <w:szCs w:val="22"/>
        </w:rPr>
        <w:t xml:space="preserve">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color w:val="00B0F0"/>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color w:val="00B0F0"/>
          <w:sz w:val="22"/>
          <w:szCs w:val="22"/>
        </w:rPr>
        <w:t xml:space="preserve">requires the Groth16 ZK proof [69]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w:t>
      </w:r>
      <w:r>
        <w:rPr>
          <w:rFonts w:ascii="Times New Roman" w:cs="Times New Roman" w:eastAsia="Times New Roman" w:hAnsi="Times New Roman"/>
          <w:color w:val="FF0000"/>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color w:val="00B0F0"/>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color w:val="00B0F0"/>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color w:val="00B0F0"/>
          <w:sz w:val="18"/>
          <w:szCs w:val="18"/>
        </w:rPr>
        <w:t xml:space="preserve">Trust predicate evaluation and authorisation decision flow (in the current prototype, V</w:t>
      </w:r>
      <w:r>
        <w:rPr>
          <w:rFonts w:ascii="Times New Roman" w:cs="Times New Roman" w:eastAsia="Times New Roman" w:hAnsi="Times New Roman"/>
          <w:color w:val="00B0F0"/>
          <w:sz w:val="18"/>
          <w:szCs w:val="18"/>
          <w:vertAlign w:val="subscript"/>
        </w:rPr>
        <w:t xml:space="preserve">I</w:t>
      </w:r>
      <w:r>
        <w:rPr>
          <w:rFonts w:ascii="Times New Roman" w:cs="Times New Roman" w:eastAsia="Times New Roman" w:hAnsi="Times New Roman"/>
          <w:color w:val="00B0F0"/>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color w:val="00B0F0"/>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color w:val="00B0F0"/>
          <w:sz w:val="22"/>
          <w:szCs w:val="22"/>
        </w:rPr>
        <w:t xml:space="preserve">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 therefore contains each member of G at most once, and an approval from a signer outside G does not enter 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w:t>
      </w:r>
      <w:r>
        <w:rPr>
          <w:rFonts w:ascii="Times New Roman" w:cs="Times New Roman" w:eastAsia="Times New Roman" w:hAnsi="Times New Roman"/>
          <w:color w:val="00B0F0"/>
          <w:sz w:val="22"/>
          <w:szCs w:val="22"/>
        </w:rPr>
        <w:t xml:space="preserve">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 {g ∈ G | ∃ a</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 ∈ A</w:t>
      </w:r>
      <w:r>
        <w:rPr>
          <w:rFonts w:ascii="Cambria Math" w:cs="Cambria Math" w:eastAsia="Cambria Math" w:hAnsi="Cambria Math"/>
          <w:i w:val="false"/>
          <w:iCs w:val="false"/>
          <w:color w:val="00B0F0"/>
          <w:sz w:val="21"/>
          <w:szCs w:val="21"/>
          <w:vertAlign w:val="subscript"/>
        </w:rPr>
        <w:t xml:space="preserve">s</w:t>
      </w:r>
      <w:r>
        <w:rPr>
          <w:rFonts w:ascii="Cambria Math" w:cs="Cambria Math" w:eastAsia="Cambria Math" w:hAnsi="Cambria Math"/>
          <w:i w:val="false"/>
          <w:iCs w:val="false"/>
          <w:color w:val="00B0F0"/>
          <w:sz w:val="21"/>
          <w:szCs w:val="21"/>
        </w:rPr>
        <w:t xml:space="preserve"> submitted by g with 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color w:val="00B0F0"/>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color w:val="00B0F0"/>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[71, 37, 44, 58</w:t>
      </w:r>
      <w:r>
        <w:rPr>
          <w:rFonts w:ascii="Times New Roman" w:cs="Times New Roman" w:eastAsia="Times New Roman" w:hAnsi="Times New Roman"/>
          <w:sz w:val="22"/>
          <w:szCs w:val="22"/>
        </w:rPr>
        <w:t xml:space="preserve">, 66</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w:t>
      </w:r>
      <w:r>
        <w:rPr>
          <w:rFonts w:ascii="Times New Roman" w:cs="Times New Roman" w:eastAsia="Times New Roman" w:hAnsi="Times New Roman"/>
          <w:color w:val="FF0000"/>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color w:val="00B0F0"/>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color w:val="00B0F0"/>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color w:val="00B0F0"/>
          <w:sz w:val="22"/>
          <w:szCs w:val="22"/>
        </w:rPr>
        <w:t xml:space="preserve">The system then validates the guardian set G, which must contain at least one guardian with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color w:val="00B0F0"/>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color w:val="00B0F0"/>
          <w:sz w:val="19"/>
          <w:szCs w:val="19"/>
        </w:rPr>
        <w:t xml:space="preserve">Validate authorised doctor D, guardian set G, purpose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data scope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 any member of G is invalid,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is invalid, or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color w:val="00B0F0"/>
          <w:sz w:val="19"/>
          <w:szCs w:val="19"/>
        </w:rPr>
        <w:t xml:space="preserve">Construct C = (I, A, P, T, L, E) with identifier id</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where I holds I</w:t>
      </w:r>
      <w:r>
        <w:rPr>
          <w:rFonts w:ascii="Times New Roman" w:cs="Times New Roman" w:eastAsia="Times New Roman" w:hAnsi="Times New Roman"/>
          <w:color w:val="00B0F0"/>
          <w:sz w:val="19"/>
          <w:szCs w:val="19"/>
          <w:vertAlign w:val="subscript"/>
        </w:rPr>
        <w:t xml:space="preserve">p</w:t>
      </w:r>
      <w:r>
        <w:rPr>
          <w:rFonts w:ascii="Times New Roman" w:cs="Times New Roman" w:eastAsia="Times New Roman" w:hAnsi="Times New Roman"/>
          <w:color w:val="00B0F0"/>
          <w:sz w:val="19"/>
          <w:szCs w:val="19"/>
        </w:rPr>
        <w:t xml:space="preserve"> and D, A holds G and the threshold N = |G|, and P holds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S</w:t>
      </w:r>
      <w:r>
        <w:rPr>
          <w:rFonts w:ascii="Times New Roman" w:cs="Times New Roman" w:eastAsia="Times New Roman" w:hAnsi="Times New Roman"/>
          <w:color w:val="00B0F0"/>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color w:val="00B0F0"/>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color w:val="00B0F0"/>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color w:val="00B0F0"/>
          <w:sz w:val="18"/>
          <w:szCs w:val="18"/>
        </w:rPr>
        <w:t xml:space="preserve">RO2 workflow for decentralised identity and authority verification (target design</w:t>
      </w:r>
      <w:r>
        <w:rPr>
          <w:rFonts w:ascii="Times New Roman" w:cs="Times New Roman" w:eastAsia="Times New Roman" w:hAnsi="Times New Roman"/>
          <w:color w:val="00B0F0"/>
          <w:sz w:val="18"/>
          <w:szCs w:val="18"/>
        </w:rPr>
        <w:t xml:space="preserve">;</w:t>
      </w:r>
      <w:r>
        <w:rPr>
          <w:rFonts w:ascii="Times New Roman" w:cs="Times New Roman" w:eastAsia="Times New Roman" w:hAnsi="Times New Roman"/>
          <w:color w:val="00B0F0"/>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color w:val="00B0F0"/>
          <w:sz w:val="22"/>
          <w:szCs w:val="22"/>
        </w:rPr>
        <w:t xml:space="preserve">two-layer verification mechanism, VerifyDID(u) ∧ VerifyVC(u) ∧ Authority(u, C) ⇒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where VALID corresponds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and INVALID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color w:val="00B0F0"/>
          <w:sz w:val="19"/>
          <w:szCs w:val="19"/>
        </w:rPr>
        <w:t xml:space="preserve">Verification result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{VALID, INVALID}, where VALID corresponds to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color w:val="00B0F0"/>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color w:val="00B0F0"/>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color w:val="00B0F0"/>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G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color w:val="00B0F0"/>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has already approved C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color w:val="00B0F0"/>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color w:val="00B0F0"/>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color w:val="00B0F0"/>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 2 ∧ Token(C) ≠ ∅ ∧ Revoked(C) = 0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U</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S</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color w:val="00B0F0"/>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color w:val="00B0F0"/>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S</w:t>
      </w:r>
      <w:r>
        <w:rPr>
          <w:rFonts w:ascii="Cambria Math" w:cs="Cambria Math" w:eastAsia="Cambria Math" w:hAnsi="Cambria Math"/>
          <w:i w:val="false"/>
          <w:iCs w:val="false"/>
          <w:color w:val="00B0F0"/>
          <w:sz w:val="21"/>
          <w:szCs w:val="21"/>
          <w:vertAlign w:val="subscript"/>
        </w:rPr>
        <w:t xml:space="preserve">R</w:t>
      </w:r>
      <w:r>
        <w:rPr>
          <w:rFonts w:ascii="Cambria Math" w:cs="Cambria Math" w:eastAsia="Cambria Math" w:hAnsi="Cambria Math"/>
          <w:i w:val="false"/>
          <w:iCs w:val="false"/>
          <w:color w:val="00B0F0"/>
          <w:sz w:val="21"/>
          <w:szCs w:val="21"/>
        </w:rPr>
        <w:t xml:space="preserve"> ⊈ S</w:t>
      </w:r>
      <w:r>
        <w:rPr>
          <w:rFonts w:ascii="Cambria Math" w:cs="Cambria Math" w:eastAsia="Cambria Math" w:hAnsi="Cambria Math"/>
          <w:i w:val="false"/>
          <w:iCs w:val="false"/>
          <w:color w:val="00B0F0"/>
          <w:sz w:val="21"/>
          <w:szCs w:val="21"/>
          <w:vertAlign w:val="subscript"/>
        </w:rPr>
        <w:t xml:space="preserve">C</w:t>
      </w:r>
      <w:r>
        <w:rPr>
          <w:rFonts w:ascii="Cambria Math" w:cs="Cambria Math" w:eastAsia="Cambria Math" w:hAnsi="Cambria Math"/>
          <w:i w:val="false"/>
          <w:iCs w:val="false"/>
          <w:color w:val="00B0F0"/>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color w:val="00B0F0"/>
          <w:sz w:val="22"/>
          <w:szCs w:val="22"/>
        </w:rPr>
        <w:t xml:space="preserve">If any mandatory condition fails during the evaluation process, the system returns DENY and records the corresponding denial evidence. The exception is a consent that is not ACTIVE, whose refusal is reported only in the doctor interface in the prototype.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color w:val="00B0F0"/>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the proof does not verify </w:t>
      </w:r>
      <w:r>
        <w:rPr>
          <w:rFonts w:ascii="Times New Roman" w:cs="Times New Roman" w:eastAsia="Times New Roman" w:hAnsi="Times New Roman"/>
          <w:b/>
          <w:bCs/>
          <w:color w:val="00B0F0"/>
          <w:sz w:val="19"/>
          <w:szCs w:val="19"/>
        </w:rPr>
        <w:t xml:space="preserve">then</w:t>
      </w:r>
      <w:r>
        <w:rPr>
          <w:rFonts w:ascii="Times New Roman" w:cs="Times New Roman" w:eastAsia="Times New Roman" w:hAnsi="Times New Roman"/>
          <w:color w:val="00B0F0"/>
          <w:sz w:val="19"/>
          <w:szCs w:val="19"/>
        </w:rPr>
        <w:t xml:space="preserve"> Record denied decision and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DENY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color w:val="00B0F0"/>
          <w:sz w:val="22"/>
          <w:szCs w:val="22"/>
        </w:rPr>
        <w:t xml:space="preserve">behind a Poseidon commitment [70]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color w:val="FF0000"/>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color w:val="00B0F0"/>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color w:val="00B0F0"/>
          <w:sz w:val="22"/>
          <w:szCs w:val="22"/>
        </w:rPr>
        <w:t xml:space="preserve">As in Section 5.2, revocation and the token state remain part of V</w:t>
      </w:r>
      <w:r>
        <w:rPr>
          <w:rFonts w:ascii="Times New Roman" w:cs="Times New Roman" w:eastAsia="Times New Roman" w:hAnsi="Times New Roman"/>
          <w:color w:val="00B0F0"/>
          <w:sz w:val="22"/>
          <w:szCs w:val="22"/>
          <w:vertAlign w:val="subscript"/>
        </w:rPr>
        <w:t xml:space="preserve">A</w:t>
      </w:r>
      <w:r>
        <w:rPr>
          <w:rFonts w:ascii="Times New Roman" w:cs="Times New Roman" w:eastAsia="Times New Roman" w:hAnsi="Times New Roman"/>
          <w:color w:val="00B0F0"/>
          <w:sz w:val="22"/>
          <w:szCs w:val="22"/>
        </w:rPr>
        <w:t xml:space="preserve">, while the time-based states are evaluated within V</w:t>
      </w:r>
      <w:r>
        <w:rPr>
          <w:rFonts w:ascii="Times New Roman" w:cs="Times New Roman" w:eastAsia="Times New Roman" w:hAnsi="Times New Roman"/>
          <w:color w:val="00B0F0"/>
          <w:sz w:val="22"/>
          <w:szCs w:val="22"/>
          <w:vertAlign w:val="subscript"/>
        </w:rPr>
        <w:t xml:space="preserve">T</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color w:val="00B0F0"/>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color w:val="00B0F0"/>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color w:val="FF0000"/>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color w:val="FF0000"/>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is the only step </w:t>
      </w:r>
      <w:r>
        <w:rPr>
          <w:rFonts w:ascii="Times New Roman" w:cs="Times New Roman" w:eastAsia="Times New Roman" w:hAnsi="Times New Roman"/>
          <w:sz w:val="22"/>
          <w:szCs w:val="22"/>
        </w:rPr>
        <w:t xml:space="preserve">of the Figure 12 workflow that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color w:val="FF0000"/>
          <w:sz w:val="22"/>
          <w:szCs w:val="22"/>
        </w:rPr>
        <w:t xml:space="preserve">This work will be a major part of the next stage.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color w:val="FF0000"/>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color w:val="00B0F0"/>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Decision(C, R, t) = ALLOW ⇒ 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color w:val="00B0F0"/>
          <w:sz w:val="22"/>
          <w:szCs w:val="22"/>
        </w:rPr>
        <w:t xml:space="preserve">The SBT, a soulbound ERC-721 token [71] that follows ERC-5484 [72]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color w:val="00B0F0"/>
          <w:sz w:val="22"/>
          <w:szCs w:val="22"/>
        </w:rPr>
        <w:t xml:space="preserve">The creation, approval, and record-display screens (Figure 15, Figure 16 and Figure 18) were captured from a second lifecycle, 04da25f5, which used the same code, contract, and configuration and was anchored as token #2.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color w:val="00B0F0"/>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color w:val="00B0F0"/>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3352800" cy="3810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color w:val="00B0F0"/>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color w:val="00B0F0"/>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color w:val="00B0F0"/>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color w:val="00B0F0"/>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color w:val="00B0F0"/>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color w:val="00B0F0"/>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color w:val="00B0F0"/>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color w:val="00B0F0"/>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color w:val="00B0F0"/>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color w:val="FF0000"/>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FF0000"/>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color w:val="FF0000"/>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color w:val="FF0000"/>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color w:val="00B0F0"/>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color w:val="00B0F0"/>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color w:val="00B0F0"/>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color w:val="00B0F0"/>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color w:val="00B0F0"/>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color w:val="00B0F0"/>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color w:val="00B0F0"/>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color w:val="00B0F0"/>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color w:val="00B0F0"/>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color w:val="00B0F0"/>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color w:val="00B0F0"/>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color w:val="00B0F0"/>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color w:val="00B0F0"/>
          <w:sz w:val="18"/>
          <w:szCs w:val="18"/>
        </w:rPr>
        <w:t xml:space="preserve">S. Phuyal, M. Bhandari, R. Bista, and J. C. Ferreira. A blockchain-based architecture for dynamic and auditable patient consent in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color w:val="00B0F0"/>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color w:val="00B0F0"/>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color w:val="00B0F0"/>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color w:val="00B0F0"/>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color w:val="00B0F0"/>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color w:val="00B0F0"/>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color w:val="00B0F0"/>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color w:val="00B0F0"/>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color w:val="00B0F0"/>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cc1f3f18db430dce93f3fb19f346c61fa4eb17dd.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92573cd98c306213338e8eb3e9c4547f4ba94ff3.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0a67ab0366ae1729f7207a8df5eb71a59d233df2.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2026-10-06T04:59:43.531Z</dcterms:created>
  <dcterms:modified xsi:type="dcterms:W3CDTF">2026-10-06T04:59:43.532Z</dcterms:modified>
</cp:coreProperties>
</file>

<file path=docProps/custom.xml><?xml version="1.0" encoding="utf-8"?>
<Properties xmlns="http://schemas.openxmlformats.org/officeDocument/2006/custom-properties" xmlns:vt="http://schemas.openxmlformats.org/officeDocument/2006/docPropsVTypes"/>
</file>