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46</w:t>
      </w:r>
    </w:p>
    <w:p>
      <w:pPr>
        <w:tabs>
          <w:tab w:val="right" w:pos="9128" w:leader="dot"/>
        </w:tabs>
        <w:spacing w:after="100"/>
      </w:pPr>
      <w:r>
        <w:rPr>
          <w:rFonts w:ascii="Times New Roman" w:cs="Times New Roman" w:eastAsia="Times New Roman" w:hAnsi="Times New Roman"/>
          <w:sz w:val="22"/>
          <w:szCs w:val="22"/>
        </w:rPr>
        <w:t xml:space="preserve">11. The Proposed Solution for RO6	49</w:t>
      </w:r>
    </w:p>
    <w:p>
      <w:pPr>
        <w:tabs>
          <w:tab w:val="right" w:pos="9128" w:leader="dot"/>
        </w:tabs>
        <w:spacing w:after="100"/>
      </w:pPr>
      <w:r>
        <w:rPr>
          <w:rFonts w:ascii="Times New Roman" w:cs="Times New Roman" w:eastAsia="Times New Roman" w:hAnsi="Times New Roman"/>
          <w:sz w:val="22"/>
          <w:szCs w:val="22"/>
        </w:rPr>
        <w:t xml:space="preserve">12. Publications Summary	63</w:t>
      </w:r>
    </w:p>
    <w:p>
      <w:pPr>
        <w:tabs>
          <w:tab w:val="right" w:pos="9128" w:leader="dot"/>
        </w:tabs>
        <w:spacing w:after="100"/>
      </w:pPr>
      <w:r>
        <w:rPr>
          <w:rFonts w:ascii="Times New Roman" w:cs="Times New Roman" w:eastAsia="Times New Roman" w:hAnsi="Times New Roman"/>
          <w:sz w:val="22"/>
          <w:szCs w:val="22"/>
        </w:rPr>
        <w:t xml:space="preserve">13. Research Plan	64</w:t>
      </w:r>
    </w:p>
    <w:p>
      <w:pPr>
        <w:tabs>
          <w:tab w:val="right" w:pos="9128" w:leader="dot"/>
        </w:tabs>
        <w:spacing w:after="100"/>
      </w:pPr>
      <w:r>
        <w:rPr>
          <w:rFonts w:ascii="Times New Roman" w:cs="Times New Roman" w:eastAsia="Times New Roman" w:hAnsi="Times New Roman"/>
          <w:sz w:val="22"/>
          <w:szCs w:val="22"/>
        </w:rPr>
        <w:t xml:space="preserve">References	66</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[1–3].</w:t>
      </w:r>
      <w:r>
        <w:rPr>
          <w:rFonts w:ascii="Times New Roman" w:cs="Times New Roman" w:eastAsia="Times New Roman" w:hAnsi="Times New Roman"/>
          <w:sz w:val="22"/>
          <w:szCs w:val="22"/>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represents a particularly important and challenging example of this broader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[4, 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sz w:val="22"/>
          <w:szCs w:val="22"/>
        </w:rPr>
        <w:t xml:space="preserve">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[4, 11].</w:t>
      </w:r>
      <w:r>
        <w:rPr>
          <w:rFonts w:ascii="Times New Roman" w:cs="Times New Roman" w:eastAsia="Times New Roman" w:hAnsi="Times New Roman"/>
          <w:sz w:val="22"/>
          <w:szCs w:val="22"/>
        </w:rPr>
        <w:t xml:space="preserve">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[16] can support the identification of participants without relying exclusively on a central identity provider.</w:t>
      </w:r>
      <w:r>
        <w:rPr>
          <w:rFonts w:ascii="Times New Roman" w:cs="Times New Roman" w:eastAsia="Times New Roman" w:hAnsi="Times New Roman"/>
          <w:sz w:val="22"/>
          <w:szCs w:val="22"/>
        </w:rPr>
        <w:t xml:space="preserve"> Verifiable credentials can provide cryptographically verifiable evidence concerning roles or authority [16, 17], and policy-based access-control mechanisms can restrict access to authorised resources [9,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sz w:val="22"/>
          <w:szCs w:val="22"/>
        </w:rPr>
        <w:t xml:space="preserve">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[33, 34].</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sz w:val="22"/>
          <w:szCs w:val="22"/>
        </w:rPr>
        <w:t xml:space="preserve"> Synthetic healthcare records derived from the Synthea dataset [35]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covers the work delivered so far, while temporal and lifecycle trust, formal security assurance, and comprehensive empirical validation will be developed further in the next stage.</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[4, 6–8, 36].</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[3, 18, 37–39].</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[16, 17, 40–43].</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[9, 10, 44, 45].</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We screened, coded, and assessed every record,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main searches were performed in August 2026.</w:t>
      </w:r>
      <w:r>
        <w:rPr>
          <w:rFonts w:ascii="Times New Roman" w:cs="Times New Roman" w:eastAsia="Times New Roman" w:hAnsi="Times New Roman"/>
          <w:color w:val="00A000"/>
          <w:sz w:val="22"/>
          <w:szCs w:val="22"/>
        </w:rPr>
        <w:t xml:space="preserve"> IEEE Xplore, Scopus, Web of Science, and ProQuest were searched on 24 August 2026, SpringerLink, ScienceDirect, and Google Scholar on 25 August 2026, and the ACM Digital Library on 5 September 2026 as a late arm, a declared limitation.</w:t>
      </w:r>
      <w:r>
        <w:rPr>
          <w:rFonts w:ascii="Times New Roman" w:cs="Times New Roman" w:eastAsia="Times New Roman" w:hAnsi="Times New Roman"/>
          <w:color w:val="00A000"/>
          <w:sz w:val="22"/>
          <w:szCs w:val="22"/>
        </w:rPr>
        <w:t xml:space="preserve"> Full-text coding began on 26 August 2026.</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[23, 24, 47, 48]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A saturation rule was also defined, under which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all 39 Tier A records and 25 further records had been assessed, and 44 reports had been fully coded and passed the quality gate.</w:t>
      </w:r>
      <w:r>
        <w:rPr>
          <w:rFonts w:ascii="Times New Roman" w:cs="Times New Roman" w:eastAsia="Times New Roman" w:hAnsi="Times New Roman"/>
          <w:color w:val="00A000"/>
          <w:sz w:val="22"/>
          <w:szCs w:val="22"/>
        </w:rPr>
        <w:t xml:space="preserve">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Table 1 shows the quality items, how each one was scored, and the rule used for inclusion.</w:t>
      </w:r>
      <w:r>
        <w:rPr>
          <w:rFonts w:ascii="Times New Roman" w:cs="Times New Roman" w:eastAsia="Times New Roman" w:hAnsi="Times New Roman"/>
          <w:color w:val="00A000"/>
          <w:sz w:val="22"/>
          <w:szCs w:val="22"/>
        </w:rPr>
        <w:t xml:space="preserve">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[48, 49], they form the 25 primary studies, S1 to S25. 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one stream, normally the one on which it is coded most strongly</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S6 [52] is placed in the multi-party stream for its guardian access gate, although it is graded Partial on Req 3.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Two of the three studies of this stream are deployed platforms graded Partial.</w:t>
      </w:r>
      <w:r>
        <w:rPr>
          <w:rFonts w:ascii="Times New Roman" w:cs="Times New Roman" w:eastAsia="Times New Roman" w:hAnsi="Times New Roman"/>
          <w:color w:val="00A000"/>
          <w:sz w:val="22"/>
          <w:szCs w:val="22"/>
        </w:rPr>
        <w:t xml:space="preserve"> SooHoo et al. [58]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[59]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The two platforms are single-party systems.</w:t>
      </w:r>
      <w:r>
        <w:rPr>
          <w:rFonts w:ascii="Times New Roman" w:cs="Times New Roman" w:eastAsia="Times New Roman" w:hAnsi="Times New Roman"/>
          <w:color w:val="00A000"/>
          <w:sz w:val="22"/>
          <w:szCs w:val="22"/>
        </w:rPr>
        <w:t xml:space="preserve">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color w:val="00A000"/>
          <w:sz w:val="22"/>
          <w:szCs w:val="22"/>
        </w:rPr>
        <w:t xml:space="preserve"> Phuyal et al. [21]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among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[56] is design-only.</w:t>
      </w:r>
      <w:r>
        <w:rPr>
          <w:rFonts w:ascii="Times New Roman" w:cs="Times New Roman" w:eastAsia="Times New Roman" w:hAnsi="Times New Roman"/>
          <w:color w:val="00A000"/>
          <w:sz w:val="22"/>
          <w:szCs w:val="22"/>
        </w:rPr>
        <w:t xml:space="preserve"> Tseng et al. [60]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[23]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[61] apply a (t, n) investigator threshold to record admission and revocation, and Abbasi et al. [50] use a Shamir (5, 3) threshold for key custody.</w:t>
      </w:r>
      <w:r>
        <w:rPr>
          <w:rFonts w:ascii="Times New Roman" w:cs="Times New Roman" w:eastAsia="Times New Roman" w:hAnsi="Times New Roman"/>
          <w:color w:val="00A000"/>
          <w:sz w:val="22"/>
          <w:szCs w:val="22"/>
        </w:rPr>
        <w:t xml:space="preserve"> Punia et al. [25]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[26] use patient-appointed verifiers as a contingency, [27] reports guardian co-consent at registration time, and [52] gates guardian access by the minor's consent and a clinician's capacity assessment.</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w:t>
      </w:r>
      <w:r>
        <w:rPr>
          <w:rFonts w:ascii="Times New Roman" w:cs="Times New Roman" w:eastAsia="Times New Roman" w:hAnsi="Times New Roman"/>
          <w:color w:val="00A000"/>
          <w:sz w:val="22"/>
          <w:szCs w:val="22"/>
        </w:rPr>
        <w:t xml:space="preserve"> Tith et al. [24] match a purpose tree in chaincode, and Jaiman and Urovi [47] match ontology terms against the patient's consent.</w:t>
      </w:r>
      <w:r>
        <w:rPr>
          <w:rFonts w:ascii="Times New Roman" w:cs="Times New Roman" w:eastAsia="Times New Roman" w:hAnsi="Times New Roman"/>
          <w:color w:val="00A000"/>
          <w:sz w:val="22"/>
          <w:szCs w:val="22"/>
        </w:rPr>
        <w:t xml:space="preserve"> Albalwy et al. [48] evaluate a hashed policy tree of data type, role, and purpose, and Román-Martínez et al. [30] evaluate the FHIR purpose-of-use through XACML.</w:t>
      </w:r>
      <w:r>
        <w:rPr>
          <w:rFonts w:ascii="Times New Roman" w:cs="Times New Roman" w:eastAsia="Times New Roman" w:hAnsi="Times New Roman"/>
          <w:color w:val="00A000"/>
          <w:sz w:val="22"/>
          <w:szCs w:val="22"/>
        </w:rPr>
        <w:t xml:space="preserve"> The trust dimension T4 is coded Yes in 11 studies, Partial in 10, and No in 4, and the Req 4 grade in Table 4 is Yes in 10, Partial in 11, and No in 4.</w:t>
      </w:r>
      <w:r>
        <w:rPr>
          <w:rFonts w:ascii="Times New Roman" w:cs="Times New Roman" w:eastAsia="Times New Roman" w:hAnsi="Times New Roman"/>
          <w:color w:val="00A000"/>
          <w:sz w:val="22"/>
          <w:szCs w:val="22"/>
        </w:rPr>
        <w:t xml:space="preserve"> However, purpose-of-use enters the decision in only six studies [24, 28–30, 47, 48],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[28] present EdgeConsent, which enforces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[57] bind the expiry into key derivation, and Panagoulias et al. [29] enforce revocation at decision time across 43,500 simulated attempts in a single-node ledger.</w:t>
      </w:r>
      <w:r>
        <w:rPr>
          <w:rFonts w:ascii="Times New Roman" w:cs="Times New Roman" w:eastAsia="Times New Roman" w:hAnsi="Times New Roman"/>
          <w:color w:val="00A000"/>
          <w:sz w:val="22"/>
          <w:szCs w:val="22"/>
        </w:rPr>
        <w:t xml:space="preserve"> Li et al. [49] enforce time on a credential rather than on the consent.</w:t>
      </w:r>
      <w:r>
        <w:rPr>
          <w:rFonts w:ascii="Times New Roman" w:cs="Times New Roman" w:eastAsia="Times New Roman" w:hAnsi="Times New Roman"/>
          <w:color w:val="00A000"/>
          <w:sz w:val="22"/>
          <w:szCs w:val="22"/>
        </w:rPr>
        <w:t xml:space="preserve"> T5 is coded Yes in 8 studies and T6 in 7, a post-revocation denial is demonstrated only by [21, 28, 29],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[22] present HealthDID, with three game-based definitions and three theorems proved by reduction, although the proofs cover only the identity and authority fragment.</w:t>
      </w:r>
      <w:r>
        <w:rPr>
          <w:rFonts w:ascii="Times New Roman" w:cs="Times New Roman" w:eastAsia="Times New Roman" w:hAnsi="Times New Roman"/>
          <w:color w:val="00A000"/>
          <w:sz w:val="22"/>
          <w:szCs w:val="22"/>
        </w:rPr>
        <w:t xml:space="preserve"> Zhao and Su [53] and Maruthi and Singh [54] prove threshold gates in isolation, and Mei et al. [55]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We observed an inverse relation between predicate breadth and assurance strength.</w:t>
      </w:r>
      <w:r>
        <w:rPr>
          <w:rFonts w:ascii="Times New Roman" w:cs="Times New Roman" w:eastAsia="Times New Roman" w:hAnsi="Times New Roman"/>
          <w:color w:val="00A000"/>
          <w:sz w:val="22"/>
          <w:szCs w:val="22"/>
        </w:rPr>
        <w:t xml:space="preserve"> Few studies execute adversarial scenarios that examine whether security controls can resist deliberate attempts to circumvent the authorisation process. 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highlight w:val="yellow"/>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w:t>
      </w:r>
      <w:r>
        <w:rPr>
          <w:rFonts w:ascii="Times New Roman" w:cs="Times New Roman" w:eastAsia="Times New Roman" w:hAnsi="Times New Roman"/>
          <w:sz w:val="22"/>
          <w:szCs w:val="22"/>
        </w:rPr>
        <w:t xml:space="preserve"> These contributions address different layers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condition, whereas the proved schemes either omit policy, temporal validity, and lifecycle or, as in [55], prove only a static encryption predicate. Table 4 summarises the 25 studies against the six requirements, where Yes denotes satisfied, Partial partially satisfied, and No not satisfied.</w:t>
      </w:r>
      <w:r>
        <w:rPr>
          <w:rFonts w:ascii="Times New Roman" w:cs="Times New Roman" w:eastAsia="Times New Roman" w:hAnsi="Times New Roman"/>
          <w:color w:val="00A000"/>
          <w:sz w:val="22"/>
          <w:szCs w:val="22"/>
        </w:rPr>
        <w:t xml:space="preserve"> 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[23] and [29],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[25],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[53, 54].</w:t>
      </w:r>
      <w:r>
        <w:rPr>
          <w:rFonts w:ascii="Times New Roman" w:cs="Times New Roman" w:eastAsia="Times New Roman" w:hAnsi="Times New Roman"/>
          <w:color w:val="00A000"/>
          <w:sz w:val="22"/>
          <w:szCs w:val="22"/>
        </w:rPr>
        <w:t xml:space="preserve">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w:t>
      </w:r>
      <w:r>
        <w:rPr>
          <w:rFonts w:ascii="Times New Roman" w:cs="Times New Roman" w:eastAsia="Times New Roman" w:hAnsi="Times New Roman"/>
          <w:sz w:val="22"/>
          <w:szCs w:val="22"/>
        </w:rPr>
        <w:t xml:space="preserve"> Rather, it lies in establishing an explicit conceptual relationship among them.</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 Table 5 in Section 2.6 positions the proposed framework relative to these requirements.</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left for the next stage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color w:val="00A000"/>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Multi-party authorisation of patient consent is not absent from the literature, since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reporting checkpoint and a single round of coding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w:t>
      </w:r>
      <w:r>
        <w:rPr>
          <w:rFonts w:ascii="Times New Roman" w:cs="Times New Roman" w:eastAsia="Times New Roman" w:hAnsi="Times New Roman"/>
          <w:color w:val="00A000"/>
          <w:sz w:val="22"/>
          <w:szCs w:val="22"/>
        </w:rPr>
        <w:t xml:space="preserve">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w:t>
      </w:r>
      <w:r>
        <w:rPr>
          <w:rFonts w:ascii="Times New Roman" w:cs="Times New Roman" w:eastAsia="Times New Roman" w:hAnsi="Times New Roman"/>
          <w:color w:val="00A000"/>
          <w:sz w:val="22"/>
          <w:szCs w:val="22"/>
        </w:rPr>
        <w:t xml:space="preserve">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[66],</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w:t>
      </w:r>
      <w:r>
        <w:rPr>
          <w:rFonts w:ascii="Times New Roman" w:cs="Times New Roman" w:eastAsia="Times New Roman" w:hAnsi="Times New Roman"/>
          <w:sz w:val="22"/>
          <w:szCs w:val="22"/>
        </w:rPr>
        <w:t xml:space="preserve"> However, the literature also reveals a significant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[21, 25, 29, 32, 67] 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[21, 24, 28, 48, 67]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w:t>
      </w:r>
      <w:r>
        <w:rPr>
          <w:rFonts w:ascii="Times New Roman" w:cs="Times New Roman" w:eastAsia="Times New Roman" w:hAnsi="Times New Roman"/>
          <w:sz w:val="22"/>
          <w:szCs w:val="22"/>
        </w:rPr>
        <w:t xml:space="preserve"> A blockchain may provide an immutable representation of a consent event [10, 18],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[16],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color w:val="00A000"/>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1 (consent representation).</w:t>
      </w:r>
      <w:r>
        <w:rPr>
          <w:rFonts w:ascii="Times New Roman" w:cs="Times New Roman" w:eastAsia="Times New Roman" w:hAnsi="Times New Roman"/>
          <w:color w:val="00A000"/>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3 (multi-party authorisation).</w:t>
      </w:r>
      <w:r>
        <w:rPr>
          <w:rFonts w:ascii="Times New Roman" w:cs="Times New Roman" w:eastAsia="Times New Roman" w:hAnsi="Times New Roman"/>
          <w:color w:val="00A000"/>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4 (policy and context).</w:t>
      </w:r>
      <w:r>
        <w:rPr>
          <w:rFonts w:ascii="Times New Roman" w:cs="Times New Roman" w:eastAsia="Times New Roman" w:hAnsi="Times New Roman"/>
          <w:color w:val="00A000"/>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5 (temporal and lifecycle trust).</w:t>
      </w:r>
      <w:r>
        <w:rPr>
          <w:rFonts w:ascii="Times New Roman" w:cs="Times New Roman" w:eastAsia="Times New Roman" w:hAnsi="Times New Roman"/>
          <w:color w:val="00A000"/>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6 (security assurance).</w:t>
      </w:r>
      <w:r>
        <w:rPr>
          <w:rFonts w:ascii="Times New Roman" w:cs="Times New Roman" w:eastAsia="Times New Roman" w:hAnsi="Times New Roman"/>
          <w:color w:val="00A000"/>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color w:val="00A000"/>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The six questions collectively establish a progression from consent modelling to formal security assurance and empirical validation.</w:t>
      </w:r>
      <w:r>
        <w:rPr>
          <w:rFonts w:ascii="Times New Roman" w:cs="Times New Roman" w:eastAsia="Times New Roman" w:hAnsi="Times New Roman"/>
          <w:color w:val="00A000"/>
          <w:sz w:val="22"/>
          <w:szCs w:val="22"/>
        </w:rPr>
        <w:t xml:space="preserve">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color w:val="00A000"/>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color w:val="00A000"/>
          <w:sz w:val="22"/>
          <w:szCs w:val="22"/>
        </w:rPr>
        <w:t xml:space="preserve"> In the prototype, an ALLOW decision additionally requires the Groth16 ZK proof [69] to verify, so a request that satisfies the five predicates is still denied when the proof fails, as in attack A9 (Section 11.4).</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w:t>
      </w:r>
      <w:r>
        <w:rPr>
          <w:rFonts w:ascii="Times New Roman" w:cs="Times New Roman" w:eastAsia="Times New Roman" w:hAnsi="Times New Roman"/>
          <w:sz w:val="22"/>
          <w:szCs w:val="22"/>
        </w:rPr>
        <w:t xml:space="preserve"> Each objective represents a research contribution that can be examined conceptually, technically, and, where appropriate, empirically.</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color w:val="00A000"/>
          <w:sz w:val="22"/>
          <w:szCs w:val="22"/>
        </w:rPr>
        <w:t xml:space="preserve"> In the current prototype, the request purpose is taken from the consent, so the purpose check confirms that the consent purpose is a supported healthcare use, while the comparison with a separately declared request purpose is left to the next stage.</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00A000"/>
          <w:sz w:val="22"/>
          <w:szCs w:val="22"/>
        </w:rPr>
        <w:t xml:space="preserve"> RO1 to RO4 are delivered in this stage,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sz w:val="22"/>
          <w:szCs w:val="22"/>
        </w:rPr>
        <w:t xml:space="preserve"> However, the MVC architecture is not used merely as a conventional software engineering pattern for separating data, interfaces, and application logic.</w:t>
      </w:r>
      <w:r>
        <w:rPr>
          <w:rFonts w:ascii="Times New Roman" w:cs="Times New Roman" w:eastAsia="Times New Roman" w:hAnsi="Times New Roman"/>
          <w:sz w:val="22"/>
          <w:szCs w:val="22"/>
        </w:rPr>
        <w:t xml:space="preserve"> Within the proposed framework, MVC is extended to support a more fundamental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3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R), determines whether the jurisdiction of the request satisfies the recorded jurisdictional constraint of the consent.</w:t>
      </w:r>
      <w:r>
        <w:rPr>
          <w:rFonts w:ascii="Times New Roman" w:cs="Times New Roman" w:eastAsia="Times New Roman" w:hAnsi="Times New Roman"/>
          <w:color w:val="00A000"/>
          <w:sz w:val="22"/>
          <w:szCs w:val="22"/>
        </w:rPr>
        <w:t xml:space="preserv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This distinction is important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 [16].</w:t>
      </w:r>
      <w:r>
        <w:rPr>
          <w:rFonts w:ascii="Times New Roman" w:cs="Times New Roman" w:eastAsia="Times New Roman" w:hAnsi="Times New Roman"/>
          <w:sz w:val="22"/>
          <w:szCs w:val="22"/>
        </w:rPr>
        <w:t xml:space="preserve"> Importantly, the framework explicitly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their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w:t>
      </w:r>
      <w:r>
        <w:rPr>
          <w:rFonts w:ascii="Times New Roman" w:cs="Times New Roman" w:eastAsia="Times New Roman" w:hAnsi="Times New Roman"/>
          <w:color w:val="00A000"/>
          <w:sz w:val="22"/>
          <w:szCs w:val="22"/>
        </w:rPr>
        <w:t xml:space="preserve">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color w:val="00A000"/>
          <w:sz w:val="22"/>
          <w:szCs w:val="22"/>
        </w:rPr>
        <w:t xml:space="preserve">Only independently verified participants can contribute to the authorisation evidence set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as defined in Equation (4), where A</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denotes the set of approvals submitted for C.</w:t>
      </w:r>
      <w:r>
        <w:rPr>
          <w:rFonts w:ascii="Times New Roman" w:cs="Times New Roman" w:eastAsia="Times New Roman" w:hAnsi="Times New Roman"/>
          <w:color w:val="00A000"/>
          <w:sz w:val="22"/>
          <w:szCs w:val="22"/>
        </w:rPr>
        <w:t xml:space="preserve">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therefore contains each member of G at most once, and an approval from a signer outside G does not enter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[23], a witness or notary threshold [26], 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{g ∈ G |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submitted by g with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The flow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an important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sz w:val="22"/>
          <w:szCs w:val="22"/>
        </w:rPr>
        <w:t xml:space="preserve"> Similarly, the requested purpose must be consistent with the purpose specified in the consent.</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 [21, 24, 28, 48].</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 [10, 18].</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w:t>
      </w:r>
      <w:r>
        <w:rPr>
          <w:rFonts w:ascii="Times New Roman" w:cs="Times New Roman" w:eastAsia="Times New Roman" w:hAnsi="Times New Roman"/>
          <w:sz w:val="22"/>
          <w:szCs w:val="22"/>
        </w:rPr>
        <w:t xml:space="preserve">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color w:val="00A000"/>
          <w:sz w:val="22"/>
          <w:szCs w:val="22"/>
        </w:rPr>
        <w:t xml:space="preserv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The system then validates the guardian set G, which must contain at least one guardian with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This distinction is important because the research treats consent as a structured policy-bound object rather than as a simple Boolean permission.</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sz w:val="22"/>
          <w:szCs w:val="22"/>
        </w:rPr>
        <w:t xml:space="preserve"> The main contribution of RO1 is the transformation of consent from a static permission record into a structured authorisation object.</w:t>
      </w:r>
      <w:r>
        <w:rPr>
          <w:rFonts w:ascii="Times New Roman" w:cs="Times New Roman" w:eastAsia="Times New Roman" w:hAnsi="Times New Roman"/>
          <w:sz w:val="22"/>
          <w:szCs w:val="22"/>
        </w:rPr>
        <w:t xml:space="preserve"> The current result demonstrates that consent can be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color w:val="00A000"/>
          <w:sz w:val="22"/>
          <w:szCs w:val="22"/>
        </w:rPr>
        <w:t xml:space="preserve"> The identity and authority verification condition can be expressed as Equation (7), where u is the requesting participant and Authority(u, C) establishes whether the verified authority matches the role required by the consent.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9,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highlight w:val="yellow"/>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2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contributes to the trust-oriented framework by converting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w:t>
      </w:r>
      <w:r>
        <w:rPr>
          <w:rFonts w:ascii="Times New Roman" w:cs="Times New Roman" w:eastAsia="Times New Roman" w:hAnsi="Times New Roman"/>
          <w:color w:val="00A000"/>
          <w:sz w:val="22"/>
          <w:szCs w:val="22"/>
        </w:rPr>
        <w:t xml:space="preserve">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have demonstrated the potential to strengthen the process through which identity claims are established or validated [40, 41].</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sz w:val="22"/>
          <w:szCs w:val="22"/>
        </w:rPr>
        <w:t xml:space="preserve"> In the HALAH implementation, as shown in Figure 10, the Guardian workflow verifies the guardian VC,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2.</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color w:val="00A000"/>
          <w:sz w:val="22"/>
          <w:szCs w:val="22"/>
        </w:rPr>
        <w:t xml:space="preserve"> 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color w:val="00A000"/>
          <w:sz w:val="22"/>
          <w:szCs w:val="22"/>
        </w:rPr>
        <w:t xml:space="preserve">The system evaluates whether the requested data scope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is non-empty and contained within the data scope authorised by the consent, denoted by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and Equation (14) defines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sz w:val="22"/>
          <w:szCs w:val="22"/>
        </w:rPr>
        <w:t xml:space="preserve"> After the identity and authorisation conditions are satisfied, the system evaluates the requested purpose and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11,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returns DENY and records the corresponding denial evidence. The exception is a consent that is not ACTIVE, whose refusal is reported only in the doctor interface in the prototype.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   </w:t>
      </w:r>
      <w:r>
        <w:rPr>
          <w:rFonts w:ascii="Times New Roman" w:cs="Times New Roman" w:eastAsia="Times New Roman" w:hAnsi="Times New Roman"/>
          <w:sz w:val="19"/>
          <w:szCs w:val="19"/>
        </w:rPr>
        <w:t xml:space="preserve">▷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is important because it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w:t>
      </w:r>
      <w:r>
        <w:rPr>
          <w:rFonts w:ascii="Times New Roman" w:cs="Times New Roman" w:eastAsia="Times New Roman" w:hAnsi="Times New Roman"/>
          <w:color w:val="00A000"/>
          <w:sz w:val="22"/>
          <w:szCs w:val="22"/>
        </w:rPr>
        <w:t xml:space="preserve"> The proof shows that the prover knows the secret and the expiry time behind a Poseidon commitment [70]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4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the next stage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color w:val="00A000"/>
          <w:sz w:val="22"/>
          <w:szCs w:val="22"/>
        </w:rPr>
        <w:t xml:space="preserve">Equation (21)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revocation and the token state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while the time-based states are evaluated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(22).</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w:t>
      </w:r>
      <w:r>
        <w:rPr>
          <w:rFonts w:ascii="Times New Roman" w:cs="Times New Roman" w:eastAsia="Times New Roman" w:hAnsi="Times New Roman"/>
          <w:sz w:val="22"/>
          <w:szCs w:val="22"/>
        </w:rPr>
        <w:t xml:space="preserve"> A consent that was valid when initially approved may subsequently become invalid due to expiration or revocation.</w:t>
      </w:r>
      <w:r>
        <w:rPr>
          <w:rFonts w:ascii="Times New Roman" w:cs="Times New Roman" w:eastAsia="Times New Roman" w:hAnsi="Times New Roman"/>
          <w:sz w:val="22"/>
          <w:szCs w:val="22"/>
        </w:rPr>
        <w:t xml:space="preserve"> This establishes that consent validity is not a static property.</w:t>
      </w:r>
      <w:r>
        <w:rPr>
          <w:rFonts w:ascii="Times New Roman" w:cs="Times New Roman" w:eastAsia="Times New Roman" w:hAnsi="Times New Roman"/>
          <w:sz w:val="22"/>
          <w:szCs w:val="22"/>
        </w:rPr>
        <w:t xml:space="preserve"> The purpose of RO5 is not simply to add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In particular,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13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the next stage.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The next stage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records an unauthorised state-transition event and returns INVALID, but this is the only step not yet implemented.</w:t>
      </w:r>
      <w:r>
        <w:rPr>
          <w:rFonts w:ascii="Times New Roman" w:cs="Times New Roman" w:eastAsia="Times New Roman" w:hAnsi="Times New Roman"/>
          <w:sz w:val="22"/>
          <w:szCs w:val="22"/>
        </w:rPr>
        <w:t xml:space="preserve">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This work will be a major part of the next stage.</w:t>
      </w:r>
      <w:r>
        <w:rPr>
          <w:rFonts w:ascii="Times New Roman" w:cs="Times New Roman" w:eastAsia="Times New Roman" w:hAnsi="Times New Roman"/>
          <w:sz w:val="22"/>
          <w:szCs w:val="22"/>
        </w:rPr>
        <w:t xml:space="preserve"> The main activities of the next stage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w:t>
      </w:r>
      <w:r>
        <w:rPr>
          <w:rFonts w:ascii="Times New Roman" w:cs="Times New Roman" w:eastAsia="Times New Roman" w:hAnsi="Times New Roman"/>
          <w:sz w:val="22"/>
          <w:szCs w:val="22"/>
        </w:rPr>
        <w:t xml:space="preserve"> 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This procedure establishes a distinction between functional correctness and security correctness.</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color w:val="00A000"/>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predicate of Section 10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sz w:val="22"/>
          <w:szCs w:val="22"/>
        </w:rPr>
        <w:t xml:space="preserve"> Its 23 functional and regression tests examine whether access is denied when identity verification fails, when the required authorisation threshold is not satisfied, or when the requested purpose or data scope violates the consent policy.</w:t>
      </w:r>
      <w:r>
        <w:rPr>
          <w:rFonts w:ascii="Times New Roman" w:cs="Times New Roman" w:eastAsia="Times New Roman" w:hAnsi="Times New Roman"/>
          <w:color w:val="00A000"/>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role-based consent management platform.</w:t>
      </w:r>
      <w:r>
        <w:rPr>
          <w:rFonts w:ascii="Times New Roman" w:cs="Times New Roman" w:eastAsia="Times New Roman" w:hAnsi="Times New Roman"/>
          <w:sz w:val="22"/>
          <w:szCs w:val="22"/>
        </w:rPr>
        <w:t xml:space="preserve"> The current system includes separate patient, guardian, doctor, and auditor interfaces.</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 through ConsentSBTv3, compiled in Remix and deployed via MetaMask.</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[71] that follows ERC-5484 [72] and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The creation, approval, and record-display screens (Figure 15, Figure 16 and Figure 18) were captured from a second lifecycle, 04da25f5, which used the same code, contract, and configuration and was anchored as token #2.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15,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sz w:val="22"/>
          <w:szCs w:val="22"/>
        </w:rPr>
        <w:t xml:space="preserve">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16.</w:t>
      </w:r>
      <w:r>
        <w:rPr>
          <w:rFonts w:ascii="Times New Roman" w:cs="Times New Roman" w:eastAsia="Times New Roman" w:hAnsi="Times New Roman"/>
          <w:sz w:val="22"/>
          <w:szCs w:val="22"/>
        </w:rPr>
        <w:t xml:space="preserve"> The public anchoring of the evaluated consent f050c29a in block 11,771,243 (block 11,771,581 for consent 04da25f5 in Figure 16)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17, the decision matrix enables validation results to be traced from the final decision back to the individual authorisation conditions that produced that decision.</w:t>
      </w:r>
      <w:r>
        <w:rPr>
          <w:rFonts w:ascii="Times New Roman" w:cs="Times New Roman" w:eastAsia="Times New Roman" w:hAnsi="Times New Roman"/>
          <w:color w:val="00A000"/>
          <w:sz w:val="22"/>
          <w:szCs w:val="22"/>
        </w:rPr>
        <w:t xml:space="preserve"> A request is permitted only when the consent purpose is a supported healthcare use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18,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3352800" cy="3810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19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20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21,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23,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Consequently, validation does not merely determine whether the final output is ALLOW or DENY</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it also determines whether the underlying evidence is consistent with the decision.</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24,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security properties that it is intended to evaluate.</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This confirms that a system may be conceptually correct but incorrectly implemented, or may pass functional tests while failing under invalid or adversarial conditions.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the next stage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The next stage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The next stage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w:t>
      </w:r>
      <w:r>
        <w:rPr>
          <w:rFonts w:ascii="Times New Roman" w:cs="Times New Roman" w:eastAsia="Times New Roman" w:hAnsi="Times New Roman"/>
          <w:sz w:val="22"/>
          <w:szCs w:val="22"/>
        </w:rPr>
        <w:t xml:space="preserve">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the next stage.</w:t>
      </w:r>
      <w:r>
        <w:rPr>
          <w:rFonts w:ascii="Times New Roman" w:cs="Times New Roman" w:eastAsia="Times New Roman" w:hAnsi="Times New Roman"/>
          <w:sz w:val="22"/>
          <w:szCs w:val="22"/>
        </w:rPr>
        <w:t xml:space="preserve"> RO5 and RO6 constitute 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build upon the foundational trust-oriented authorisation framework established during current stage and extend the research towards dynamic consent governance, formal security assurance, and comprehensive empirical validation.</w:t>
      </w:r>
      <w:r>
        <w:rPr>
          <w:rFonts w:ascii="Times New Roman" w:cs="Times New Roman" w:eastAsia="Times New Roman" w:hAnsi="Times New Roman"/>
          <w:color w:val="00A000"/>
          <w:sz w:val="22"/>
          <w:szCs w:val="22"/>
        </w:rPr>
        <w:t xml:space="preserve">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cc1f3f18db430dce93f3fb19f346c61fa4eb17dd.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92573cd98c306213338e8eb3e9c4547f4ba94ff3.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0a67ab0366ae1729f7207a8df5eb71a59d233df2.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2026-10-04T12:45:43.529Z</dcterms:created>
  <dcterms:modified xsi:type="dcterms:W3CDTF">2026-10-04T12:45:43.529Z</dcterms:modified>
</cp:coreProperties>
</file>

<file path=docProps/custom.xml><?xml version="1.0" encoding="utf-8"?>
<Properties xmlns="http://schemas.openxmlformats.org/officeDocument/2006/custom-properties" xmlns:vt="http://schemas.openxmlformats.org/officeDocument/2006/docPropsVTypes"/>
</file>