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Times New Roman" w:cs="Times New Roman" w:eastAsia="Times New Roman" w:hAnsi="Times New Roman"/>
          <w:b w:val="false"/>
          <w:bCs w:val="false"/>
          <w:sz w:val="28"/>
          <w:szCs w:val="28"/>
        </w:rPr>
        <w:t xml:space="preserve">Suggested Title:</w:t>
      </w:r>
    </w:p>
    <w:p>
      <w:pPr>
        <w:spacing w:after="1400" w:before="0"/>
        <w:jc w:val="center"/>
      </w:pPr>
      <w:r>
        <w:rPr>
          <w:rFonts w:ascii="Times New Roman" w:cs="Times New Roman" w:eastAsia="Times New Roman" w:hAnsi="Times New Roman"/>
          <w:b/>
          <w:bCs/>
          <w:sz w:val="40"/>
          <w:szCs w:val="40"/>
        </w:rPr>
        <w:t xml:space="preserve">A Trusted Authorization Framework for Multi-Party Patient Consent in Healthcare Data Sharing</w:t>
      </w:r>
    </w:p>
    <w:p>
      <w:pPr>
        <w:spacing w:after="120" w:before="0"/>
        <w:jc w:val="center"/>
      </w:pPr>
      <w:r>
        <w:rPr>
          <w:rFonts w:ascii="Times New Roman" w:cs="Times New Roman" w:eastAsia="Times New Roman" w:hAnsi="Times New Roman"/>
          <w:b w:val="false"/>
          <w:bCs w:val="false"/>
          <w:sz w:val="26"/>
          <w:szCs w:val="26"/>
        </w:rPr>
        <w:t xml:space="preserve">Principal Supervisor: Professor Farookh Hussain</w:t>
      </w:r>
    </w:p>
    <w:p>
      <w:pPr>
        <w:spacing w:after="600" w:before="0"/>
        <w:jc w:val="center"/>
      </w:pPr>
      <w:r>
        <w:rPr>
          <w:rFonts w:ascii="Times New Roman" w:cs="Times New Roman" w:eastAsia="Times New Roman" w:hAnsi="Times New Roman"/>
          <w:b w:val="false"/>
          <w:bCs w:val="false"/>
          <w:sz w:val="26"/>
          <w:szCs w:val="26"/>
        </w:rPr>
        <w:t xml:space="preserve">Co-Supervisor: Dr. Firas Al-Doghman</w:t>
      </w:r>
    </w:p>
    <w:p>
      <w:pPr>
        <w:spacing w:after="120" w:before="0"/>
        <w:jc w:val="center"/>
      </w:pPr>
      <w:r>
        <w:rPr>
          <w:rFonts w:ascii="Times New Roman" w:cs="Times New Roman" w:eastAsia="Times New Roman" w:hAnsi="Times New Roman"/>
          <w:b w:val="false"/>
          <w:bCs w:val="false"/>
          <w:sz w:val="26"/>
          <w:szCs w:val="26"/>
        </w:rPr>
        <w:t xml:space="preserve">Presenter: Yasir Dhaifallah O Alyoubi</w:t>
      </w:r>
    </w:p>
    <w:p>
      <w:pPr>
        <w:spacing w:after="120" w:before="0"/>
        <w:jc w:val="center"/>
      </w:pPr>
      <w:r>
        <w:rPr>
          <w:rFonts w:ascii="Times New Roman" w:cs="Times New Roman" w:eastAsia="Times New Roman" w:hAnsi="Times New Roman"/>
          <w:b w:val="false"/>
          <w:bCs w:val="false"/>
          <w:sz w:val="26"/>
          <w:szCs w:val="26"/>
        </w:rPr>
        <w:t xml:space="preserve">STUDENT ID #: 24724078</w:t>
      </w:r>
    </w:p>
    <w:p>
      <w:r>
        <w:br w:type="page"/>
      </w:r>
    </w:p>
    <w:p>
      <w:pPr>
        <w:spacing w:after="240"/>
      </w:pPr>
      <w:r>
        <w:rPr>
          <w:rFonts w:ascii="Times New Roman" w:cs="Times New Roman" w:eastAsia="Times New Roman" w:hAnsi="Times New Roman"/>
          <w:b/>
          <w:bCs/>
          <w:sz w:val="32"/>
          <w:szCs w:val="32"/>
        </w:rPr>
        <w:t xml:space="preserve">Contents</w:t>
      </w:r>
    </w:p>
    <w:p>
      <w:pPr>
        <w:tabs>
          <w:tab w:val="right" w:pos="9128" w:leader="dot"/>
        </w:tabs>
        <w:spacing w:after="100"/>
      </w:pPr>
      <w:r>
        <w:rPr>
          <w:rFonts w:ascii="Times New Roman" w:cs="Times New Roman" w:eastAsia="Times New Roman" w:hAnsi="Times New Roman"/>
          <w:sz w:val="22"/>
          <w:szCs w:val="22"/>
        </w:rPr>
        <w:t xml:space="preserve">1. Introduction	3</w:t>
      </w:r>
    </w:p>
    <w:p>
      <w:pPr>
        <w:tabs>
          <w:tab w:val="right" w:pos="9128" w:leader="dot"/>
        </w:tabs>
        <w:spacing w:after="100"/>
      </w:pPr>
      <w:r>
        <w:rPr>
          <w:rFonts w:ascii="Times New Roman" w:cs="Times New Roman" w:eastAsia="Times New Roman" w:hAnsi="Times New Roman"/>
          <w:sz w:val="22"/>
          <w:szCs w:val="22"/>
        </w:rPr>
        <w:t xml:space="preserve">2. Systematic Literature Review	6</w:t>
      </w:r>
    </w:p>
    <w:p>
      <w:pPr>
        <w:tabs>
          <w:tab w:val="right" w:pos="9128" w:leader="dot"/>
        </w:tabs>
        <w:spacing w:after="100"/>
      </w:pPr>
      <w:r>
        <w:rPr>
          <w:rFonts w:ascii="Times New Roman" w:cs="Times New Roman" w:eastAsia="Times New Roman" w:hAnsi="Times New Roman"/>
          <w:sz w:val="22"/>
          <w:szCs w:val="22"/>
        </w:rPr>
        <w:t xml:space="preserve">3. Research Gaps &amp; Questions	17</w:t>
      </w:r>
    </w:p>
    <w:p>
      <w:pPr>
        <w:tabs>
          <w:tab w:val="right" w:pos="9128" w:leader="dot"/>
        </w:tabs>
        <w:spacing w:after="100"/>
      </w:pPr>
      <w:r>
        <w:rPr>
          <w:rFonts w:ascii="Times New Roman" w:cs="Times New Roman" w:eastAsia="Times New Roman" w:hAnsi="Times New Roman"/>
          <w:sz w:val="22"/>
          <w:szCs w:val="22"/>
        </w:rPr>
        <w:t xml:space="preserve">4. Research Objectives	20</w:t>
      </w:r>
    </w:p>
    <w:p>
      <w:pPr>
        <w:tabs>
          <w:tab w:val="right" w:pos="9128" w:leader="dot"/>
        </w:tabs>
        <w:spacing w:after="100"/>
      </w:pPr>
      <w:r>
        <w:rPr>
          <w:rFonts w:ascii="Times New Roman" w:cs="Times New Roman" w:eastAsia="Times New Roman" w:hAnsi="Times New Roman"/>
          <w:sz w:val="22"/>
          <w:szCs w:val="22"/>
        </w:rPr>
        <w:t xml:space="preserve">5. Research Architecture: MVC	22</w:t>
      </w:r>
    </w:p>
    <w:p>
      <w:pPr>
        <w:tabs>
          <w:tab w:val="right" w:pos="9128" w:leader="dot"/>
        </w:tabs>
        <w:spacing w:after="100"/>
      </w:pPr>
      <w:r>
        <w:rPr>
          <w:rFonts w:ascii="Times New Roman" w:cs="Times New Roman" w:eastAsia="Times New Roman" w:hAnsi="Times New Roman"/>
          <w:sz w:val="22"/>
          <w:szCs w:val="22"/>
        </w:rPr>
        <w:t xml:space="preserve">6. The Proposed Solution for RO1	29</w:t>
      </w:r>
    </w:p>
    <w:p>
      <w:pPr>
        <w:tabs>
          <w:tab w:val="right" w:pos="9128" w:leader="dot"/>
        </w:tabs>
        <w:spacing w:after="100"/>
      </w:pPr>
      <w:r>
        <w:rPr>
          <w:rFonts w:ascii="Times New Roman" w:cs="Times New Roman" w:eastAsia="Times New Roman" w:hAnsi="Times New Roman"/>
          <w:sz w:val="22"/>
          <w:szCs w:val="22"/>
        </w:rPr>
        <w:t xml:space="preserve">7. The Proposed Solution for RO2	33</w:t>
      </w:r>
    </w:p>
    <w:p>
      <w:pPr>
        <w:tabs>
          <w:tab w:val="right" w:pos="9128" w:leader="dot"/>
        </w:tabs>
        <w:spacing w:after="100"/>
      </w:pPr>
      <w:r>
        <w:rPr>
          <w:rFonts w:ascii="Times New Roman" w:cs="Times New Roman" w:eastAsia="Times New Roman" w:hAnsi="Times New Roman"/>
          <w:sz w:val="22"/>
          <w:szCs w:val="22"/>
        </w:rPr>
        <w:t xml:space="preserve">8. The Proposed Solution for RO3	37</w:t>
      </w:r>
    </w:p>
    <w:p>
      <w:pPr>
        <w:tabs>
          <w:tab w:val="right" w:pos="9128" w:leader="dot"/>
        </w:tabs>
        <w:spacing w:after="100"/>
      </w:pPr>
      <w:r>
        <w:rPr>
          <w:rFonts w:ascii="Times New Roman" w:cs="Times New Roman" w:eastAsia="Times New Roman" w:hAnsi="Times New Roman"/>
          <w:sz w:val="22"/>
          <w:szCs w:val="22"/>
        </w:rPr>
        <w:t xml:space="preserve">9. The Proposed Solution for RO4	42</w:t>
      </w:r>
    </w:p>
    <w:p>
      <w:pPr>
        <w:tabs>
          <w:tab w:val="right" w:pos="9128" w:leader="dot"/>
        </w:tabs>
        <w:spacing w:after="100"/>
      </w:pPr>
      <w:r>
        <w:rPr>
          <w:rFonts w:ascii="Times New Roman" w:cs="Times New Roman" w:eastAsia="Times New Roman" w:hAnsi="Times New Roman"/>
          <w:sz w:val="22"/>
          <w:szCs w:val="22"/>
        </w:rPr>
        <w:t xml:space="preserve">10. The Proposed Solution for RO5	46</w:t>
      </w:r>
    </w:p>
    <w:p>
      <w:pPr>
        <w:tabs>
          <w:tab w:val="right" w:pos="9128" w:leader="dot"/>
        </w:tabs>
        <w:spacing w:after="100"/>
      </w:pPr>
      <w:r>
        <w:rPr>
          <w:rFonts w:ascii="Times New Roman" w:cs="Times New Roman" w:eastAsia="Times New Roman" w:hAnsi="Times New Roman"/>
          <w:sz w:val="22"/>
          <w:szCs w:val="22"/>
        </w:rPr>
        <w:t xml:space="preserve">11. The Proposed Solution for RO6	49</w:t>
      </w:r>
    </w:p>
    <w:p>
      <w:pPr>
        <w:tabs>
          <w:tab w:val="right" w:pos="9128" w:leader="dot"/>
        </w:tabs>
        <w:spacing w:after="100"/>
      </w:pPr>
      <w:r>
        <w:rPr>
          <w:rFonts w:ascii="Times New Roman" w:cs="Times New Roman" w:eastAsia="Times New Roman" w:hAnsi="Times New Roman"/>
          <w:sz w:val="22"/>
          <w:szCs w:val="22"/>
        </w:rPr>
        <w:t xml:space="preserve">12. Publications Summary	63</w:t>
      </w:r>
    </w:p>
    <w:p>
      <w:pPr>
        <w:tabs>
          <w:tab w:val="right" w:pos="9128" w:leader="dot"/>
        </w:tabs>
        <w:spacing w:after="100"/>
      </w:pPr>
      <w:r>
        <w:rPr>
          <w:rFonts w:ascii="Times New Roman" w:cs="Times New Roman" w:eastAsia="Times New Roman" w:hAnsi="Times New Roman"/>
          <w:sz w:val="22"/>
          <w:szCs w:val="22"/>
        </w:rPr>
        <w:t xml:space="preserve">13. Research Plan	64</w:t>
      </w:r>
    </w:p>
    <w:p>
      <w:pPr>
        <w:tabs>
          <w:tab w:val="right" w:pos="9128" w:leader="dot"/>
        </w:tabs>
        <w:spacing w:after="100"/>
      </w:pPr>
      <w:r>
        <w:rPr>
          <w:rFonts w:ascii="Times New Roman" w:cs="Times New Roman" w:eastAsia="Times New Roman" w:hAnsi="Times New Roman"/>
          <w:sz w:val="22"/>
          <w:szCs w:val="22"/>
        </w:rPr>
        <w:t xml:space="preserve">References	66</w:t>
      </w:r>
    </w:p>
    <w:p>
      <w:pPr>
        <w:pStyle w:val="Heading1"/>
        <w:pageBreakBefore/>
        <w:spacing w:after="200" w:before="120"/>
      </w:pPr>
      <w:r>
        <w:rPr>
          <w:rFonts w:ascii="Times New Roman" w:cs="Times New Roman" w:eastAsia="Times New Roman" w:hAnsi="Times New Roman"/>
          <w:b/>
          <w:bCs/>
          <w:sz w:val="32"/>
          <w:szCs w:val="32"/>
        </w:rPr>
        <w:t xml:space="preserve">1.  Introduction</w:t>
      </w:r>
    </w:p>
    <w:p>
      <w:pPr>
        <w:pStyle w:val="Heading2"/>
        <w:keepNext/>
        <w:spacing w:after="120" w:before="240"/>
      </w:pPr>
      <w:r>
        <w:rPr>
          <w:rFonts w:ascii="Times New Roman" w:cs="Times New Roman" w:eastAsia="Times New Roman" w:hAnsi="Times New Roman"/>
          <w:b/>
          <w:bCs/>
          <w:sz w:val="26"/>
          <w:szCs w:val="26"/>
        </w:rPr>
        <w:t xml:space="preserve">1.1  Research Context</w:t>
      </w:r>
    </w:p>
    <w:p>
      <w:pPr>
        <w:spacing w:after="110" w:line="264"/>
        <w:jc w:val="both"/>
      </w:pPr>
      <w:r>
        <w:rPr>
          <w:rFonts w:ascii="Times New Roman" w:cs="Times New Roman" w:eastAsia="Times New Roman" w:hAnsi="Times New Roman"/>
          <w:sz w:val="22"/>
          <w:szCs w:val="22"/>
        </w:rPr>
        <w:t xml:space="preserve">The digitalisation of society has created an increasing demand for secure and trustworthy data sharing across organisational boundaries. Modern digital ecosystems involve multiple independent stakeholders, including individuals, healthcare providers, regulatory authorities, researchers, and third-party data processors [1–3]. Although digital transformation creates significant opportunities for collaboration and service innovation, it also introduces a fundamental governance challenge: how can data access be authorised and trusted when the participating entities do not belong to a single administrative or institutional domain? Healthcare represents a particularly important and challenging example of this broader problem. The increasing digitisation of healthcare information enables patients, healthcare professionals, guardians, researchers, and healthcare organisations to participate in data-sharing processes [4, 5].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 [6–9].</w:t>
      </w:r>
    </w:p>
    <w:p>
      <w:pPr>
        <w:spacing w:after="110" w:line="264"/>
        <w:jc w:val="both"/>
      </w:pPr>
      <w:r>
        <w:rPr>
          <w:rFonts w:ascii="Times New Roman" w:cs="Times New Roman" w:eastAsia="Times New Roman" w:hAnsi="Times New Roman"/>
          <w:sz w:val="22"/>
          <w:szCs w:val="22"/>
        </w:rPr>
        <w:t xml:space="preserve">Traditional access-control architectures are based on centralised identity providers, institution-specific authentication systems, and relatively static permission-management mechanisms [9, 10].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[4, 11]. These scenarios demonstrate that authorisation is increasingly a distributed governance problem rather than simply a process of authenticating a user and checking a static permission [12].</w:t>
      </w:r>
    </w:p>
    <w:p>
      <w:pPr>
        <w:spacing w:after="110" w:line="264"/>
        <w:jc w:val="both"/>
      </w:pPr>
      <w:r>
        <w:rPr>
          <w:rFonts w:ascii="Times New Roman" w:cs="Times New Roman" w:eastAsia="Times New Roman" w:hAnsi="Times New Roman"/>
          <w:sz w:val="22"/>
          <w:szCs w:val="22"/>
        </w:rPr>
        <w:t xml:space="preserve">Blockchain-based mechanisms can provide tamper-resistant recording and distributed auditability [3, 13–15], </w:t>
      </w:r>
      <w:r>
        <w:rPr>
          <w:rFonts w:ascii="Times New Roman" w:cs="Times New Roman" w:eastAsia="Times New Roman" w:hAnsi="Times New Roman"/>
          <w:color w:val="00B0F0"/>
          <w:sz w:val="22"/>
          <w:szCs w:val="22"/>
        </w:rPr>
        <w:t xml:space="preserve">while decentralised identifiers [16] can support the identification</w:t>
      </w:r>
      <w:r>
        <w:rPr>
          <w:rFonts w:ascii="Times New Roman" w:cs="Times New Roman" w:eastAsia="Times New Roman" w:hAnsi="Times New Roman"/>
          <w:sz w:val="22"/>
          <w:szCs w:val="22"/>
        </w:rPr>
        <w:t xml:space="preserve"> of participants without relying exclusively on a central identity provider. Verifiable credentials can provide cryptographically verifiable evidence concerning roles or authority [16, 17], and policy-based access-control mechanisms can restrict access to authorised resources [9, 10, 18]. However, an immutable record does not necessarily demonstrate that the participating entities were legitimate, that they possessed the required authority, or that a subsequent data-access request remains consistent with the conditions originally authorised. This requires a transition from viewing consent as a static record of permission towards understanding consent as an active and evaluable component of a broader authorisation process, extending the dynamic consent perspective [6, 19].</w:t>
      </w:r>
    </w:p>
    <w:p>
      <w:pPr>
        <w:pStyle w:val="Heading2"/>
        <w:keepNext/>
        <w:spacing w:after="120" w:before="240"/>
      </w:pPr>
      <w:r>
        <w:rPr>
          <w:rFonts w:ascii="Times New Roman" w:cs="Times New Roman" w:eastAsia="Times New Roman" w:hAnsi="Times New Roman"/>
          <w:b/>
          <w:bCs/>
          <w:sz w:val="26"/>
          <w:szCs w:val="26"/>
        </w:rPr>
        <w:t xml:space="preserve">1.2  Problem Statement</w:t>
      </w:r>
    </w:p>
    <w:p>
      <w:pPr>
        <w:spacing w:after="110" w:line="264"/>
        <w:jc w:val="both"/>
      </w:pPr>
      <w:r>
        <w:rPr>
          <w:rFonts w:ascii="Times New Roman" w:cs="Times New Roman" w:eastAsia="Times New Roman" w:hAnsi="Times New Roman"/>
          <w:sz w:val="22"/>
          <w:szCs w:val="22"/>
        </w:rPr>
        <w:t xml:space="preserve">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[19, 20].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pPr>
        <w:spacing w:after="110" w:line="264"/>
        <w:jc w:val="both"/>
      </w:pPr>
      <w:r>
        <w:rPr>
          <w:rFonts w:ascii="Times New Roman" w:cs="Times New Roman" w:eastAsia="Times New Roman" w:hAnsi="Times New Roman"/>
          <w:sz w:val="22"/>
          <w:szCs w:val="22"/>
        </w:rPr>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w:t>
      </w:r>
      <w:r>
        <w:rPr>
          <w:rFonts w:ascii="Times New Roman" w:cs="Times New Roman" w:eastAsia="Times New Roman" w:hAnsi="Times New Roman"/>
          <w:color w:val="00B0F0"/>
          <w:sz w:val="22"/>
          <w:szCs w:val="22"/>
        </w:rPr>
        <w:t xml:space="preserve">Existing approaches provide important technological components,</w:t>
      </w:r>
      <w:r>
        <w:rPr>
          <w:rFonts w:ascii="Times New Roman" w:cs="Times New Roman" w:eastAsia="Times New Roman" w:hAnsi="Times New Roman"/>
          <w:sz w:val="22"/>
          <w:szCs w:val="22"/>
        </w:rPr>
        <w:t xml:space="preserve"> including decentralised identity and verifiable credentials [21, 22], blockchain-based records [23, 24], multi-party approval mechanisms [23, 25–27], and policy-based access control [28–31], as well as several partial combinations [21, 25, 32].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w:t>
      </w:r>
    </w:p>
    <w:p>
      <w:pPr>
        <w:pStyle w:val="Heading2"/>
        <w:keepNext/>
        <w:spacing w:after="120" w:before="240"/>
      </w:pPr>
      <w:r>
        <w:rPr>
          <w:rFonts w:ascii="Times New Roman" w:cs="Times New Roman" w:eastAsia="Times New Roman" w:hAnsi="Times New Roman"/>
          <w:b/>
          <w:bCs/>
          <w:sz w:val="26"/>
          <w:szCs w:val="26"/>
        </w:rPr>
        <w:t xml:space="preserve">1.3  Research Motivation</w:t>
      </w:r>
    </w:p>
    <w:p>
      <w:pPr>
        <w:spacing w:after="110" w:line="264"/>
        <w:jc w:val="both"/>
      </w:pPr>
      <w:r>
        <w:rPr>
          <w:rFonts w:ascii="Times New Roman" w:cs="Times New Roman" w:eastAsia="Times New Roman" w:hAnsi="Times New Roman"/>
          <w:sz w:val="22"/>
          <w:szCs w:val="22"/>
        </w:rP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[33, 34].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pPr>
        <w:spacing w:after="110" w:line="264"/>
        <w:jc w:val="both"/>
      </w:pPr>
      <w:r>
        <w:rPr>
          <w:rFonts w:ascii="Times New Roman" w:cs="Times New Roman" w:eastAsia="Times New Roman" w:hAnsi="Times New Roman"/>
          <w:sz w:val="22"/>
          <w:szCs w:val="22"/>
        </w:rP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Together, these conditions provide the foundation for determining not only whether access has been requested, but whether the resulting authorisation decision has a sufficient basis to be trusted.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jurisdictional conditions, and evidence associated with an authorisation decision.</w:t>
      </w:r>
    </w:p>
    <w:p>
      <w:pPr>
        <w:spacing w:after="110" w:line="264"/>
        <w:jc w:val="both"/>
      </w:pPr>
      <w:r>
        <w:rPr>
          <w:rFonts w:ascii="Times New Roman" w:cs="Times New Roman" w:eastAsia="Times New Roman" w:hAnsi="Times New Roman"/>
          <w:sz w:val="22"/>
          <w:szCs w:val="22"/>
        </w:rP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and RO6 are in progress, and part of each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pPr>
        <w:spacing w:after="110" w:line="264"/>
        <w:jc w:val="both"/>
      </w:pPr>
      <w:r>
        <w:rPr>
          <w:rFonts w:ascii="Times New Roman" w:cs="Times New Roman" w:eastAsia="Times New Roman" w:hAnsi="Times New Roman"/>
          <w:sz w:val="22"/>
          <w:szCs w:val="22"/>
        </w:rPr>
        <w:t xml:space="preserve">HALAH runs on the Ethereum Sepolia testnet, and the guardian approval rule is currently implemented as N-of-N over the guardian set G. Synthetic healthcare records derived from the Synthea dataset [35] are used to construct representative consent workflows. Security properties are demonstrated through adversarial and negative testing, as well as empirical evaluation using the HALAH prototype and representative healthcare data-sharing scenarios, rather than formal proof. </w:t>
      </w:r>
      <w:r>
        <w:rPr>
          <w:rFonts w:ascii="Times New Roman" w:cs="Times New Roman" w:eastAsia="Times New Roman" w:hAnsi="Times New Roman"/>
          <w:color w:val="FF0000"/>
          <w:sz w:val="22"/>
          <w:szCs w:val="22"/>
        </w:rPr>
        <w:t xml:space="preserve">The current stage covers the work delivered so far,</w:t>
      </w:r>
      <w:r>
        <w:rPr>
          <w:rFonts w:ascii="Times New Roman" w:cs="Times New Roman" w:eastAsia="Times New Roman" w:hAnsi="Times New Roman"/>
          <w:sz w:val="22"/>
          <w:szCs w:val="22"/>
        </w:rPr>
        <w:t xml:space="preserve"> while temporal and lifecycle trust, formal security assurance, and comprehensive empirical validation </w:t>
      </w:r>
      <w:r>
        <w:rPr>
          <w:rFonts w:ascii="Times New Roman" w:cs="Times New Roman" w:eastAsia="Times New Roman" w:hAnsi="Times New Roman"/>
          <w:color w:val="FF0000"/>
          <w:sz w:val="22"/>
          <w:szCs w:val="22"/>
        </w:rPr>
        <w:t xml:space="preserve">will be developed further in the next stage.</w:t>
      </w:r>
    </w:p>
    <w:p>
      <w:pPr>
        <w:spacing w:after="110" w:line="264"/>
        <w:jc w:val="both"/>
      </w:pPr>
      <w:r>
        <w:rPr>
          <w:rFonts w:ascii="Times New Roman" w:cs="Times New Roman" w:eastAsia="Times New Roman" w:hAnsi="Times New Roman"/>
          <w:sz w:val="22"/>
          <w:szCs w:val="22"/>
        </w:rPr>
        <w:t xml:space="preserve">Section 2 presents the systematic literature review, Section 3 the research gaps and questions, Section 4 the research objectives, and Section 5 the MVC-based research architecture. Sections 6 to 11 present the solution and status for RQ1 to RQ6, Section 12 the publications, and Section 13 the research plan.</w:t>
      </w:r>
    </w:p>
    <w:p>
      <w:pPr>
        <w:pStyle w:val="Heading1"/>
        <w:pageBreakBefore/>
        <w:spacing w:after="200" w:before="120"/>
      </w:pPr>
      <w:r>
        <w:rPr>
          <w:rFonts w:ascii="Times New Roman" w:cs="Times New Roman" w:eastAsia="Times New Roman" w:hAnsi="Times New Roman"/>
          <w:b/>
          <w:bCs/>
          <w:sz w:val="32"/>
          <w:szCs w:val="32"/>
        </w:rPr>
        <w:t xml:space="preserve">2.  Systematic Literature Review</w:t>
      </w:r>
    </w:p>
    <w:p>
      <w:pPr>
        <w:spacing w:after="110" w:line="264"/>
        <w:jc w:val="both"/>
      </w:pPr>
      <w:r>
        <w:rPr>
          <w:rFonts w:ascii="Times New Roman" w:cs="Times New Roman" w:eastAsia="Times New Roman" w:hAnsi="Times New Roman"/>
          <w:sz w:val="22"/>
          <w:szCs w:val="22"/>
        </w:rPr>
        <w:t xml:space="preserve">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 Healthcare research has emphasised the importance of patient autonomy, privacy, informed consent, and controlled data sharing [4, 6–8, 36]. Multi-party trust research has investigated immutable data governance, distributed auditability, and decentralised consent management [3, 18, 37–39]. Research on decentralised identity and verifiable credentials has developed mechanisms for self-controlled identity representation, credential verification, selective disclosure, and privacy-preserving authentication [16, 17, 40–43]. Access-control research has further investigated role-based, attribute-based, risk-aware, and usage-control approaches for protecting sensitive healthcare information [9, 10, 44, 45]. However, the literature also indicates that these mechanisms are commonly developed and evaluated as separate technological components. This fragmentation creates an important distinction between the availability of security mechanisms and the ability to construct a unified and trustworthy authorisation decision.</w:t>
      </w:r>
    </w:p>
    <w:p>
      <w:pPr>
        <w:pStyle w:val="Heading2"/>
        <w:keepNext/>
        <w:spacing w:after="120" w:before="240"/>
      </w:pPr>
      <w:r>
        <w:rPr>
          <w:rFonts w:ascii="Times New Roman" w:cs="Times New Roman" w:eastAsia="Times New Roman" w:hAnsi="Times New Roman"/>
          <w:b/>
          <w:bCs/>
          <w:sz w:val="26"/>
          <w:szCs w:val="26"/>
        </w:rPr>
        <w:t xml:space="preserve">2.1  Key Requirements for Trustworthy Multi-Party Consent Authorisation</w:t>
      </w:r>
    </w:p>
    <w:p>
      <w:pPr>
        <w:spacing w:after="110" w:line="264"/>
        <w:jc w:val="both"/>
      </w:pPr>
      <w:r>
        <w:rPr>
          <w:rFonts w:ascii="Times New Roman" w:cs="Times New Roman" w:eastAsia="Times New Roman" w:hAnsi="Times New Roman"/>
          <w:sz w:val="22"/>
          <w:szCs w:val="22"/>
        </w:rP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(Section 3), and each sub-research question addresses a distinct dimension of the proposed trust-oriented healthcare authorisation framework.</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1: Representation of consent as an evaluable authorisation object.</w:t>
      </w:r>
      <w:r>
        <w:rPr>
          <w:rFonts w:ascii="Times New Roman" w:cs="Times New Roman" w:eastAsia="Times New Roman" w:hAnsi="Times New Roman"/>
          <w:sz w:val="22"/>
          <w:szCs w:val="22"/>
        </w:rPr>
        <w:t xml:space="preserve"> 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data scope, and jurisdiction, temporal validity, and authorisation evidence so that a consent decision can be evaluated when a subsequent data-access request is made.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2: Decentralised verification of identity and authority.</w:t>
      </w:r>
      <w:r>
        <w:rPr>
          <w:rFonts w:ascii="Times New Roman" w:cs="Times New Roman" w:eastAsia="Times New Roman" w:hAnsi="Times New Roman"/>
          <w:sz w:val="22"/>
          <w:szCs w:val="22"/>
        </w:rPr>
        <w:t xml:space="preserve"> Decentralised Identity (DID)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3: Multi-party authorisation through a verifiable threshold.</w:t>
      </w:r>
      <w:r>
        <w:rPr>
          <w:rFonts w:ascii="Times New Roman" w:cs="Times New Roman" w:eastAsia="Times New Roman" w:hAnsi="Times New Roman"/>
          <w:sz w:val="22"/>
          <w:szCs w:val="22"/>
        </w:rPr>
        <w:t xml:space="preserve"> 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4: Policy- and context-aware enforcement at the time of access.</w:t>
      </w:r>
      <w:r>
        <w:rPr>
          <w:rFonts w:ascii="Times New Roman" w:cs="Times New Roman" w:eastAsia="Times New Roman" w:hAnsi="Times New Roman"/>
          <w:sz w:val="22"/>
          <w:szCs w:val="22"/>
        </w:rPr>
        <w:t xml:space="preserve"> 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Every request should be evaluated against contextual constraints such as jurisdiction, because many unauthorised disclosures are caused by legitimate requesters who exceed their scope [45].</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5: Temporal validity and lifecycle control of consent.</w:t>
      </w:r>
      <w:r>
        <w:rPr>
          <w:rFonts w:ascii="Times New Roman" w:cs="Times New Roman" w:eastAsia="Times New Roman" w:hAnsi="Times New Roman"/>
          <w:sz w:val="22"/>
          <w:szCs w:val="22"/>
        </w:rPr>
        <w:t xml:space="preserve"> 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6: Verifiable auditability and security assurance.</w:t>
      </w:r>
      <w:r>
        <w:rPr>
          <w:rFonts w:ascii="Times New Roman" w:cs="Times New Roman" w:eastAsia="Times New Roman" w:hAnsi="Times New Roman"/>
          <w:sz w:val="22"/>
          <w:szCs w:val="22"/>
        </w:rPr>
        <w:t xml:space="preserve"> 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Heading2"/>
        <w:keepNext/>
        <w:spacing w:after="120" w:before="240"/>
      </w:pPr>
      <w:r>
        <w:rPr>
          <w:rFonts w:ascii="Times New Roman" w:cs="Times New Roman" w:eastAsia="Times New Roman" w:hAnsi="Times New Roman"/>
          <w:b/>
          <w:bCs/>
          <w:sz w:val="26"/>
          <w:szCs w:val="26"/>
        </w:rPr>
        <w:t xml:space="preserve">2.2  Review Methodology</w:t>
      </w:r>
    </w:p>
    <w:p>
      <w:pPr>
        <w:spacing w:after="110" w:line="264"/>
        <w:jc w:val="both"/>
      </w:pPr>
      <w:r>
        <w:rPr>
          <w:rFonts w:ascii="Times New Roman" w:cs="Times New Roman" w:eastAsia="Times New Roman" w:hAnsi="Times New Roman"/>
          <w:sz w:val="22"/>
          <w:szCs w:val="22"/>
        </w:rPr>
        <w:t xml:space="preserve">The review process was structured according to the Preferred Reporting Items for Systematic Reviews and Meta-Analyses (PRISMA) 2020 statement [46].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w:t>
      </w:r>
      <w:r>
        <w:rPr>
          <w:rFonts w:ascii="Times New Roman" w:cs="Times New Roman" w:eastAsia="Times New Roman" w:hAnsi="Times New Roman"/>
          <w:color w:val="00B0F0"/>
          <w:sz w:val="22"/>
          <w:szCs w:val="22"/>
        </w:rPr>
        <w:t xml:space="preserve">We screened, coded, and assessed every record, and all counts are those recorded on 10 September 2026.</w:t>
      </w:r>
      <w:r>
        <w:rPr>
          <w:rFonts w:ascii="Times New Roman" w:cs="Times New Roman" w:eastAsia="Times New Roman" w:hAnsi="Times New Roman"/>
          <w:sz w:val="22"/>
          <w:szCs w:val="22"/>
        </w:rPr>
        <w:t xml:space="preserve"> This systematic literature review (SLR) is guided by seven review questions. Questions 1 to 5 correspond to Req 1 to Req 5, and Questions 6 and 7 together to Req 6. These questions were formulated to ensure that the review remained directly aligned with the technical objectives of the proposed system.</w:t>
      </w:r>
    </w:p>
    <w:p>
      <w:pPr>
        <w:spacing w:after="110" w:line="264"/>
        <w:jc w:val="both"/>
      </w:pPr>
      <w:r>
        <w:rPr>
          <w:rFonts w:ascii="Times New Roman" w:cs="Times New Roman" w:eastAsia="Times New Roman" w:hAnsi="Times New Roman"/>
          <w:sz w:val="22"/>
          <w:szCs w:val="22"/>
        </w:rPr>
        <w:t xml:space="preserve">The literature search was conducted using the following academic databases including 1) IEEE Xplore, 2) ACM Digital Library, 3) ScienceDirect, 4) SpringerLink, 5) ProQuest Science and Technology, 6) Scopus, and 7) Web of Science, with Google Scholar as a discovery arm reported separately.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strings were constructed using Boolean operators and were adapted only to the syntax requirements of each database.</w:t>
      </w:r>
    </w:p>
    <w:p>
      <w:pPr>
        <w:spacing w:after="110" w:line="264"/>
        <w:jc w:val="both"/>
      </w:pPr>
      <w:r>
        <w:rPr>
          <w:rFonts w:ascii="Times New Roman" w:cs="Times New Roman" w:eastAsia="Times New Roman" w:hAnsi="Times New Roman"/>
          <w:color w:val="FF0000"/>
          <w:sz w:val="22"/>
          <w:szCs w:val="22"/>
        </w:rPr>
        <w:t xml:space="preserve">The main searches were performed in August 2026. IEEE Xplore, Scopus, Web of Science, and ProQuest were searched on 24 August 2026, SpringerLink, ScienceDirect, and Google Scholar on 25 August 2026, and the ACM Digital Library on 5 September 2026 as a late arm, a declared limitation. Full-text coding began on 26 August 2026.</w:t>
      </w:r>
      <w:r>
        <w:rPr>
          <w:rFonts w:ascii="Times New Roman" w:cs="Times New Roman" w:eastAsia="Times New Roman" w:hAnsi="Times New Roman"/>
          <w:sz w:val="22"/>
          <w:szCs w:val="22"/>
        </w:rPr>
        <w:t xml:space="preserve"> A sentinel test of twelve predefined papers checked the recall of the master query, and all four healthcare-scoped sentinels [23, 24, 47, 48] were retrieved. Seven of the eight misses were attributed to scope, missing trust terms, or the date range, and the cause of the eighth was recorded as an open item. The search results from all databases were exported into a reference management system. Duplicate records were identified using bibliographic metadata, including title, author, DOI, and publication year. </w:t>
      </w:r>
      <w:r>
        <w:rPr>
          <w:rFonts w:ascii="Times New Roman" w:cs="Times New Roman" w:eastAsia="Times New Roman" w:hAnsi="Times New Roman"/>
          <w:color w:val="00B0F0"/>
          <w:sz w:val="22"/>
          <w:szCs w:val="22"/>
        </w:rPr>
        <w:t xml:space="preserve">Where duplicate records were identified, the most complete bibliographic record was retained for subsequent screening. Each study is cited by the year of the journal issue or proceedings volume in which it appeared, not the year it was first published online.</w:t>
      </w:r>
    </w:p>
    <w:p>
      <w:pPr>
        <w:spacing w:after="110" w:line="264"/>
        <w:jc w:val="both"/>
      </w:pPr>
      <w:r>
        <w:rPr>
          <w:rFonts w:ascii="Times New Roman" w:cs="Times New Roman" w:eastAsia="Times New Roman" w:hAnsi="Times New Roman"/>
          <w:sz w:val="22"/>
          <w:szCs w:val="22"/>
        </w:rP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between January 2020 and 2026. Nine exclusion criteria (EC1 to EC9) removed, among others, non-healthcare studies, secondary reviews, and superficial mentions of consent, although no study was excluded for failing to support the proposed research gap. The inclusion and exclusion criteria were applied consistently throughout the screening process. Where a study addressed multiple topics, its eligibility was determined according to the relevance of its contribution to the review questions rather than by the presence of a single keyword.</w:t>
      </w:r>
    </w:p>
    <w:p>
      <w:pPr>
        <w:spacing w:after="110" w:line="264"/>
        <w:jc w:val="both"/>
      </w:pPr>
      <w:r>
        <w:rPr>
          <w:rFonts w:ascii="Times New Roman" w:cs="Times New Roman" w:eastAsia="Times New Roman" w:hAnsi="Times New Roman"/>
          <w:sz w:val="22"/>
          <w:szCs w:val="22"/>
        </w:rPr>
        <w:t xml:space="preserve">Figure 1 presents the PRISMA flow diagram for this review which summarises the identification, screening, eligibility, and inclusion stages of the SLR. Its counts are internally consistent. The seven database searches returned 9,256 records, or 6,039 unique records after deduplication, and after title and abstract screening, </w:t>
      </w:r>
      <w:r>
        <w:rPr>
          <w:rFonts w:ascii="Times New Roman" w:cs="Times New Roman" w:eastAsia="Times New Roman" w:hAnsi="Times New Roman"/>
          <w:color w:val="FF0000"/>
          <w:sz w:val="22"/>
          <w:szCs w:val="22"/>
        </w:rPr>
        <w:t xml:space="preserve">1,800 records advanced to full text and were prioritised into Tiers A, B, and C of 39, 1,066, and 695 records.</w:t>
      </w:r>
      <w:r>
        <w:rPr>
          <w:rFonts w:ascii="Times New Roman" w:cs="Times New Roman" w:eastAsia="Times New Roman" w:hAnsi="Times New Roman"/>
          <w:sz w:val="22"/>
          <w:szCs w:val="22"/>
        </w:rPr>
        <w:t xml:space="preserve"> Records that were clearly unrelated to the review scope were excluded at that stage. </w:t>
      </w:r>
      <w:r>
        <w:rPr>
          <w:rFonts w:ascii="Times New Roman" w:cs="Times New Roman" w:eastAsia="Times New Roman" w:hAnsi="Times New Roman"/>
          <w:color w:val="FF0000"/>
          <w:sz w:val="22"/>
          <w:szCs w:val="22"/>
        </w:rPr>
        <w:t xml:space="preserve">A saturation rule was also defined, under which saturation is declared when eight consecutively coded studies with a positive signal for a dimension yield no new mechanism class. At the checkpoint, all 39 Tier A records and 25 further records had been assessed, and 44 reports had been fully coded and passed the quality gate. The remaining 1,735 records had not yet been assessed, and the coding of Tiers B and C continues, so corpus completeness is bounded by the reporting checkpoint rather than by exhaustive reading.</w:t>
      </w:r>
      <w:r>
        <w:rPr>
          <w:rFonts w:ascii="Times New Roman" w:cs="Times New Roman" w:eastAsia="Times New Roman" w:hAnsi="Times New Roman"/>
          <w:sz w:val="22"/>
          <w:szCs w:val="22"/>
        </w:rPr>
        <w:t xml:space="preserve"> The reasons for exclusion at the full-text stage were recorded to improve the transparency of the review.</w:t>
      </w:r>
    </w:p>
    <w:p>
      <w:pPr>
        <w:spacing w:after="110" w:line="264"/>
        <w:jc w:val="both"/>
      </w:pPr>
      <w:r>
        <w:rPr>
          <w:rFonts w:ascii="Times New Roman" w:cs="Times New Roman" w:eastAsia="Times New Roman" w:hAnsi="Times New Roman"/>
          <w:sz w:val="22"/>
          <w:szCs w:val="22"/>
        </w:rPr>
        <w:t xml:space="preserve">The included studies were systematically analysed using a predefined data extraction framework. Each study was coded as Yes, Partial, or No against seven trust dimensions, T1 (identity), T2 (authority), T3 (multi-party), T4 (policy), T5 (temporal), T6 (lifecycle), and T7 (audit), and against the requirements, with a page reference for every positive coding. A study passed when its score on QA1 to QA4 of the eight quality items was at least 3.0. </w:t>
      </w:r>
      <w:r>
        <w:rPr>
          <w:rFonts w:ascii="Times New Roman" w:cs="Times New Roman" w:eastAsia="Times New Roman" w:hAnsi="Times New Roman"/>
          <w:color w:val="FF0000"/>
          <w:sz w:val="22"/>
          <w:szCs w:val="22"/>
        </w:rPr>
        <w:t xml:space="preserve">Table 1 shows the quality items, how each one was scored, and the rule used for inclusion.</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00B0F0"/>
          <w:sz w:val="22"/>
          <w:szCs w:val="22"/>
        </w:rPr>
        <w:t xml:space="preserve">A study is core</w:t>
      </w:r>
      <w:r>
        <w:rPr>
          <w:rFonts w:ascii="Times New Roman" w:cs="Times New Roman" w:eastAsia="Times New Roman" w:hAnsi="Times New Roman"/>
          <w:sz w:val="22"/>
          <w:szCs w:val="22"/>
        </w:rPr>
        <w:t xml:space="preserve"> if its gap-impact verdict is contradicts, weakens, or narrows, or if its T3 coding is Yes or Partial, which gives 23 core studies of the 44. With the two supporting studies of highest quality score 7.0 [48, 49], they form the 25 primary studies, S1 to S25. </w:t>
      </w:r>
      <w:r>
        <w:rPr>
          <w:rFonts w:ascii="Times New Roman" w:cs="Times New Roman" w:eastAsia="Times New Roman" w:hAnsi="Times New Roman"/>
          <w:color w:val="FF0000"/>
          <w:sz w:val="22"/>
          <w:szCs w:val="22"/>
        </w:rPr>
        <w:t xml:space="preserve">Table 2 lists the 25 primary studies with their year, title, and category.</w:t>
      </w:r>
    </w:p>
    <w:p>
      <w:pPr>
        <w:keepNext/>
        <w:spacing w:after="80" w:before="200"/>
        <w:jc w:val="center"/>
      </w:pPr>
      <w:r>
        <w:rPr>
          <w:rFonts w:ascii="Times New Roman" w:cs="Times New Roman" w:eastAsia="Times New Roman" w:hAnsi="Times New Roman"/>
          <w:b/>
          <w:bCs/>
          <w:sz w:val="18"/>
          <w:szCs w:val="18"/>
        </w:rPr>
        <w:t xml:space="preserve">Table 1: </w:t>
      </w:r>
      <w:r>
        <w:rPr>
          <w:rFonts w:ascii="Times New Roman" w:cs="Times New Roman" w:eastAsia="Times New Roman" w:hAnsi="Times New Roman"/>
          <w:color w:val="FF0000"/>
          <w:sz w:val="18"/>
          <w:szCs w:val="18"/>
        </w:rPr>
        <w:t xml:space="preserve">Quality assessment items and inclusion rule</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00"/>
        <w:gridCol w:w="5428"/>
        <w:gridCol w:w="2400"/>
      </w:tblGrid>
      <w:tr>
        <w:trPr>
          <w:cantSplit/>
          <w:tblHeader/>
        </w:trPr>
        <w:tc>
          <w:tcPr>
            <w:tcW w:type="dxa" w:w="13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Item</w:t>
            </w:r>
          </w:p>
        </w:tc>
        <w:tc>
          <w:tcPr>
            <w:tcW w:type="dxa" w:w="5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Question</w:t>
            </w:r>
          </w:p>
        </w:tc>
        <w:tc>
          <w:tcPr>
            <w:tcW w:type="dxa" w:w="24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Used for</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QA1</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Does the study deal with patient consent or consent-governed data access at the healthcare level?</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QA2</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Does it deal with an authorisation or access-decision mechanism, not storage or recording only?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QA3</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Does it introduce a proper framework, model, protocol or architecture to address its aim?</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QA4</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Is the proposed methodology validated by a proof of concept or an implementation?</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QA5 to QA8</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Further quality items scored for every included study.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Evidence tier only (A, B, C, Background), not 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Scoring</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 = 1, Partial = 0.5, No = 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Rule</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study is included when QA1 + QA2 + QA3 + QA4 ≥ 3.0.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w:t>
            </w:r>
          </w:p>
        </w:tc>
      </w:tr>
    </w:tbl>
    <w:p>
      <w:pPr>
        <w:spacing w:after="160"/>
      </w:pPr>
    </w:p>
    <w:p>
      <w:pPr>
        <w:keepNext/>
        <w:spacing w:after="60" w:before="160"/>
        <w:jc w:val="center"/>
      </w:pPr>
      <w:r>
        <w:drawing>
          <wp:inline distT="0" distB="0" distL="0" distR="0">
            <wp:extent cx="4695825" cy="4286250"/>
            <wp:effectExtent t="0" r="0" b="0" l="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6958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 </w:t>
      </w:r>
      <w:r>
        <w:rPr>
          <w:rFonts w:ascii="Times New Roman" w:cs="Times New Roman" w:eastAsia="Times New Roman" w:hAnsi="Times New Roman"/>
          <w:color w:val="00B0F0"/>
          <w:sz w:val="18"/>
          <w:szCs w:val="18"/>
        </w:rPr>
        <w:t xml:space="preserve">PRISMA 2020 flow diagram of the study identification, screening, eligibility and inclusion stages, with the audited counts at the reporting checkpoint</w:t>
      </w:r>
      <w:r>
        <w:rPr>
          <w:rFonts w:ascii="Times New Roman" w:cs="Times New Roman" w:eastAsia="Times New Roman" w:hAnsi="Times New Roman"/>
          <w:sz w:val="18"/>
          <w:szCs w:val="18"/>
        </w:rPr>
        <w:t xml:space="preserve">.</w:t>
      </w:r>
    </w:p>
    <w:p>
      <w:pPr>
        <w:keepNext/>
        <w:spacing w:after="80" w:before="200"/>
        <w:jc w:val="center"/>
      </w:pPr>
      <w:r>
        <w:rPr>
          <w:rFonts w:ascii="Times New Roman" w:cs="Times New Roman" w:eastAsia="Times New Roman" w:hAnsi="Times New Roman"/>
          <w:b/>
          <w:bCs/>
          <w:sz w:val="18"/>
          <w:szCs w:val="18"/>
        </w:rPr>
        <w:t xml:space="preserve">Table 2: </w:t>
      </w:r>
      <w:r>
        <w:rPr>
          <w:rFonts w:ascii="Times New Roman" w:cs="Times New Roman" w:eastAsia="Times New Roman" w:hAnsi="Times New Roman"/>
          <w:color w:val="FF0000"/>
          <w:sz w:val="18"/>
          <w:szCs w:val="18"/>
        </w:rPr>
        <w:t xml:space="preserve">Listing of the 25 primary studies identified after the selection process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700"/>
        <w:gridCol w:w="1750"/>
        <w:gridCol w:w="600"/>
        <w:gridCol w:w="3978"/>
        <w:gridCol w:w="2100"/>
      </w:tblGrid>
      <w:tr>
        <w:trPr>
          <w:cantSplit/>
          <w:tblHeader/>
        </w:trPr>
        <w:tc>
          <w:tcPr>
            <w:tcW w:type="dxa" w:w="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7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Author(s)</w:t>
            </w:r>
          </w:p>
        </w:tc>
        <w:tc>
          <w:tcPr>
            <w:tcW w:type="dxa" w:w="6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Year</w:t>
            </w:r>
          </w:p>
        </w:tc>
        <w:tc>
          <w:tcPr>
            <w:tcW w:type="dxa" w:w="39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Title</w:t>
            </w:r>
          </w:p>
        </w:tc>
        <w:tc>
          <w:tcPr>
            <w:tcW w:type="dxa" w:w="21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Category</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Abbasi et al. [50]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Nexa: Enabling Secure, Scalable, and Decentralized Management of Electronic Health Records Using Threshold Cryptography and Public Blockchains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Albalwy et al. [48]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2021</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Blockchain-based dynamic consent architecture to support clinical genomic data sharing (ConsentChain): Proof-of-concept study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Al Amin et al. [51]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Informed Consent as Patient Driven Policy for Clinical Diagnosis and Treatment: A Smart Contract Based Approach</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Ekholm et al. [27]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Implementing electronic informed consent in rare disease genomics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Eneh et al. [28]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Demo: EdgeConsent: On-Chain Attribute-Based Access Control for Data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Hagström et al. [52]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Minors’ and guardian access to and use of a national patient portal: A retrospective comparative case study of Sweden and Finland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Jaiman and Urovi [47]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Consent Model for Blockchain-Based Health Data Sharing Platforms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Zhao and Su [53]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threshold traceable delegation authorization scheme for data sharing in healthcare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Li et al. [49]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Privacy-Preserving Fine-Grained EMR Access Control for IoMT: A Hybrid RBAC-Smart Contract Scheme With Attribute-Based Authorization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Madine et al. [23]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Fully Decentralized Multi-Party Consent Management for Secure Sharing of Patient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Maruthi and Singh [54]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Enhancing Security and Privacy of IoMT Data for Unconscious Patient With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Mei et al. [55]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Efficient Dual-Revocation CP-ABE for Secure and Fine-Grained Data Sharing in IoMT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Panagoulias et al. [29]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Blockchain-Enabled Trust and Compliance for Clinical AI: Decentralized Governance Without Decentralized Data Storage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Phuyal et al. [21]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Enabling Cross-Institution Health Data Sharing in Norway: EUDI Wallets, On-Chain Consent, and openEHR↔FHIR Translation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Phuyal et al. [56]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Blockchain-Based Architecture for Dynamic and Auditable Patient Consent in Secondary Use of Health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Punia et al. [25]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An access control system for cloud-based healthcare systems driven by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Román-Martínez et al. [30]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Blockchain-Based Service-Oriented Architecture for Consent Management, Access Control, and Auditing</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Hema et al. [57]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Patient Centric Cryptographic Protection of Cloud Electronic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00B0F0"/>
                <w:sz w:val="17"/>
                <w:szCs w:val="17"/>
              </w:rPr>
              <w:t xml:space="preserve">SooHoo</w:t>
            </w:r>
            <w:r>
              <w:rPr>
                <w:rFonts w:ascii="Times New Roman" w:cs="Times New Roman" w:eastAsia="Times New Roman" w:hAnsi="Times New Roman"/>
                <w:b w:val="false"/>
                <w:bCs w:val="false"/>
                <w:color w:val="FF0000"/>
                <w:sz w:val="17"/>
                <w:szCs w:val="17"/>
              </w:rPr>
              <w:t xml:space="preserve"> et al. [58]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Development of the authentication and authorization processes for the iAgree portal, a platform for patient-controlled data sharing across health systems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Tan et al. [26]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Secure and privacy-preserving sharing of personal health records with multi-party pre-authorization verification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Tith et al. [24]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Patient consent management by a purpose-based consent model for electronic health record based on blockchain technology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Tremper et al. [59]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Mainzelliste: Ten years of pseudonymization, record linkage, and informed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Tseng et al. [60]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EMR-Chain: Decentralized Electronic Medical Record Exchange System</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Wu et al. [61]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00B0F0"/>
                <w:sz w:val="17"/>
                <w:szCs w:val="17"/>
              </w:rPr>
              <w:t xml:space="preserve">2022</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Apply Trust Computing and Privacy Preserving Smart Contracts to Manage, Share, and Analyze Multi-site Clinical Trial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Wu and Zhang [22]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HealthDID: An efficient and authorizable multi-party privacy-preserving EMR sharing system based on DID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Security assurance (Req 6)</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2.3  Review of the Six Streams</w:t>
      </w:r>
    </w:p>
    <w:p>
      <w:pPr>
        <w:spacing w:after="110" w:line="264"/>
        <w:jc w:val="both"/>
      </w:pPr>
      <w:r>
        <w:rPr>
          <w:rFonts w:ascii="Times New Roman" w:cs="Times New Roman" w:eastAsia="Times New Roman" w:hAnsi="Times New Roman"/>
          <w:sz w:val="22"/>
          <w:szCs w:val="22"/>
        </w:rPr>
        <w:t xml:space="preserve">The extracted data were organised into thematic categories corresponding to the research questions. </w:t>
      </w:r>
      <w:r>
        <w:rPr>
          <w:rFonts w:ascii="Times New Roman" w:cs="Times New Roman" w:eastAsia="Times New Roman" w:hAnsi="Times New Roman"/>
          <w:color w:val="00B0F0"/>
          <w:sz w:val="22"/>
          <w:szCs w:val="22"/>
        </w:rPr>
        <w:t xml:space="preserve">Each included study was assigned to one stream, normally the one on which it is coded most strongly</w:t>
      </w:r>
      <w:r>
        <w:rPr>
          <w:rFonts w:ascii="Times New Roman" w:cs="Times New Roman" w:eastAsia="Times New Roman" w:hAnsi="Times New Roman"/>
          <w:color w:val="00B0F0"/>
          <w:sz w:val="22"/>
          <w:szCs w:val="22"/>
        </w:rPr>
        <w:t xml:space="preserve">;</w:t>
      </w:r>
      <w:r>
        <w:rPr>
          <w:rFonts w:ascii="Times New Roman" w:cs="Times New Roman" w:eastAsia="Times New Roman" w:hAnsi="Times New Roman"/>
          <w:color w:val="00B0F0"/>
          <w:sz w:val="22"/>
          <w:szCs w:val="22"/>
        </w:rPr>
        <w:t xml:space="preserve"> S6 [52] is placed in the multi-party stream for its guardian access gate, although it is graded Partial on Req 3.</w:t>
      </w: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Consent representation and blockchain-based consent governance (Req 1).</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FF0000"/>
          <w:sz w:val="22"/>
          <w:szCs w:val="22"/>
        </w:rPr>
        <w:t xml:space="preserve">Two of the three studies of this stream are deployed platforms graded Partial.</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00B0F0"/>
          <w:sz w:val="22"/>
          <w:szCs w:val="22"/>
        </w:rPr>
        <w:t xml:space="preserve">SooHoo</w:t>
      </w:r>
      <w:r>
        <w:rPr>
          <w:rFonts w:ascii="Times New Roman" w:cs="Times New Roman" w:eastAsia="Times New Roman" w:hAnsi="Times New Roman"/>
          <w:sz w:val="22"/>
          <w:szCs w:val="22"/>
        </w:rPr>
        <w:t xml:space="preserve"> et al. [58] describe the iAgree portal across three United States health systems with a permissioned Ethereum audit contract, but consent enforcement is outside its scope. Tremper et al. [59] report ten years of the Mainzelliste service with FHIR consent directives, but specify no check semantics and no demonstrated enforcement of withdrawal. </w:t>
      </w:r>
      <w:r>
        <w:rPr>
          <w:rFonts w:ascii="Times New Roman" w:cs="Times New Roman" w:eastAsia="Times New Roman" w:hAnsi="Times New Roman"/>
          <w:color w:val="FF0000"/>
          <w:sz w:val="22"/>
          <w:szCs w:val="22"/>
        </w:rPr>
        <w:t xml:space="preserve">The two platforms are single-party systems. Al Amin et al. [51] model informed consent as a patient-driven policy object with hash integrity, but specify no purpose condition and report no measured results.</w:t>
      </w:r>
      <w:r>
        <w:rPr>
          <w:rFonts w:ascii="Times New Roman" w:cs="Times New Roman" w:eastAsia="Times New Roman" w:hAnsi="Times New Roman"/>
          <w:sz w:val="22"/>
          <w:szCs w:val="22"/>
        </w:rPr>
        <w:t xml:space="preserve"> The supporting references represent consent as a permission indicating whether a particular party is allowed to perform a specified </w:t>
      </w:r>
      <w:r>
        <w:rPr>
          <w:rFonts w:ascii="Times New Roman" w:cs="Times New Roman" w:eastAsia="Times New Roman" w:hAnsi="Times New Roman"/>
          <w:color w:val="00B0F0"/>
          <w:sz w:val="22"/>
          <w:szCs w:val="22"/>
        </w:rPr>
        <w:t xml:space="preserve">operation [62, 63], as conditions fixed at encryption time [64], or as a key issued by the patient for each request [65].</w:t>
      </w:r>
      <w:r>
        <w:rPr>
          <w:rFonts w:ascii="Times New Roman" w:cs="Times New Roman" w:eastAsia="Times New Roman" w:hAnsi="Times New Roman"/>
          <w:sz w:val="22"/>
          <w:szCs w:val="22"/>
        </w:rPr>
        <w:t xml:space="preserve"> The existence of a consent record does not necessarily explain whether the conditions required for a subsequent access request are still satisfied.</w:t>
      </w:r>
    </w:p>
    <w:p>
      <w:pPr>
        <w:spacing w:after="110" w:line="264"/>
        <w:jc w:val="both"/>
      </w:pPr>
      <w:r>
        <w:rPr>
          <w:rFonts w:ascii="Times New Roman" w:cs="Times New Roman" w:eastAsia="Times New Roman" w:hAnsi="Times New Roman"/>
          <w:b/>
          <w:bCs/>
          <w:sz w:val="22"/>
          <w:szCs w:val="22"/>
        </w:rPr>
        <w:t xml:space="preserve">Decentralised identity and authority trust (Req 2).</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00B0F0"/>
          <w:sz w:val="22"/>
          <w:szCs w:val="22"/>
        </w:rPr>
        <w:t xml:space="preserve">The trust dimension T2 was graded Yes in only 10 of the 25 studies and Partial in 15, and the stricter Req 2 grade in Table 4, which needs both identity and authority, is Yes in only 7.</w:t>
      </w:r>
      <w:r>
        <w:rPr>
          <w:rFonts w:ascii="Times New Roman" w:cs="Times New Roman" w:eastAsia="Times New Roman" w:hAnsi="Times New Roman"/>
          <w:sz w:val="22"/>
          <w:szCs w:val="22"/>
        </w:rPr>
        <w:t xml:space="preserve"> Phuyal et al. [21]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t>
      </w:r>
      <w:r>
        <w:rPr>
          <w:rFonts w:ascii="Times New Roman" w:cs="Times New Roman" w:eastAsia="Times New Roman" w:hAnsi="Times New Roman"/>
          <w:color w:val="00B0F0"/>
          <w:sz w:val="22"/>
          <w:szCs w:val="22"/>
        </w:rPr>
        <w:t xml:space="preserve">which is among the strongest Req 2 evidence in the corpus.</w:t>
      </w:r>
      <w:r>
        <w:rPr>
          <w:rFonts w:ascii="Times New Roman" w:cs="Times New Roman" w:eastAsia="Times New Roman" w:hAnsi="Times New Roman"/>
          <w:sz w:val="22"/>
          <w:szCs w:val="22"/>
        </w:rPr>
        <w:t xml:space="preserve"> However, a single patient grants consent, the stored expiry is not checked, there is no threat model, and the companion architecture [56] is design-only. Tseng et al. [60]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spacing w:after="110" w:line="264"/>
        <w:jc w:val="both"/>
      </w:pPr>
      <w:r>
        <w:rPr>
          <w:rFonts w:ascii="Times New Roman" w:cs="Times New Roman" w:eastAsia="Times New Roman" w:hAnsi="Times New Roman"/>
          <w:b/>
          <w:bCs/>
          <w:sz w:val="22"/>
          <w:szCs w:val="22"/>
        </w:rPr>
        <w:t xml:space="preserve">Multi-party authorisation and collaborative consent (Req 3).</w:t>
      </w:r>
      <w:r>
        <w:rPr>
          <w:rFonts w:ascii="Times New Roman" w:cs="Times New Roman" w:eastAsia="Times New Roman" w:hAnsi="Times New Roman"/>
          <w:sz w:val="22"/>
          <w:szCs w:val="22"/>
        </w:rPr>
        <w:t xml:space="preserve"> T3 was graded Yes in 6 of the 25 studies, Partial in 4, and No in 15, across six ratified mechanism classes. Madine et al. [23] require a regulator and a guardian threshold on the incapacitated path, but a single patient key suffices on the normal path. Wu et al. [61] apply a (t, n) investigator threshold to record admission and revocation, and Abbasi et al. [50] use a Shamir (5, 3) threshold for key custody. Punia et al. [25] conjoin an M-of-N multi-signature with an attribute and role policy, but a single emergency officer can bypass the threshold. Tan et al. [26] use patient-appointed verifiers as a contingency, </w:t>
      </w:r>
      <w:r>
        <w:rPr>
          <w:rFonts w:ascii="Times New Roman" w:cs="Times New Roman" w:eastAsia="Times New Roman" w:hAnsi="Times New Roman"/>
          <w:color w:val="FF0000"/>
          <w:sz w:val="22"/>
          <w:szCs w:val="22"/>
        </w:rPr>
        <w:t xml:space="preserve">[27] reports guardian co-consent at registration time, and [52] gates guardian access by the minor's consent and a clinician's capacity assessment.</w:t>
      </w:r>
      <w:r>
        <w:rPr>
          <w:rFonts w:ascii="Times New Roman" w:cs="Times New Roman" w:eastAsia="Times New Roman" w:hAnsi="Times New Roman"/>
          <w:sz w:val="22"/>
          <w:szCs w:val="22"/>
        </w:rPr>
        <w:t xml:space="preserve"> No reviewed study evaluates a threshold predicate over a patient-designated guardian set on every request, and none does so together with the policy, temporal, and jurisdictional conditions. This represents an important area addressed by the proposed framework. Multi-party verification of identity should not be considered equivalent to multi-party authorisation of data access.</w:t>
      </w:r>
    </w:p>
    <w:p>
      <w:pPr>
        <w:spacing w:after="110" w:line="264"/>
        <w:jc w:val="both"/>
      </w:pPr>
      <w:r>
        <w:rPr>
          <w:rFonts w:ascii="Times New Roman" w:cs="Times New Roman" w:eastAsia="Times New Roman" w:hAnsi="Times New Roman"/>
          <w:b/>
          <w:bCs/>
          <w:sz w:val="22"/>
          <w:szCs w:val="22"/>
        </w:rPr>
        <w:t xml:space="preserve">Policy- and context-aware access control (Req 4).</w:t>
      </w:r>
      <w:r>
        <w:rPr>
          <w:rFonts w:ascii="Times New Roman" w:cs="Times New Roman" w:eastAsia="Times New Roman" w:hAnsi="Times New Roman"/>
          <w:sz w:val="22"/>
          <w:szCs w:val="22"/>
        </w:rPr>
        <w:t xml:space="preserve"> Access control becomes more complex when policies must be connected directly to a decentralised consent process. Tith et al. [24] match a purpose tree in chaincode, and Jaiman and Urovi [47] match ontology terms against the patient's consent. Albalwy et al. [48] evaluate a hashed policy tree of data type, role, and purpose, and Román-Martínez et al. [30] evaluate the FHIR purpose-of-use through XACML. </w:t>
      </w:r>
      <w:r>
        <w:rPr>
          <w:rFonts w:ascii="Times New Roman" w:cs="Times New Roman" w:eastAsia="Times New Roman" w:hAnsi="Times New Roman"/>
          <w:color w:val="00B0F0"/>
          <w:sz w:val="22"/>
          <w:szCs w:val="22"/>
        </w:rPr>
        <w:t xml:space="preserve">The trust dimension T4 is coded Yes in 11 studies, Partial in 10, and No in 4, and the Req 4 grade in Table 4 is Yes in 10, Partial in 11, and No in 4.</w:t>
      </w:r>
      <w:r>
        <w:rPr>
          <w:rFonts w:ascii="Times New Roman" w:cs="Times New Roman" w:eastAsia="Times New Roman" w:hAnsi="Times New Roman"/>
          <w:sz w:val="22"/>
          <w:szCs w:val="22"/>
        </w:rPr>
        <w:t xml:space="preserve"> However, purpose-of-use enters the decision in only six studies [24, 28–30, 47, 48], and every one is coded T3 No. Consequently, purpose and data-scope constraints are not carried by the consent object C and evaluated together with the identity, authority, and multi-party conditions.</w:t>
      </w:r>
    </w:p>
    <w:p>
      <w:pPr>
        <w:spacing w:after="110" w:line="264"/>
        <w:jc w:val="both"/>
      </w:pPr>
      <w:r>
        <w:rPr>
          <w:rFonts w:ascii="Times New Roman" w:cs="Times New Roman" w:eastAsia="Times New Roman" w:hAnsi="Times New Roman"/>
          <w:b/>
          <w:bCs/>
          <w:sz w:val="22"/>
          <w:szCs w:val="22"/>
        </w:rPr>
        <w:t xml:space="preserve">Temporal validity and consent lifecycle (Req 5).</w:t>
      </w:r>
      <w:r>
        <w:rPr>
          <w:rFonts w:ascii="Times New Roman" w:cs="Times New Roman" w:eastAsia="Times New Roman" w:hAnsi="Times New Roman"/>
          <w:sz w:val="22"/>
          <w:szCs w:val="22"/>
        </w:rPr>
        <w:t xml:space="preserve"> A consent that is valid at one point in time cannot necessarily be assumed to remain valid indefinitely. Eneh et al. [28] present EdgeConsent, </w:t>
      </w:r>
      <w:r>
        <w:rPr>
          <w:rFonts w:ascii="Times New Roman" w:cs="Times New Roman" w:eastAsia="Times New Roman" w:hAnsi="Times New Roman"/>
          <w:color w:val="FF0000"/>
          <w:sz w:val="22"/>
          <w:szCs w:val="22"/>
        </w:rPr>
        <w:t xml:space="preserve">which enforces</w:t>
      </w:r>
      <w:r>
        <w:rPr>
          <w:rFonts w:ascii="Times New Roman" w:cs="Times New Roman" w:eastAsia="Times New Roman" w:hAnsi="Times New Roman"/>
          <w:sz w:val="22"/>
          <w:szCs w:val="22"/>
        </w:rPr>
        <w:t xml:space="preserve"> temporal validity inside the decision predicate, although its lifecycle is only an active flag. Temporal validity must also be evaluated together with the lifecycle state of the consent. Hema et al. [57] bind the expiry into key derivation, and Panagoulias et al. [29] enforce revocation at decision time across 43,500 simulated attempts in a single-node ledger. Li et al. [49] enforce time on a credential rather than on the consent. T5 is coded Yes in 8 studies and T6 in 7, a post-revocation denial </w:t>
      </w:r>
      <w:r>
        <w:rPr>
          <w:rFonts w:ascii="Times New Roman" w:cs="Times New Roman" w:eastAsia="Times New Roman" w:hAnsi="Times New Roman"/>
          <w:color w:val="00B0F0"/>
          <w:sz w:val="22"/>
          <w:szCs w:val="22"/>
        </w:rPr>
        <w:t xml:space="preserve">is demonstrated only by [21, 28, 29],</w:t>
      </w:r>
      <w:r>
        <w:rPr>
          <w:rFonts w:ascii="Times New Roman" w:cs="Times New Roman" w:eastAsia="Times New Roman" w:hAnsi="Times New Roman"/>
          <w:sz w:val="22"/>
          <w:szCs w:val="22"/>
        </w:rPr>
        <w:t xml:space="preserve"> and the three stream-5 systems that enforce time inside the decision are all single-party.</w:t>
      </w:r>
    </w:p>
    <w:p>
      <w:pPr>
        <w:spacing w:after="110" w:line="264"/>
        <w:jc w:val="both"/>
      </w:pPr>
      <w:r>
        <w:rPr>
          <w:rFonts w:ascii="Times New Roman" w:cs="Times New Roman" w:eastAsia="Times New Roman" w:hAnsi="Times New Roman"/>
          <w:b/>
          <w:bCs/>
          <w:sz w:val="22"/>
          <w:szCs w:val="22"/>
        </w:rPr>
        <w:t xml:space="preserve">Formal security assurance and empirical validation (Req 6).</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[22] present HealthDID, with three game-based definitions and three theorems proved by reduction, although </w:t>
      </w:r>
      <w:r>
        <w:rPr>
          <w:rFonts w:ascii="Times New Roman" w:cs="Times New Roman" w:eastAsia="Times New Roman" w:hAnsi="Times New Roman"/>
          <w:color w:val="FF0000"/>
          <w:sz w:val="22"/>
          <w:szCs w:val="22"/>
        </w:rPr>
        <w:t xml:space="preserve">the proofs cover</w:t>
      </w:r>
      <w:r>
        <w:rPr>
          <w:rFonts w:ascii="Times New Roman" w:cs="Times New Roman" w:eastAsia="Times New Roman" w:hAnsi="Times New Roman"/>
          <w:sz w:val="22"/>
          <w:szCs w:val="22"/>
        </w:rPr>
        <w:t xml:space="preserve"> only the identity and authority fragment. Zhao and Su [53] and Maruthi and Singh [54] prove threshold gates in isolation, and Mei et al. [55] prove a static encryption predicate. Formal assurance is coded Yes in only 4 of the 25 studies, and empirical validation Yes in 5, Partial in 19, and No in 1. </w:t>
      </w:r>
      <w:r>
        <w:rPr>
          <w:rFonts w:ascii="Times New Roman" w:cs="Times New Roman" w:eastAsia="Times New Roman" w:hAnsi="Times New Roman"/>
          <w:color w:val="FF0000"/>
          <w:sz w:val="22"/>
          <w:szCs w:val="22"/>
        </w:rPr>
        <w:t xml:space="preserve">We observed an inverse relation between predicate breadth and assurance strength.</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FF0000"/>
          <w:sz w:val="22"/>
          <w:szCs w:val="22"/>
        </w:rPr>
        <w:t xml:space="preserve">Few studies</w:t>
      </w:r>
      <w:r>
        <w:rPr>
          <w:rFonts w:ascii="Times New Roman" w:cs="Times New Roman" w:eastAsia="Times New Roman" w:hAnsi="Times New Roman"/>
          <w:sz w:val="22"/>
          <w:szCs w:val="22"/>
        </w:rPr>
        <w:t xml:space="preserve"> execute adversarial scenarios that examine whether security controls can resist deliberate attempts to circumvent the authorisation process. </w:t>
      </w:r>
      <w:r>
        <w:rPr>
          <w:rFonts w:ascii="Times New Roman" w:cs="Times New Roman" w:eastAsia="Times New Roman" w:hAnsi="Times New Roman"/>
          <w:color w:val="FF0000"/>
          <w:sz w:val="22"/>
          <w:szCs w:val="22"/>
        </w:rPr>
        <w:t xml:space="preserve">Table 3 summarises the description and the issues and limitations of each primary study.</w:t>
      </w:r>
    </w:p>
    <w:p>
      <w:pPr>
        <w:keepNext/>
        <w:spacing w:after="80" w:before="200"/>
        <w:jc w:val="center"/>
      </w:pPr>
      <w:r>
        <w:rPr>
          <w:rFonts w:ascii="Times New Roman" w:cs="Times New Roman" w:eastAsia="Times New Roman" w:hAnsi="Times New Roman"/>
          <w:b/>
          <w:bCs/>
          <w:sz w:val="18"/>
          <w:szCs w:val="18"/>
        </w:rPr>
        <w:t xml:space="preserve">Table 3: </w:t>
      </w:r>
      <w:r>
        <w:rPr>
          <w:rFonts w:ascii="Times New Roman" w:cs="Times New Roman" w:eastAsia="Times New Roman" w:hAnsi="Times New Roman"/>
          <w:color w:val="FF0000"/>
          <w:sz w:val="18"/>
          <w:szCs w:val="18"/>
        </w:rPr>
        <w:t xml:space="preserve">Descriptions, issues and limitations of the 25 primary studies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200"/>
        <w:gridCol w:w="3964"/>
        <w:gridCol w:w="3964"/>
      </w:tblGrid>
      <w:tr>
        <w:trPr>
          <w:cantSplit/>
          <w:tblHeader/>
        </w:trPr>
        <w:tc>
          <w:tcPr>
            <w:tcW w:type="dxa" w:w="12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Description of the 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Issues/Limitations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 Abbasi et al. [50]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Decentralised EHR management in which a Shamir (5, 3) threshold reconstructs a symmetric key, and automated oracles release their shares according to the requester's on-chain role.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threshold is over key custodians rather than authorisers, the patient share is not required, purpose is not evaluated, and no authorisation decision is verified despite extensive performance measurement.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 Albalwy et al. [48]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blockchain-based dynamic consent proof of concept for clinical genomic data, in which a hashed policy tree of data type, role, and purpose is evaluated by the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single patient sets and cancels consent, the requester's role and credentials are not verified, time is applied only at the delivery layer,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S3 Al Amin et al. [51]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Informed consent is modelled as a patient-driven policy object with hash integrity, which an authorisation module conjoins with other policies inside a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Purpose is not a condition, the time and expiry conditions are specified but not enforced, the only multi-party element is a 2-of-2 co-signature at registration, and the Goerli evaluation reports no measured results.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S4 Ekholm et al. [27]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deployed electronic informed consent platform for rare disease genomics, in which a minor's consent is valid only when all legal guardians sign, and guardianship is verified against the Swedish Population Register.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guardian co-consent applies at registration rather than at each access request, the platform is centralised and described with little technical detail, and there is no temporal, purpose, or formal assurance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S5 Eneh et al. [28]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EdgeConsent, a demonstration of on-chain attribute-based access control in which consent rules with purpose, data category, and notBefore and notAfter bounds are evaluated at decision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two-page demonstration with weak identity and authority trust and no DID or VC, no multi-party approval, a lifecycle that is only an active flag, and preliminary local evaluation without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S6 Hagström et al. [52]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comparative case study of national patient portals, in which a clinician's capacity assessment and the minor's consent jointly gate guardian access, with register-verified guardianship and enforced age windows.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mechanism is centralised and applied at documentation time, and the guardian is the party whose proxy access is gated rather than a co-authoriser of the patient's access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S7 Jaiman and Urovi [47]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consent model in which ontology terms requested by a data requester are matched against the patient's consent inside the smart contract, with denial tested across requester profiles.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Security assurance is explicitly outside its scope,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S8 Zhao and Su [53]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threshold traceable delegation scheme in which the patient delegates a threshold of l already-authorised users, who must jointly authorise an out-of-policy requester, with unforgeability argued under DBDH.</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authorisers are consumer-side delegates rather than patient-side stakeholders, the patient's own decision is unilateral, a trusted authority escrows keys, and there is no temporal, lifecycle, or purpose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S9 Li et al. [49]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hybrid RBAC and smart contract scheme with attribute-based authentication for fine-grained EMR access in IoMT, which enforces credential expiry at every sharing interaction.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00B0F0"/>
                <w:sz w:val="17"/>
                <w:szCs w:val="17"/>
              </w:rPr>
              <w:t xml:space="preserve">Time is enforced in the decision through the credential rather than the consent, which is why Req 5 is graded Yes, but the consent itself carries no enforced validity window,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S10 Madine et al. [23]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Fully decentralised multi-party consent management in which, on the incapacitated path, approvals from a regulator and a guardian threshold are required on one access request, and stale attestations stop counting.</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On the normal path a single patient key authorises, so multi-party approval is a contingency</w:t>
            </w:r>
            <w:r>
              <w:rPr>
                <w:rFonts w:ascii="Times New Roman" w:cs="Times New Roman" w:eastAsia="Times New Roman" w:hAnsi="Times New Roman"/>
                <w:b w:val="false"/>
                <w:bCs w:val="false"/>
                <w:color w:val="FF0000"/>
                <w:sz w:val="17"/>
                <w:szCs w:val="17"/>
              </w:rPr>
              <w:t xml:space="preserve">;</w:t>
            </w:r>
            <w:r>
              <w:rPr>
                <w:rFonts w:ascii="Times New Roman" w:cs="Times New Roman" w:eastAsia="Times New Roman" w:hAnsi="Times New Roman"/>
                <w:b w:val="false"/>
                <w:bCs w:val="false"/>
                <w:color w:val="FF0000"/>
                <w:sz w:val="17"/>
                <w:szCs w:val="17"/>
              </w:rPr>
              <w:t xml:space="preserve"> purpose and data-category policy are absent, revocation after delivery is not possible,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S11 Maruthi and Singh [54]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Protection of IoMT data for unconscious patients, in which t-of-n patient-designated relatives release access through threshold proxy re-encryption, and the hospital and relatives are authenticated on chain.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Policy and temporal conditions are not evaluated, and the proofs cover the threshold gate in isolation rather than the complete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S12 Mei et al. [55]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An efficient dual-revocation CP-ABE scheme for IoMT that terminates access immediately through ciphertext update, motivated by consent withdrawal, with a security reduction under q-BDHE.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proof covers a static encryption predicate, revocation operates at scheme level rather than on a consent object,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S13 Panagoulias et al. [29]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Blockchain-enabled trust and compliance for clinical AI, in which an Allow predicate over time, revocation, role, and purpose is evaluated before execution and denials are recorded, verified across simulated attempts with zero consent drift.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simulated single-node prototype with set-membership policy and aggregate deny attribution, without multi-party approval or identity depth, and the authors declare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S14 Phuyal et al. [21]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single patient grants consent, the stored expiry is not checked, purpose is handled only at the interface, and there is no threat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S15 Phuyal et al. [56]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design-science architecture for dynamic and auditable patient consent in secondary use, using FHIR Consent with purpose, scope, actors, and validity period, anchored on chain, with conceptual VC validation at a gateway.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architecture is design-only and is neither implemented nor evaluated, and delegation through VCs is not joint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S16 Punia et al. [25]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MedXBlock, a blockchain-driven access control system for cloud healthcare that combines an institutional M-of-N multi-signature with a conjunctive role and attribute policy evaluated with deny-by-default.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signers are doctors and administrators rather than patient-side parties, the threshold sits outside the decision predicate and a single emergency officer can bypass it, there is no purpose term, and no authorisation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S17 Román-Martínez et al. [30]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blockchain-based service-oriented architecture on Hyperledger Fabric for consent management, access control, and auditing, in which FHIR purpose-of-use limits are evaluated per resource through XACML.</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There is no withdrawal or expiry path, and the experiments validate only the blockchain component.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S18 Hema et al. [57]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Patient-centric cryptographic protection of cloud EHRs, in which a signed consent token, role, and expiry are inputs to key derivation, so that access becomes a cryptographic precondition and role-scoped keys separate authority from identity.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Consent is issued from a single patient key, identity relies on a cloud authentication service without DID or VC, and assurance is limited to an adversary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S19 </w:t>
            </w:r>
            <w:r>
              <w:rPr>
                <w:rFonts w:ascii="Times New Roman" w:cs="Times New Roman" w:eastAsia="Times New Roman" w:hAnsi="Times New Roman"/>
                <w:b w:val="false"/>
                <w:bCs w:val="false"/>
                <w:color w:val="00B0F0"/>
                <w:sz w:val="17"/>
                <w:szCs w:val="17"/>
              </w:rPr>
              <w:t xml:space="preserve">SooHoo</w:t>
            </w:r>
            <w:r>
              <w:rPr>
                <w:rFonts w:ascii="Times New Roman" w:cs="Times New Roman" w:eastAsia="Times New Roman" w:hAnsi="Times New Roman"/>
                <w:b w:val="false"/>
                <w:bCs w:val="false"/>
                <w:color w:val="FF0000"/>
                <w:sz w:val="17"/>
                <w:szCs w:val="17"/>
              </w:rPr>
              <w:t xml:space="preserve"> et al. [58]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authentication and authorisation processes of the iAgree portal across three United States health systems, using OAuth2, SMART on FHIR, and one-time passwords, with a permissioned Ethereum audit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Consent enforcement is outside its scope, a single patient decides, identity and authority are not separated, revocation is claimed but not tested, and there are no formal methods.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S20 Tan et al. [26]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Sharing of personal health records with multi-party pre-authorisation verification, in which a (t, n) threshold of patient-appointed verifiers each validate the grant, its expiry, and the revocation list before releasing a key share.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joint approval is a pre-delegated contingency for an unconscious patient rather than a standing condition, purpose and data scope are not evaluated, and the gate is not evaluated empirically as an authorisation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S21 Tith et al. [24]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purpose-based consent model on Hyperledger Fabric, in which a consent tuple of role, doctor identifiers, action, and intended purpose is matched against a purpose tree in chaincode at request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Consent is given by a single patient, the tuple has no temporal element, the effect of withdrawal is not tested, identity uses Fabric certificates without DID or VC, and there is no formal verification.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S22 Tremper et al. [59]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Ten years of the Mainzelliste production service for pseudonymisation, record linkage, and informed consent management, with purpose-scoped FHIR consent directives and automated consent checks.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consent checks have no specified semantics and no demonstrated enforcement of withdrawal, its multi-party computation parties are linkage units rather than authorisers, and no consent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S23 Tseng et al. [60]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EMR-Chain, a decentralised electronic medical record exchange that verifies authority-issued roles separately from X.509 identities and enforces token expiry at the validator.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It has no W3C identifiers, purpose is logged but never evaluated, scope is hospital-level only, the patient and requester signatures authenticate the request rather than add an independent authoriser, and revocation does not invalidate issued tokens.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S24 Wu et al. [61]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Trust computing and privacy-preserving smart contracts for multi-site clinical trial data, in which a (t, n) investigator threshold signature governs trial admission to the ledger and consent revocation.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consent grant is unilateral, the voters are institution-side investigators, the vote reduces to a hash-integrity check, there is no policy engine,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S25 Wu and Zhang [22]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HealthDID, a DID-based privacy-preserving EMR sharing system with three game-based definitions and three theorems proved by reduction, in which a zero-knowledge proof binds the authorisation to a specific requester.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proofs cover only the identity and authority fragment, multi-party refers to the privacy requirements of several stakeholders rather than joint approval, and there are no policy, temporal, or lifecycle conditions.</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2.4  Comparative Analysis of Existing Approaches</w:t>
      </w:r>
    </w:p>
    <w:p>
      <w:pPr>
        <w:spacing w:after="110" w:line="264"/>
        <w:jc w:val="both"/>
      </w:pPr>
      <w:r>
        <w:rPr>
          <w:rFonts w:ascii="Times New Roman" w:cs="Times New Roman" w:eastAsia="Times New Roman" w:hAnsi="Times New Roman"/>
          <w:sz w:val="22"/>
          <w:szCs w:val="22"/>
        </w:rPr>
        <w:t xml:space="preserve">The reviewed literature demonstrates that existing approaches provide strong solutions for individual dimensions of trustworthy data sharing. These contributions address different layers of the security problem. No individual mechanism can independently establish that a healthcare data-access decision is trustworthy. The systems that enforce purpose and time are authored by a single patient and lack a formal argument. </w:t>
      </w:r>
      <w:r>
        <w:rPr>
          <w:rFonts w:ascii="Times New Roman" w:cs="Times New Roman" w:eastAsia="Times New Roman" w:hAnsi="Times New Roman"/>
          <w:color w:val="00B0F0"/>
          <w:sz w:val="22"/>
          <w:szCs w:val="22"/>
        </w:rPr>
        <w:t xml:space="preserve">The multi-party systems carry no purpose condition, whereas the proved schemes either omit policy, temporal validity, and lifecycle or, as in [55], prove only a static encryption predicate.</w:t>
      </w:r>
      <w:r>
        <w:rPr>
          <w:rFonts w:ascii="Times New Roman" w:cs="Times New Roman" w:eastAsia="Times New Roman" w:hAnsi="Times New Roman"/>
          <w:sz w:val="22"/>
          <w:szCs w:val="22"/>
        </w:rPr>
        <w:t xml:space="preserve"> Table 4 summarises the 25 studies against the six requirements, </w:t>
      </w:r>
      <w:r>
        <w:rPr>
          <w:rFonts w:ascii="Times New Roman" w:cs="Times New Roman" w:eastAsia="Times New Roman" w:hAnsi="Times New Roman"/>
          <w:color w:val="FF0000"/>
          <w:sz w:val="22"/>
          <w:szCs w:val="22"/>
        </w:rPr>
        <w:t xml:space="preserve">where Yes denotes satisfied, Partial partially satisfied, and No not satisfied.</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00B0F0"/>
          <w:sz w:val="22"/>
          <w:szCs w:val="22"/>
        </w:rPr>
        <w:t xml:space="preserve">Req 6 combines review questions 6 and 7, so in that column each study takes the higher of its formal assurance grade and its empirical validation grade.</w:t>
      </w:r>
    </w:p>
    <w:p>
      <w:pPr>
        <w:keepNext/>
        <w:spacing w:after="80" w:before="200"/>
        <w:jc w:val="center"/>
      </w:pPr>
      <w:r>
        <w:rPr>
          <w:rFonts w:ascii="Times New Roman" w:cs="Times New Roman" w:eastAsia="Times New Roman" w:hAnsi="Times New Roman"/>
          <w:b/>
          <w:bCs/>
          <w:sz w:val="18"/>
          <w:szCs w:val="18"/>
        </w:rPr>
        <w:t xml:space="preserve">Table 4: </w:t>
      </w:r>
      <w:r>
        <w:rPr>
          <w:rFonts w:ascii="Times New Roman" w:cs="Times New Roman" w:eastAsia="Times New Roman" w:hAnsi="Times New Roman"/>
          <w:sz w:val="18"/>
          <w:szCs w:val="18"/>
        </w:rPr>
        <w:t xml:space="preserve">Comparison of the included studies against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340"/>
        <w:gridCol w:w="1131"/>
        <w:gridCol w:w="1131"/>
        <w:gridCol w:w="1131"/>
        <w:gridCol w:w="1131"/>
        <w:gridCol w:w="1131"/>
        <w:gridCol w:w="1133"/>
      </w:tblGrid>
      <w:tr>
        <w:trPr>
          <w:cantSplit/>
          <w:tblHeader/>
        </w:trPr>
        <w:tc>
          <w:tcPr>
            <w:tcW w:type="dxa" w:w="234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1</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2</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3</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4</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5</w:t>
            </w:r>
          </w:p>
        </w:tc>
        <w:tc>
          <w:tcPr>
            <w:tcW w:type="dxa" w:w="11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6</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[50] Abbasi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[48] Albalwy et al. (2021)</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[51] Al Amin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[27] Ekholm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[28] Eneh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[52] Hagström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[47] Jaiman and Urovi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[53] Zhao and Su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[49] Li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[23] Madine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[54] Maruthi and Singh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[55] Mei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[29] Panagoulias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[21]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[56]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[25] Punia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[30] Román-Martínez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[57] Hema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[58] </w:t>
            </w:r>
            <w:r>
              <w:rPr>
                <w:rFonts w:ascii="Times New Roman" w:cs="Times New Roman" w:eastAsia="Times New Roman" w:hAnsi="Times New Roman"/>
                <w:b w:val="false"/>
                <w:bCs w:val="false"/>
                <w:color w:val="00B0F0"/>
                <w:sz w:val="17"/>
                <w:szCs w:val="17"/>
              </w:rPr>
              <w:t xml:space="preserve">SooHoo</w:t>
            </w:r>
            <w:r>
              <w:rPr>
                <w:rFonts w:ascii="Times New Roman" w:cs="Times New Roman" w:eastAsia="Times New Roman" w:hAnsi="Times New Roman"/>
                <w:b w:val="false"/>
                <w:bCs w:val="false"/>
                <w:sz w:val="17"/>
                <w:szCs w:val="17"/>
              </w:rPr>
              <w:t xml:space="preserve">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[26] Tan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[24] Tith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[59] Tremper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[60] Tseng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[61] </w:t>
            </w:r>
            <w:r>
              <w:rPr>
                <w:rFonts w:ascii="Times New Roman" w:cs="Times New Roman" w:eastAsia="Times New Roman" w:hAnsi="Times New Roman"/>
                <w:b w:val="false"/>
                <w:bCs w:val="false"/>
                <w:color w:val="00B0F0"/>
                <w:sz w:val="17"/>
                <w:szCs w:val="17"/>
              </w:rPr>
              <w:t xml:space="preserve">Wu et al. (2022)</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[22] Wu and Zhang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bl>
    <w:p>
      <w:pPr>
        <w:spacing w:after="160"/>
      </w:pPr>
    </w:p>
    <w:p>
      <w:pPr>
        <w:spacing w:after="110" w:line="264"/>
        <w:jc w:val="both"/>
      </w:pPr>
      <w:r>
        <w:rPr>
          <w:rFonts w:ascii="Times New Roman" w:cs="Times New Roman" w:eastAsia="Times New Roman" w:hAnsi="Times New Roman"/>
          <w:sz w:val="22"/>
          <w:szCs w:val="22"/>
        </w:rPr>
        <w:t xml:space="preserve">The matrix supports four observations. First, counting only full satisfaction, Req 1 is met by 12 of the 25 studies, Req 2 by 7, Req 3 by 6, Req 4 by 10, Req 5 by 8, and Req 6 by 9. Second, no study satisfies all six, the maximum of four is reached by [23] and [29], and five studies fully satisfy none. Third, Req 1 with Req 4 is the most frequent pair, in seven studies, whereas Req 2 and Req 4 never co-occur in full. Req 3 co-occurs with Req 4 only in [25], whose threshold lies outside the policy predicate and whose policy carries no purpose term. Similarly, Req 3 co-occurs with Req 6 only in [53, 54]. Fourth, the two quadruples are complementary, since [23] lacks policy and assurance, whereas [29] lacks multi-party approval and identity depth.</w:t>
      </w:r>
    </w:p>
    <w:p>
      <w:pPr>
        <w:spacing w:after="110" w:line="264"/>
        <w:jc w:val="both"/>
      </w:pPr>
      <w:r>
        <w:rPr>
          <w:rFonts w:ascii="Times New Roman" w:cs="Times New Roman" w:eastAsia="Times New Roman" w:hAnsi="Times New Roman"/>
          <w:sz w:val="22"/>
          <w:szCs w:val="22"/>
        </w:rPr>
        <w:t xml:space="preserve">The comparison indicates that the principal contribution of the proposed research is not the replacement of existing technologies. Rather, it lies in establishing an explicit conceptual relationship among them. The consent object C carries the identity, authority, threshold, policy, temporal, and lifecycle conditions together, so that their relationship is verifiable. </w:t>
      </w:r>
      <w:r>
        <w:rPr>
          <w:rFonts w:ascii="Times New Roman" w:cs="Times New Roman" w:eastAsia="Times New Roman" w:hAnsi="Times New Roman"/>
          <w:color w:val="FF0000"/>
          <w:sz w:val="22"/>
          <w:szCs w:val="22"/>
        </w:rPr>
        <w:t xml:space="preserve">Table 5 in Section 2.6 positions the proposed framework relative to these requirements.</w:t>
      </w:r>
      <w:r>
        <w:rPr>
          <w:rFonts w:ascii="Times New Roman" w:cs="Times New Roman" w:eastAsia="Times New Roman" w:hAnsi="Times New Roman"/>
          <w:sz w:val="22"/>
          <w:szCs w:val="22"/>
        </w:rPr>
        <w:t xml:space="preserve"> The conjunction is formally specified and validated through allow-and-deny test cases and attack cases, whereas its formal verification and the remaining lifecycle extensions of RQ5 </w:t>
      </w:r>
      <w:r>
        <w:rPr>
          <w:rFonts w:ascii="Times New Roman" w:cs="Times New Roman" w:eastAsia="Times New Roman" w:hAnsi="Times New Roman"/>
          <w:color w:val="FF0000"/>
          <w:sz w:val="22"/>
          <w:szCs w:val="22"/>
        </w:rPr>
        <w:t xml:space="preserve">are left for the next stage (Sections 10 and 11)</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2.5  Synthesis and Research Gap</w:t>
      </w:r>
    </w:p>
    <w:p>
      <w:pPr>
        <w:spacing w:after="110" w:line="264"/>
        <w:jc w:val="both"/>
      </w:pPr>
      <w:r>
        <w:rPr>
          <w:rFonts w:ascii="Times New Roman" w:cs="Times New Roman" w:eastAsia="Times New Roman" w:hAnsi="Times New Roman"/>
          <w:sz w:val="22"/>
          <w:szCs w:val="22"/>
        </w:rPr>
        <w:t xml:space="preserve">The literature review identifies a consistent pattern of fragmentation across existing research. Across the corpus, Req 3 is the least satisfied requirement, </w:t>
      </w:r>
      <w:r>
        <w:rPr>
          <w:rFonts w:ascii="Times New Roman" w:cs="Times New Roman" w:eastAsia="Times New Roman" w:hAnsi="Times New Roman"/>
          <w:color w:val="00B0F0"/>
          <w:sz w:val="22"/>
          <w:szCs w:val="22"/>
        </w:rPr>
        <w:t xml:space="preserve">while within Req 6, formal assurance alone is provided by 4 studies, argued informally by 9, and absent in 12. The other five Yes grades for Req 6 in Table 4 rest on empirical validation.</w:t>
      </w:r>
      <w:r>
        <w:rPr>
          <w:rFonts w:ascii="Times New Roman" w:cs="Times New Roman" w:eastAsia="Times New Roman" w:hAnsi="Times New Roman"/>
          <w:sz w:val="22"/>
          <w:szCs w:val="22"/>
        </w:rPr>
        <w:t xml:space="preserve"> These proportions match the wider pool of 1,800 records, in which only 8% carry a multi-party signal, 2% a temporal-validity signal, and 1% a formal-verification signal, compared with 74% for audit or evidence and 69% for a prototype or experiment.</w:t>
      </w:r>
    </w:p>
    <w:p>
      <w:pPr>
        <w:spacing w:after="110" w:line="264"/>
        <w:jc w:val="both"/>
      </w:pPr>
      <w:r>
        <w:rPr>
          <w:rFonts w:ascii="Times New Roman" w:cs="Times New Roman" w:eastAsia="Times New Roman" w:hAnsi="Times New Roman"/>
          <w:color w:val="00B0F0"/>
          <w:sz w:val="22"/>
          <w:szCs w:val="22"/>
        </w:rPr>
        <w:t xml:space="preserve">The review corrects one framing. Multi-party authorisation of patient consent is not absent from the literature, since the full-text coding shows it in six forms.</w:t>
      </w:r>
      <w:r>
        <w:rPr>
          <w:rFonts w:ascii="Times New Roman" w:cs="Times New Roman" w:eastAsia="Times New Roman" w:hAnsi="Times New Roman"/>
          <w:sz w:val="22"/>
          <w:szCs w:val="22"/>
        </w:rPr>
        <w:t xml:space="preserve">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Existing literature provides useful foundations for collaborative governance and multi-party verification.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pPr>
        <w:spacing w:after="110" w:line="264"/>
        <w:jc w:val="both"/>
      </w:pPr>
      <w:r>
        <w:rPr>
          <w:rFonts w:ascii="Times New Roman" w:cs="Times New Roman" w:eastAsia="Times New Roman" w:hAnsi="Times New Roman"/>
          <w:sz w:val="22"/>
          <w:szCs w:val="22"/>
        </w:rPr>
        <w:t xml:space="preserve">The review establishes two gaps. The first is a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since no study conjoins identity, authority, threshold, policy, temporal, jurisdictional, and lifecycle conditions in one decision predicate in which multi-party approval is a standing condition and the patient defines the approving set. The second is an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since co-existing conditions are neither proved nor tested as an authorisation decision, and any proof covers only a fragment of the predicate. As shown in Figure 2, the proposed research addresses both gaps by developing a trusted multi-party consent governance framework in which consent is represented as an evaluable authorisation object. Each of Req 1 to Req 6 also leaves a requirement-level gap, termed Gap 1 to Gap 6 and stated in Section 3.1, and each gap corresponds to the research question and objective of the same number in Sections 3 and 4.</w:t>
      </w:r>
    </w:p>
    <w:p>
      <w:pPr>
        <w:keepNext/>
        <w:spacing w:after="60" w:before="160"/>
        <w:jc w:val="center"/>
      </w:pPr>
      <w:r>
        <w:drawing>
          <wp:inline distT="0" distB="0" distL="0" distR="0">
            <wp:extent cx="5715000" cy="2867025"/>
            <wp:effectExtent t="0" r="0" b="0" l="0"/>
            <wp:docPr id="1" name="F5.png" descr="Synthesis of the review: the conjunction gap and the assurance gap addressed by the proposed framework, with the number of the 25 analysed studies graded Yes for each requirement in Table 4" title="Synthesis of the review: the conjunction gap and the assurance gap addressed by the proposed framework, with the number of the 25 analysed studies graded Yes for each requirement in Tabl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67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 </w:t>
      </w:r>
      <w:r>
        <w:rPr>
          <w:rFonts w:ascii="Times New Roman" w:cs="Times New Roman" w:eastAsia="Times New Roman" w:hAnsi="Times New Roman"/>
          <w:color w:val="00B0F0"/>
          <w:sz w:val="18"/>
          <w:szCs w:val="18"/>
        </w:rPr>
        <w:t xml:space="preserve">Synthesis of the review: the conjunction gap and the assurance gap addressed by the proposed framework, with the number of the 25 analysed studies </w:t>
      </w:r>
      <w:r>
        <w:rPr>
          <w:rFonts w:ascii="Times New Roman" w:cs="Times New Roman" w:eastAsia="Times New Roman" w:hAnsi="Times New Roman"/>
          <w:color w:val="FF0000"/>
          <w:sz w:val="18"/>
          <w:szCs w:val="18"/>
        </w:rPr>
        <w:t xml:space="preserve">graded Yes for each requirement in Table 4</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review has limitations. A further 588 records, mostly from SpringerLink, could not be screened at the abstract stage because the export contained no abstracts. </w:t>
      </w:r>
      <w:r>
        <w:rPr>
          <w:rFonts w:ascii="Times New Roman" w:cs="Times New Roman" w:eastAsia="Times New Roman" w:hAnsi="Times New Roman"/>
          <w:color w:val="FF0000"/>
          <w:sz w:val="22"/>
          <w:szCs w:val="22"/>
        </w:rPr>
        <w:t xml:space="preserve">The reporting checkpoint and a single round of coding mean that a small number of relevant studies may have been missed.</w:t>
      </w:r>
      <w:r>
        <w:rPr>
          <w:rFonts w:ascii="Times New Roman" w:cs="Times New Roman" w:eastAsia="Times New Roman" w:hAnsi="Times New Roman"/>
          <w:sz w:val="22"/>
          <w:szCs w:val="22"/>
        </w:rPr>
        <w:t xml:space="preserve"> The consistency between the coding of the included studies and the signal prevalence of the wider pool limits, but does not remove, this risk.</w:t>
      </w:r>
    </w:p>
    <w:p>
      <w:pPr>
        <w:pStyle w:val="Heading2"/>
        <w:keepNext/>
        <w:spacing w:after="120" w:before="240"/>
      </w:pPr>
      <w:r>
        <w:rPr>
          <w:rFonts w:ascii="Times New Roman" w:cs="Times New Roman" w:eastAsia="Times New Roman" w:hAnsi="Times New Roman"/>
          <w:b/>
          <w:bCs/>
          <w:sz w:val="26"/>
          <w:szCs w:val="26"/>
        </w:rPr>
        <w:t xml:space="preserve">2.6  The Proposed Framework and the Key Requirements</w:t>
      </w:r>
    </w:p>
    <w:p>
      <w:pPr>
        <w:spacing w:after="110" w:line="264"/>
        <w:jc w:val="both"/>
      </w:pPr>
      <w:r>
        <w:rPr>
          <w:rFonts w:ascii="Times New Roman" w:cs="Times New Roman" w:eastAsia="Times New Roman" w:hAnsi="Times New Roman"/>
          <w:color w:val="FF0000"/>
          <w:sz w:val="22"/>
          <w:szCs w:val="22"/>
        </w:rP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Table 5 summarises how the proposed framework, implemented in the HALAH prototype, addresses each requirement, the research objective that delivers it, and its current status. A requirement with the status Done is addressed and validated at the current stage, whereas a requirement that is partially completed will be completed in the next stage.</w:t>
      </w:r>
    </w:p>
    <w:p>
      <w:pPr>
        <w:keepNext/>
        <w:spacing w:after="80" w:before="200"/>
        <w:jc w:val="center"/>
      </w:pPr>
      <w:r>
        <w:rPr>
          <w:rFonts w:ascii="Times New Roman" w:cs="Times New Roman" w:eastAsia="Times New Roman" w:hAnsi="Times New Roman"/>
          <w:b/>
          <w:bCs/>
          <w:sz w:val="18"/>
          <w:szCs w:val="18"/>
        </w:rPr>
        <w:t xml:space="preserve">Table 5: </w:t>
      </w:r>
      <w:r>
        <w:rPr>
          <w:rFonts w:ascii="Times New Roman" w:cs="Times New Roman" w:eastAsia="Times New Roman" w:hAnsi="Times New Roman"/>
          <w:color w:val="FF0000"/>
          <w:sz w:val="18"/>
          <w:szCs w:val="18"/>
        </w:rPr>
        <w:t xml:space="preserve">How the proposed framework addresses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50"/>
        <w:gridCol w:w="4478"/>
        <w:gridCol w:w="1500"/>
        <w:gridCol w:w="1800"/>
      </w:tblGrid>
      <w:tr>
        <w:trPr>
          <w:cantSplit/>
          <w:tblHeader/>
        </w:trPr>
        <w:tc>
          <w:tcPr>
            <w:tcW w:type="dxa" w:w="13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Requirement</w:t>
            </w:r>
          </w:p>
        </w:tc>
        <w:tc>
          <w:tcPr>
            <w:tcW w:type="dxa" w:w="44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How the proposed framework (HALAH) addresses it</w:t>
            </w:r>
          </w:p>
        </w:tc>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Objective</w:t>
            </w:r>
          </w:p>
        </w:tc>
        <w:tc>
          <w:tcPr>
            <w:tcW w:type="dxa" w:w="18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Req 1</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Consent is represented as the evaluable object C = (I, A, P, T, L, E), created through Algorithm 1 and evaluated at every access request.</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RO1 (Section 6)</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Req 2</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00B0F0"/>
                <w:sz w:val="17"/>
                <w:szCs w:val="17"/>
              </w:rPr>
              <w:t xml:space="preserve">DID and VC verification separates identity from authority and is evaluated as V</w:t>
            </w:r>
            <w:r>
              <w:rPr>
                <w:rFonts w:ascii="Times New Roman" w:cs="Times New Roman" w:eastAsia="Times New Roman" w:hAnsi="Times New Roman"/>
                <w:b w:val="false"/>
                <w:bCs w:val="false"/>
                <w:color w:val="00B0F0"/>
                <w:sz w:val="17"/>
                <w:szCs w:val="17"/>
                <w:vertAlign w:val="subscript"/>
              </w:rPr>
              <w:t xml:space="preserve">I</w:t>
            </w:r>
            <w:r>
              <w:rPr>
                <w:rFonts w:ascii="Times New Roman" w:cs="Times New Roman" w:eastAsia="Times New Roman" w:hAnsi="Times New Roman"/>
                <w:b w:val="false"/>
                <w:bCs w:val="false"/>
                <w:color w:val="00B0F0"/>
                <w:sz w:val="17"/>
                <w:szCs w:val="17"/>
              </w:rPr>
              <w:t xml:space="preserve"> through Algorithm 2.</w:t>
            </w:r>
            <w:r>
              <w:rPr>
                <w:rFonts w:ascii="Times New Roman" w:cs="Times New Roman" w:eastAsia="Times New Roman" w:hAnsi="Times New Roman"/>
                <w:b w:val="false"/>
                <w:bCs w:val="false"/>
                <w:color w:val="FF0000"/>
                <w:sz w:val="17"/>
                <w:szCs w:val="17"/>
              </w:rPr>
              <w:t xml:space="preserve"> The prototype checks the DID format, and full DID resolution and VC validation are planned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RO2 (Section 7)</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Req 3</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00B0F0"/>
                <w:sz w:val="17"/>
                <w:szCs w:val="17"/>
              </w:rPr>
              <w:t xml:space="preserve">N-of-N approval by the guardian set G with EIP-712 guardian signatures [66],</w:t>
            </w:r>
            <w:r>
              <w:rPr>
                <w:rFonts w:ascii="Times New Roman" w:cs="Times New Roman" w:eastAsia="Times New Roman" w:hAnsi="Times New Roman"/>
                <w:b w:val="false"/>
                <w:bCs w:val="false"/>
                <w:color w:val="FF0000"/>
                <w:sz w:val="17"/>
                <w:szCs w:val="17"/>
              </w:rPr>
              <w:t xml:space="preserve"> evaluated as V</w:t>
            </w:r>
            <w:r>
              <w:rPr>
                <w:rFonts w:ascii="Times New Roman" w:cs="Times New Roman" w:eastAsia="Times New Roman" w:hAnsi="Times New Roman"/>
                <w:b w:val="false"/>
                <w:bCs w:val="false"/>
                <w:color w:val="FF0000"/>
                <w:sz w:val="17"/>
                <w:szCs w:val="17"/>
                <w:vertAlign w:val="subscript"/>
              </w:rPr>
              <w:t xml:space="preserve">A</w:t>
            </w:r>
            <w:r>
              <w:rPr>
                <w:rFonts w:ascii="Times New Roman" w:cs="Times New Roman" w:eastAsia="Times New Roman" w:hAnsi="Times New Roman"/>
                <w:b w:val="false"/>
                <w:bCs w:val="false"/>
                <w:color w:val="FF0000"/>
                <w:sz w:val="17"/>
                <w:szCs w:val="17"/>
              </w:rPr>
              <w:t xml:space="preserve"> through Algorithm 3.</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RO3 (Section 8)</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Req 4</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Purpose and a non-empty data scope within the consent are evaluated as V</w:t>
            </w:r>
            <w:r>
              <w:rPr>
                <w:rFonts w:ascii="Times New Roman" w:cs="Times New Roman" w:eastAsia="Times New Roman" w:hAnsi="Times New Roman"/>
                <w:b w:val="false"/>
                <w:bCs w:val="false"/>
                <w:color w:val="FF0000"/>
                <w:sz w:val="17"/>
                <w:szCs w:val="17"/>
                <w:vertAlign w:val="subscript"/>
              </w:rPr>
              <w:t xml:space="preserve">P</w:t>
            </w:r>
            <w:r>
              <w:rPr>
                <w:rFonts w:ascii="Times New Roman" w:cs="Times New Roman" w:eastAsia="Times New Roman" w:hAnsi="Times New Roman"/>
                <w:b w:val="false"/>
                <w:bCs w:val="false"/>
                <w:color w:val="FF0000"/>
                <w:sz w:val="17"/>
                <w:szCs w:val="17"/>
              </w:rPr>
              <w:t xml:space="preserve"> through Algorithm 4, together with the jurisdiction condition V</w:t>
            </w:r>
            <w:r>
              <w:rPr>
                <w:rFonts w:ascii="Times New Roman" w:cs="Times New Roman" w:eastAsia="Times New Roman" w:hAnsi="Times New Roman"/>
                <w:b w:val="false"/>
                <w:bCs w:val="false"/>
                <w:color w:val="FF0000"/>
                <w:sz w:val="17"/>
                <w:szCs w:val="17"/>
                <w:vertAlign w:val="subscript"/>
              </w:rPr>
              <w:t xml:space="preserve">L</w:t>
            </w:r>
            <w:r>
              <w:rPr>
                <w:rFonts w:ascii="Times New Roman" w:cs="Times New Roman" w:eastAsia="Times New Roman" w:hAnsi="Times New Roman"/>
                <w:b w:val="false"/>
                <w:bCs w:val="false"/>
                <w:color w:val="FF0000"/>
                <w:sz w:val="17"/>
                <w:szCs w:val="17"/>
              </w:rPr>
              <w:t xml:space="preserve">(C, R).</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RO4 (Section 9)</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Req 5</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00B0F0"/>
                <w:sz w:val="17"/>
                <w:szCs w:val="17"/>
              </w:rPr>
              <w:t xml:space="preserve">The validity window V</w:t>
            </w:r>
            <w:r>
              <w:rPr>
                <w:rFonts w:ascii="Times New Roman" w:cs="Times New Roman" w:eastAsia="Times New Roman" w:hAnsi="Times New Roman"/>
                <w:b w:val="false"/>
                <w:bCs w:val="false"/>
                <w:color w:val="00B0F0"/>
                <w:sz w:val="17"/>
                <w:szCs w:val="17"/>
                <w:vertAlign w:val="subscript"/>
              </w:rPr>
              <w:t xml:space="preserve">T</w:t>
            </w:r>
            <w:r>
              <w:rPr>
                <w:rFonts w:ascii="Times New Roman" w:cs="Times New Roman" w:eastAsia="Times New Roman" w:hAnsi="Times New Roman"/>
                <w:b w:val="false"/>
                <w:bCs w:val="false"/>
                <w:color w:val="00B0F0"/>
                <w:sz w:val="17"/>
                <w:szCs w:val="17"/>
              </w:rPr>
              <w:t xml:space="preserve">, revocation, the lifecycle states, and the on-chain revocation on Sepolia are implemented. The lifecycle transition check is not yet implemented.</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RO5 (Section 10)</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In Progress (partially completed)</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Req 6</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Audit ledger evidence, 36 automated tests, and twelve unit-level attack scenarios. Formal analysis is left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RO6 (Section 11)</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Partially completed (for RQ1 to RQ4)</w:t>
            </w:r>
          </w:p>
        </w:tc>
      </w:tr>
    </w:tbl>
    <w:p>
      <w:pPr>
        <w:spacing w:after="160"/>
      </w:pPr>
    </w:p>
    <w:p>
      <w:pPr>
        <w:pStyle w:val="Heading1"/>
        <w:pageBreakBefore/>
        <w:spacing w:after="200" w:before="120"/>
      </w:pPr>
      <w:r>
        <w:rPr>
          <w:rFonts w:ascii="Times New Roman" w:cs="Times New Roman" w:eastAsia="Times New Roman" w:hAnsi="Times New Roman"/>
          <w:b/>
          <w:bCs/>
          <w:sz w:val="32"/>
          <w:szCs w:val="32"/>
        </w:rPr>
        <w:t xml:space="preserve">3.  Research Gaps &amp; Questions</w:t>
      </w:r>
    </w:p>
    <w:p>
      <w:pPr>
        <w:pStyle w:val="Heading2"/>
        <w:keepNext/>
        <w:spacing w:after="120" w:before="240"/>
      </w:pPr>
      <w:r>
        <w:rPr>
          <w:rFonts w:ascii="Times New Roman" w:cs="Times New Roman" w:eastAsia="Times New Roman" w:hAnsi="Times New Roman"/>
          <w:b/>
          <w:bCs/>
          <w:sz w:val="26"/>
          <w:szCs w:val="26"/>
        </w:rPr>
        <w:t xml:space="preserve">3.1  Research Gap</w:t>
      </w:r>
    </w:p>
    <w:p>
      <w:pPr>
        <w:spacing w:after="110" w:line="264"/>
        <w:jc w:val="both"/>
      </w:pPr>
      <w:r>
        <w:rPr>
          <w:rFonts w:ascii="Times New Roman" w:cs="Times New Roman" w:eastAsia="Times New Roman" w:hAnsi="Times New Roman"/>
          <w:sz w:val="22"/>
          <w:szCs w:val="22"/>
        </w:rPr>
        <w:t xml:space="preserve">The systematic literature review indicates that substantial research has been conducted on individual mechanisms for securing healthcare data sharing. However, the literature also reveals a significant conceptual and architectural fragmentation among these mechanisms. They are commonly investigated as independent technical solutions rather than as coordinated components of a unified trust-oriented authorisation model. The few studies that coordinate several of them in one decision [21, 25, 29, 32, 67] </w:t>
      </w:r>
      <w:r>
        <w:rPr>
          <w:rFonts w:ascii="Times New Roman" w:cs="Times New Roman" w:eastAsia="Times New Roman" w:hAnsi="Times New Roman"/>
          <w:color w:val="00B0F0"/>
          <w:sz w:val="22"/>
          <w:szCs w:val="22"/>
        </w:rPr>
        <w:t xml:space="preserve">do not make multi-party approval a standing condition of that decision. Some of them test their own decisions empirically [21, 29], but none proves or tests a conjunction that includes multi-party approval.</w:t>
      </w:r>
    </w:p>
    <w:p>
      <w:pPr>
        <w:spacing w:after="110" w:line="264"/>
        <w:jc w:val="both"/>
      </w:pPr>
      <w:r>
        <w:rPr>
          <w:rFonts w:ascii="Times New Roman" w:cs="Times New Roman" w:eastAsia="Times New Roman" w:hAnsi="Times New Roman"/>
          <w:sz w:val="22"/>
          <w:szCs w:val="22"/>
        </w:rPr>
        <w:t xml:space="preserve">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Existing consent-oriented approaches tend to </w:t>
      </w:r>
      <w:r>
        <w:rPr>
          <w:rFonts w:ascii="Times New Roman" w:cs="Times New Roman" w:eastAsia="Times New Roman" w:hAnsi="Times New Roman"/>
          <w:color w:val="00B0F0"/>
          <w:sz w:val="22"/>
          <w:szCs w:val="22"/>
        </w:rPr>
        <w:t xml:space="preserve">treat consent primarily as a record of a patient’s permission [62, 63], and some claim consent but leave it out of the access decision [68].</w:t>
      </w:r>
      <w:r>
        <w:rPr>
          <w:rFonts w:ascii="Times New Roman" w:cs="Times New Roman" w:eastAsia="Times New Roman" w:hAnsi="Times New Roman"/>
          <w:sz w:val="22"/>
          <w:szCs w:val="22"/>
        </w:rPr>
        <w:t xml:space="preserve"> Once the permission has been created and stored, subsequent access control may depend predominantly on the existence of the consent record and the successful authentication of the requester. Even the evaluable consent objects reported since 2020 [21, 24, 28, 48, 67] carry only a subset of the conditions and are issued by a single party.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authorised by the patient.</w:t>
      </w:r>
    </w:p>
    <w:p>
      <w:pPr>
        <w:spacing w:after="110" w:line="264"/>
        <w:jc w:val="both"/>
      </w:pPr>
      <w:r>
        <w:rPr>
          <w:rFonts w:ascii="Times New Roman" w:cs="Times New Roman" w:eastAsia="Times New Roman" w:hAnsi="Times New Roman"/>
          <w:sz w:val="22"/>
          <w:szCs w:val="22"/>
        </w:rPr>
        <w:t xml:space="preserve">Recording consent and enforcing trustworthy authorisation represent fundamentally different security problems. A blockchain may provide an immutable representation of a consent event [10, 18], but immutability does not establish the legitimacy of the entities involved in that event. Similarly, a valid decentralised identity can establish who a participant is [16], but it does not necessarily establish what that participant is authorised to do. Multi-party approval can strengthen collective decision-making, but approval alone does not guarantee that the resulting access request conforms to the patient’s authorised purpose or data scope. In the reviewed studies, </w:t>
      </w:r>
      <w:r>
        <w:rPr>
          <w:rFonts w:ascii="Times New Roman" w:cs="Times New Roman" w:eastAsia="Times New Roman" w:hAnsi="Times New Roman"/>
          <w:color w:val="00B0F0"/>
          <w:sz w:val="22"/>
          <w:szCs w:val="22"/>
        </w:rPr>
        <w:t xml:space="preserve">multi-party approval is never conjoined with a purpose condition [23, 25, 26].</w:t>
      </w:r>
      <w:r>
        <w:rPr>
          <w:rFonts w:ascii="Times New Roman" w:cs="Times New Roman" w:eastAsia="Times New Roman" w:hAnsi="Times New Roman"/>
          <w:sz w:val="22"/>
          <w:szCs w:val="22"/>
        </w:rPr>
        <w:t xml:space="preserve"> Consequently, trust cannot be attributed to any individual mechanism in isolation. From a Trust Computing perspective, trustworthy access should be understood as an outcome of the coordinated satisfaction of multiple independently verifiable conditions. The research therefore conceptualises trust not as a static attribute possessed by a particular entity or technology, but as an emergent property of a verifiable authorisation process.</w:t>
      </w:r>
    </w:p>
    <w:p>
      <w:pPr>
        <w:spacing w:after="110" w:line="264"/>
        <w:jc w:val="both"/>
      </w:pPr>
      <w:r>
        <w:rPr>
          <w:rFonts w:ascii="Times New Roman" w:cs="Times New Roman" w:eastAsia="Times New Roman" w:hAnsi="Times New Roman"/>
          <w:sz w:val="22"/>
          <w:szCs w:val="22"/>
        </w:rPr>
        <w:t xml:space="preserve">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and enforcing the policy and data-scope constraints associated with the consent. In this framework, the consent object carries identity, authority, threshold, policy, temporal, jurisdictional, and lifecycle conditions, multi-party approval must be a standing condition of every access decision, and the conjunction of these conditions must be formally and empirically assured. These two requirements correspond to the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and the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identified in Section 2. The approving set must be defined by the patient rather than by an institution, whereas in the reviewed studies, the approving set is either defined on the institutional or delegate side [25, 53, 61], or appointed by the patient [26, 54] but evaluated only as a contingency path or as a key-custody threshold.</w:t>
      </w:r>
    </w:p>
    <w:p>
      <w:pPr>
        <w:spacing w:after="110" w:line="264"/>
        <w:jc w:val="both"/>
      </w:pPr>
      <w:r>
        <w:rPr>
          <w:rFonts w:ascii="Times New Roman" w:cs="Times New Roman" w:eastAsia="Times New Roman" w:hAnsi="Times New Roman"/>
          <w:sz w:val="22"/>
          <w:szCs w:val="22"/>
        </w:rPr>
        <w:t xml:space="preserve">The requirement-level gaps identified in Section 2 can be stated as follows.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1 (consent representation).</w:t>
      </w:r>
      <w:r>
        <w:rPr>
          <w:rFonts w:ascii="Times New Roman" w:cs="Times New Roman" w:eastAsia="Times New Roman" w:hAnsi="Times New Roman"/>
          <w:sz w:val="22"/>
          <w:szCs w:val="22"/>
        </w:rPr>
        <w:t xml:space="preserve"> Existing approaches tend to treat consent primarily as a record of a patient’s permission, and the evaluable consent objects reported carry only a subset of the conditions and are issued by a single party.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2 (identity and authority).</w:t>
      </w:r>
      <w:r>
        <w:rPr>
          <w:rFonts w:ascii="Times New Roman" w:cs="Times New Roman" w:eastAsia="Times New Roman" w:hAnsi="Times New Roman"/>
          <w:sz w:val="22"/>
          <w:szCs w:val="22"/>
        </w:rPr>
        <w:t xml:space="preserve"> A valid decentralised identity can establish who a participant is, but it does not necessarily establish what that participant is authorised to do, </w:t>
      </w:r>
      <w:r>
        <w:rPr>
          <w:rFonts w:ascii="Times New Roman" w:cs="Times New Roman" w:eastAsia="Times New Roman" w:hAnsi="Times New Roman"/>
          <w:color w:val="00B0F0"/>
          <w:sz w:val="22"/>
          <w:szCs w:val="22"/>
        </w:rPr>
        <w:t xml:space="preserve">and authority is verified separately from authentication in only 10 of the 25 studies.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3 (multi-party authorisation).</w:t>
      </w:r>
      <w:r>
        <w:rPr>
          <w:rFonts w:ascii="Times New Roman" w:cs="Times New Roman" w:eastAsia="Times New Roman" w:hAnsi="Times New Roman"/>
          <w:sz w:val="22"/>
          <w:szCs w:val="22"/>
        </w:rPr>
        <w:t xml:space="preserve"> Multi-party approval appears as a contingency path, an admission gate, or a registration-time co-consent, but not as a standing condition of every access decision with an approving set defined by the patient.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4 (policy and context).</w:t>
      </w:r>
      <w:r>
        <w:rPr>
          <w:rFonts w:ascii="Times New Roman" w:cs="Times New Roman" w:eastAsia="Times New Roman" w:hAnsi="Times New Roman"/>
          <w:sz w:val="22"/>
          <w:szCs w:val="22"/>
        </w:rPr>
        <w:t xml:space="preserve"> Purpose, data-scope, and jurisdictional constraints are rarely bound to the same access decision as identity, authority, and multi-party approval.</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5 (temporal and lifecycle trust).</w:t>
      </w:r>
      <w:r>
        <w:rPr>
          <w:rFonts w:ascii="Times New Roman" w:cs="Times New Roman" w:eastAsia="Times New Roman" w:hAnsi="Times New Roman"/>
          <w:sz w:val="22"/>
          <w:szCs w:val="22"/>
        </w:rPr>
        <w:t xml:space="preserve"> Temporal validity, lifecycle state, and revocation are often enforced on a credential or at registration rather than evaluated at the time of each access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6 (security assurance).</w:t>
      </w:r>
      <w:r>
        <w:rPr>
          <w:rFonts w:ascii="Times New Roman" w:cs="Times New Roman" w:eastAsia="Times New Roman" w:hAnsi="Times New Roman"/>
          <w:sz w:val="22"/>
          <w:szCs w:val="22"/>
        </w:rPr>
        <w:t xml:space="preserve"> The authorisation decision as a whole is neither formally proved nor systematically tested, and any proof covers only a fragment of the predicate.</w:t>
      </w:r>
    </w:p>
    <w:p>
      <w:pPr>
        <w:spacing w:after="110" w:line="264"/>
        <w:jc w:val="both"/>
      </w:pPr>
      <w:r>
        <w:rPr>
          <w:rFonts w:ascii="Times New Roman" w:cs="Times New Roman" w:eastAsia="Times New Roman" w:hAnsi="Times New Roman"/>
          <w:sz w:val="22"/>
          <w:szCs w:val="22"/>
        </w:rPr>
        <w:t xml:space="preserve">Gap 1 to Gap 5 together form the conjunction gap, whereas Gap 6 corresponds to the assurance gap, and each gap is addressed by the research question and objective of the same number.</w:t>
      </w:r>
    </w:p>
    <w:p>
      <w:pPr>
        <w:spacing w:after="110" w:line="264"/>
        <w:jc w:val="both"/>
      </w:pPr>
      <w:r>
        <w:rPr>
          <w:rFonts w:ascii="Times New Roman" w:cs="Times New Roman" w:eastAsia="Times New Roman" w:hAnsi="Times New Roman"/>
          <w:sz w:val="22"/>
          <w:szCs w:val="22"/>
        </w:rPr>
        <w:t xml:space="preserve">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Each guardian is checked to determine whether the individual or entity possesses the required authority to participate in consent-related decisions. The threshold N is the number of valid guardian approvals needed for activation. If the number of valid approvals is below the required threshold N, the consent cannot produce an effective authorisation decision. The authorised doctor D is the requester whose access request R is evaluated against the consent object C.</w:t>
      </w:r>
    </w:p>
    <w:p>
      <w:pPr>
        <w:pStyle w:val="Heading2"/>
        <w:keepNext/>
        <w:spacing w:after="120" w:before="240"/>
      </w:pPr>
      <w:r>
        <w:rPr>
          <w:rFonts w:ascii="Times New Roman" w:cs="Times New Roman" w:eastAsia="Times New Roman" w:hAnsi="Times New Roman"/>
          <w:b/>
          <w:bCs/>
          <w:sz w:val="26"/>
          <w:szCs w:val="26"/>
        </w:rPr>
        <w:t xml:space="preserve">3.2  Main Research Question</w:t>
      </w:r>
    </w:p>
    <w:p>
      <w:pPr>
        <w:spacing w:after="110" w:line="264"/>
        <w:jc w:val="both"/>
      </w:pPr>
      <w:r>
        <w:rPr>
          <w:rFonts w:ascii="Times New Roman" w:cs="Times New Roman" w:eastAsia="Times New Roman" w:hAnsi="Times New Roman"/>
          <w:sz w:val="22"/>
          <w:szCs w:val="22"/>
        </w:rPr>
        <w:t xml:space="preserve">Based on the identified research gap, the overarching research question is formulated as follows: </w:t>
      </w:r>
      <w:r>
        <w:rPr>
          <w:rFonts w:ascii="Times New Roman" w:cs="Times New Roman" w:eastAsia="Times New Roman" w:hAnsi="Times New Roman"/>
          <w:b/>
          <w:bCs/>
          <w:sz w:val="22"/>
          <w:szCs w:val="22"/>
        </w:rPr>
        <w:t xml:space="preserve">"How can a trust-oriented computing framework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pStyle w:val="Heading2"/>
        <w:keepNext/>
        <w:spacing w:after="120" w:before="240"/>
      </w:pPr>
      <w:r>
        <w:rPr>
          <w:rFonts w:ascii="Times New Roman" w:cs="Times New Roman" w:eastAsia="Times New Roman" w:hAnsi="Times New Roman"/>
          <w:b/>
          <w:bCs/>
          <w:sz w:val="26"/>
          <w:szCs w:val="26"/>
        </w:rPr>
        <w:t xml:space="preserve">3.3  Sub-Research Questions</w:t>
      </w:r>
    </w:p>
    <w:p>
      <w:pPr>
        <w:spacing w:after="110" w:line="264"/>
        <w:jc w:val="both"/>
      </w:pPr>
      <w:r>
        <w:rPr>
          <w:rFonts w:ascii="Times New Roman" w:cs="Times New Roman" w:eastAsia="Times New Roman" w:hAnsi="Times New Roman"/>
          <w:sz w:val="22"/>
          <w:szCs w:val="22"/>
        </w:rPr>
        <w:t xml:space="preserve">The research objectives are operationalised through six corresponding sub-research questions. Each sub-research question addresses a distinct dimension of the proposed trust-oriented healthcare authorisation framework. The six questions collectively establish a progression from consent modelling to formal security assurance and empirical validation. For brevity, SRQ1 to SRQ6 are referred to as RQ1 to RQ6 in the remaining sections.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SRQ1 (Trust-Centric Consent Modelling):</w:t>
      </w:r>
      <w:r>
        <w:rPr>
          <w:rFonts w:ascii="Times New Roman" w:cs="Times New Roman" w:eastAsia="Times New Roman" w:hAnsi="Times New Roman"/>
          <w:sz w:val="22"/>
          <w:szCs w:val="22"/>
        </w:rPr>
        <w:t xml:space="preserve"> How can patient consent be modelled as a trust-aware authorisation object that explicitly represents identity, authority requirements, policy constraints, and authorisation evidence?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SRQ2 (Decentralised Identity and Authority Trust):</w:t>
      </w:r>
      <w:r>
        <w:rPr>
          <w:rFonts w:ascii="Times New Roman" w:cs="Times New Roman" w:eastAsia="Times New Roman" w:hAnsi="Times New Roman"/>
          <w:sz w:val="22"/>
          <w:szCs w:val="22"/>
        </w:rPr>
        <w:t xml:space="preserve"> How can decentralised identities and verifiable credentials establish trustworthy participants while explicitly separating identity authentication from authorisation authority?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SRQ3 (Trustworthy Multi-Party Authorisation):</w:t>
      </w:r>
      <w:r>
        <w:rPr>
          <w:rFonts w:ascii="Times New Roman" w:cs="Times New Roman" w:eastAsia="Times New Roman" w:hAnsi="Times New Roman"/>
          <w:sz w:val="22"/>
          <w:szCs w:val="22"/>
        </w:rPr>
        <w:t xml:space="preserve"> How can multiple independently verified participants jointly establish a trustworthy consent decision without allowing a single participant to unilaterally authorise sensitive healthcare data access?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SRQ4 (Policy- and Context-Aware Access Control):</w:t>
      </w:r>
      <w:r>
        <w:rPr>
          <w:rFonts w:ascii="Times New Roman" w:cs="Times New Roman" w:eastAsia="Times New Roman" w:hAnsi="Times New Roman"/>
          <w:sz w:val="22"/>
          <w:szCs w:val="22"/>
        </w:rPr>
        <w:t xml:space="preserve"> How can policy, purpose, and data-scope constraints be incorporated into authorisation decisions so that valid identities and sufficient approvals cannot be used to obtain unauthorised healthcare data?</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SRQ5 (Temporal and Lifecycle Trust):</w:t>
      </w:r>
      <w:r>
        <w:rPr>
          <w:rFonts w:ascii="Times New Roman" w:cs="Times New Roman" w:eastAsia="Times New Roman" w:hAnsi="Times New Roman"/>
          <w:sz w:val="22"/>
          <w:szCs w:val="22"/>
        </w:rPr>
        <w:t xml:space="preserve"> How can temporal validity and consent lifecycle controls ensure that an authorisation remains valid only within its permitted time interval and lifecycle state, and is rejected after expiration, revocation, or an unauthorised state transition?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SRQ6 (Formal Security Assurance and Empirical Validation):</w:t>
      </w:r>
      <w:r>
        <w:rPr>
          <w:rFonts w:ascii="Times New Roman" w:cs="Times New Roman" w:eastAsia="Times New Roman" w:hAnsi="Times New Roman"/>
          <w:sz w:val="22"/>
          <w:szCs w:val="22"/>
        </w:rP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10" w:line="264"/>
        <w:jc w:val="both"/>
      </w:pPr>
      <w:r>
        <w:rPr>
          <w:rFonts w:ascii="Times New Roman" w:cs="Times New Roman" w:eastAsia="Times New Roman" w:hAnsi="Times New Roman"/>
          <w:sz w:val="22"/>
          <w:szCs w:val="22"/>
        </w:rPr>
        <w:t xml:space="preserve">The consent object against which these questions are evaluated is defined in Equation (1),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L is the jurisdictional constraint, and E also records whether the consent remains active or has been revoked. This formulation changes the role of consent from a passive record into an evaluable authorisation object.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(1)</w:t>
      </w:r>
    </w:p>
    <w:p>
      <w:pPr>
        <w:pStyle w:val="Heading2"/>
        <w:keepNext/>
        <w:spacing w:after="120" w:before="240"/>
      </w:pPr>
      <w:r>
        <w:rPr>
          <w:rFonts w:ascii="Times New Roman" w:cs="Times New Roman" w:eastAsia="Times New Roman" w:hAnsi="Times New Roman"/>
          <w:b/>
          <w:bCs/>
          <w:sz w:val="26"/>
          <w:szCs w:val="26"/>
        </w:rPr>
        <w:t xml:space="preserve">3.4  Research Questions as an Integrated Problem</w:t>
      </w:r>
    </w:p>
    <w:p>
      <w:pPr>
        <w:spacing w:after="110" w:line="264"/>
        <w:jc w:val="both"/>
      </w:pPr>
      <w:r>
        <w:rPr>
          <w:rFonts w:ascii="Times New Roman" w:cs="Times New Roman" w:eastAsia="Times New Roman" w:hAnsi="Times New Roman"/>
          <w:sz w:val="22"/>
          <w:szCs w:val="22"/>
        </w:rPr>
        <w:t xml:space="preserve">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(2). Here,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represents identity and authority validity,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collective authorisation validity,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policy and contextual compliance,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temporal validity,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jurisdictional compliance, while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w:t>
      </w:r>
    </w:p>
    <w:p>
      <w:pPr>
        <w:spacing w:after="110" w:line="264"/>
        <w:jc w:val="both"/>
      </w:pPr>
      <w:r>
        <w:rPr>
          <w:rFonts w:ascii="Times New Roman" w:cs="Times New Roman" w:eastAsia="Times New Roman" w:hAnsi="Times New Roman"/>
          <w:sz w:val="22"/>
          <w:szCs w:val="22"/>
        </w:rPr>
        <w:t xml:space="preserve">A valid authorisation decision requires the simultaneous satisfaction of all relevant trust conditions. Consequently, failure of any individual condition results in denial. In the prototype, an ALLOW decision additionally </w:t>
      </w:r>
      <w:r>
        <w:rPr>
          <w:rFonts w:ascii="Times New Roman" w:cs="Times New Roman" w:eastAsia="Times New Roman" w:hAnsi="Times New Roman"/>
          <w:color w:val="00B0F0"/>
          <w:sz w:val="22"/>
          <w:szCs w:val="22"/>
        </w:rPr>
        <w:t xml:space="preserve">requires the Groth16 ZK proof [69] to verify</w:t>
      </w:r>
      <w:r>
        <w:rPr>
          <w:rFonts w:ascii="Times New Roman" w:cs="Times New Roman" w:eastAsia="Times New Roman" w:hAnsi="Times New Roman"/>
          <w:sz w:val="22"/>
          <w:szCs w:val="22"/>
        </w:rPr>
        <w:t xml:space="preserve">, so a request that satisfies the five predicates is still denied when the proof fails, as in attack A9 (Section 11.4).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Heading1"/>
        <w:pageBreakBefore/>
        <w:spacing w:after="200" w:before="120"/>
      </w:pPr>
      <w:r>
        <w:rPr>
          <w:rFonts w:ascii="Times New Roman" w:cs="Times New Roman" w:eastAsia="Times New Roman" w:hAnsi="Times New Roman"/>
          <w:b/>
          <w:bCs/>
          <w:sz w:val="32"/>
          <w:szCs w:val="32"/>
        </w:rPr>
        <w:t xml:space="preserve">4.  Research Objectives</w:t>
      </w:r>
    </w:p>
    <w:p>
      <w:pPr>
        <w:spacing w:after="110" w:line="264"/>
        <w:jc w:val="both"/>
      </w:pPr>
      <w:r>
        <w:rPr>
          <w:rFonts w:ascii="Times New Roman" w:cs="Times New Roman" w:eastAsia="Times New Roman" w:hAnsi="Times New Roman"/>
          <w:sz w:val="22"/>
          <w:szCs w:val="22"/>
        </w:rPr>
        <w:t xml:space="preserve">The research objectives translate the identified research gap into concrete research and development activities. Each objective represents a research contribution that can be examined conceptually, technically, and, where appropriate, empirically. The complete research programme consists of six research objectives, corresponding to six research questions.</w:t>
      </w:r>
    </w:p>
    <w:p>
      <w:pPr>
        <w:pStyle w:val="Heading2"/>
        <w:keepNext/>
        <w:spacing w:after="120" w:before="240"/>
      </w:pPr>
      <w:r>
        <w:rPr>
          <w:rFonts w:ascii="Times New Roman" w:cs="Times New Roman" w:eastAsia="Times New Roman" w:hAnsi="Times New Roman"/>
          <w:b/>
          <w:bCs/>
          <w:sz w:val="26"/>
          <w:szCs w:val="26"/>
        </w:rPr>
        <w:t xml:space="preserve">4.1  RO1: Trust-Centric Consent Model</w:t>
      </w:r>
    </w:p>
    <w:p>
      <w:pPr>
        <w:spacing w:after="110" w:line="264"/>
        <w:jc w:val="both"/>
      </w:pPr>
      <w:r>
        <w:rPr>
          <w:rFonts w:ascii="Times New Roman" w:cs="Times New Roman" w:eastAsia="Times New Roman" w:hAnsi="Times New Roman"/>
          <w:sz w:val="22"/>
          <w:szCs w:val="22"/>
        </w:rPr>
        <w:t xml:space="preserve">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Heading2"/>
        <w:keepNext/>
        <w:spacing w:after="120" w:before="240"/>
      </w:pPr>
      <w:r>
        <w:rPr>
          <w:rFonts w:ascii="Times New Roman" w:cs="Times New Roman" w:eastAsia="Times New Roman" w:hAnsi="Times New Roman"/>
          <w:b/>
          <w:bCs/>
          <w:sz w:val="26"/>
          <w:szCs w:val="26"/>
        </w:rPr>
        <w:t xml:space="preserve">4.2  RO2: Decentralised Identity and Authority Trust</w:t>
      </w:r>
    </w:p>
    <w:p>
      <w:pPr>
        <w:spacing w:after="110" w:line="264"/>
        <w:jc w:val="both"/>
      </w:pPr>
      <w:r>
        <w:rPr>
          <w:rFonts w:ascii="Times New Roman" w:cs="Times New Roman" w:eastAsia="Times New Roman" w:hAnsi="Times New Roman"/>
          <w:sz w:val="22"/>
          <w:szCs w:val="22"/>
        </w:rP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Heading2"/>
        <w:keepNext/>
        <w:spacing w:after="120" w:before="240"/>
      </w:pPr>
      <w:r>
        <w:rPr>
          <w:rFonts w:ascii="Times New Roman" w:cs="Times New Roman" w:eastAsia="Times New Roman" w:hAnsi="Times New Roman"/>
          <w:b/>
          <w:bCs/>
          <w:sz w:val="26"/>
          <w:szCs w:val="26"/>
        </w:rPr>
        <w:t xml:space="preserve">4.3  RO3: Trustworthy Multi-Party Authorisation</w:t>
      </w:r>
    </w:p>
    <w:p>
      <w:pPr>
        <w:spacing w:after="110" w:line="264"/>
        <w:jc w:val="both"/>
      </w:pPr>
      <w:r>
        <w:rPr>
          <w:rFonts w:ascii="Times New Roman" w:cs="Times New Roman" w:eastAsia="Times New Roman" w:hAnsi="Times New Roman"/>
          <w:sz w:val="22"/>
          <w:szCs w:val="22"/>
        </w:rPr>
        <w:t xml:space="preserve">The third research objective is to develop a threshold-based multi-party authorisation mechanism through which multiple independently verified participants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Heading2"/>
        <w:keepNext/>
        <w:spacing w:after="120" w:before="240"/>
      </w:pPr>
      <w:r>
        <w:rPr>
          <w:rFonts w:ascii="Times New Roman" w:cs="Times New Roman" w:eastAsia="Times New Roman" w:hAnsi="Times New Roman"/>
          <w:b/>
          <w:bCs/>
          <w:sz w:val="26"/>
          <w:szCs w:val="26"/>
        </w:rPr>
        <w:t xml:space="preserve">4.4  RO4: Policy- and Context-Aware Access Control</w:t>
      </w:r>
    </w:p>
    <w:p>
      <w:pPr>
        <w:spacing w:after="110" w:line="264"/>
        <w:jc w:val="both"/>
      </w:pPr>
      <w:r>
        <w:rPr>
          <w:rFonts w:ascii="Times New Roman" w:cs="Times New Roman" w:eastAsia="Times New Roman" w:hAnsi="Times New Roman"/>
          <w:sz w:val="22"/>
          <w:szCs w:val="22"/>
        </w:rP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Heading2"/>
        <w:keepNext/>
        <w:spacing w:after="120" w:before="240"/>
      </w:pPr>
      <w:r>
        <w:rPr>
          <w:rFonts w:ascii="Times New Roman" w:cs="Times New Roman" w:eastAsia="Times New Roman" w:hAnsi="Times New Roman"/>
          <w:b/>
          <w:bCs/>
          <w:sz w:val="26"/>
          <w:szCs w:val="26"/>
        </w:rPr>
        <w:t xml:space="preserve">4.5  RO5: Temporal and Lifecycle Trust</w:t>
      </w:r>
    </w:p>
    <w:p>
      <w:pPr>
        <w:spacing w:after="110" w:line="264"/>
        <w:jc w:val="both"/>
      </w:pPr>
      <w:r>
        <w:rPr>
          <w:rFonts w:ascii="Times New Roman" w:cs="Times New Roman" w:eastAsia="Times New Roman" w:hAnsi="Times New Roman"/>
          <w:sz w:val="22"/>
          <w:szCs w:val="22"/>
        </w:rP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implements end-to-end revocation, including an on-chain revoke transaction, and manages the consent through an explicit lifecycle state machine. A consent that has expired or been revoked must not remain usable merely because its original approval threshold was satisfied. The remaining work concerns hardening these controls and extending them to consent modification, delegation, and guardian-set changes.</w:t>
      </w:r>
    </w:p>
    <w:p>
      <w:pPr>
        <w:pStyle w:val="Heading2"/>
        <w:keepNext/>
        <w:spacing w:after="120" w:before="240"/>
      </w:pPr>
      <w:r>
        <w:rPr>
          <w:rFonts w:ascii="Times New Roman" w:cs="Times New Roman" w:eastAsia="Times New Roman" w:hAnsi="Times New Roman"/>
          <w:b/>
          <w:bCs/>
          <w:sz w:val="26"/>
          <w:szCs w:val="26"/>
        </w:rPr>
        <w:t xml:space="preserve">4.6  RO6: Formal Security Assurance and Empirical Validation</w:t>
      </w:r>
    </w:p>
    <w:p>
      <w:pPr>
        <w:spacing w:after="110" w:line="264"/>
        <w:jc w:val="both"/>
      </w:pPr>
      <w:r>
        <w:rPr>
          <w:rFonts w:ascii="Times New Roman" w:cs="Times New Roman" w:eastAsia="Times New Roman" w:hAnsi="Times New Roman"/>
          <w:sz w:val="22"/>
          <w:szCs w:val="22"/>
        </w:rP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The objective is to establish not only that the prototype can execute valid consent workflows, but also that it behaves correctly when one or more trust conditions are violated. RO6 is partially completed through the implementation and initial scenario-based validation of the HALAH prototype. In particular, 36 automated tests cover signature rejection, proof tampering, and twelve attack scenarios against the components of C and the contract. Preliminary measurements of on-chain cost, confirmation latency, and processing time have been obtained, and a live out-of-jurisdiction request against a consent anchored on the deployed Sepolia contract was refused by the application.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will be conducted as part of next stage works.</w:t>
      </w:r>
    </w:p>
    <w:p>
      <w:pPr>
        <w:pStyle w:val="Heading2"/>
        <w:keepNext/>
        <w:spacing w:after="120" w:before="240"/>
      </w:pPr>
      <w:r>
        <w:rPr>
          <w:rFonts w:ascii="Times New Roman" w:cs="Times New Roman" w:eastAsia="Times New Roman" w:hAnsi="Times New Roman"/>
          <w:b/>
          <w:bCs/>
          <w:sz w:val="26"/>
          <w:szCs w:val="26"/>
        </w:rPr>
        <w:t xml:space="preserve">4.7  Relationship Between Research Questions and Objectives</w:t>
      </w:r>
    </w:p>
    <w:p>
      <w:pPr>
        <w:spacing w:after="110" w:line="264"/>
        <w:jc w:val="both"/>
      </w:pPr>
      <w:r>
        <w:rPr>
          <w:rFonts w:ascii="Times New Roman" w:cs="Times New Roman" w:eastAsia="Times New Roman" w:hAnsi="Times New Roman"/>
          <w:sz w:val="22"/>
          <w:szCs w:val="22"/>
        </w:rPr>
        <w:t xml:space="preserve">The mapping follows the structure of the research programme and maintains a direct correspondence between each research question and its associated objective. RO1 to RO6 are realised in Section 6 to Section 11 respectively, each in the section presenting the solution for the corresponding research question. Because each research question corresponds to one gap identified in Section 2, each objective addresses the gap of the same number, so that RO1 addresses Gap 1 and RO6 addresses Gap 6. This correspondence ensures that every research question is addressed by a clearly defined research activity and that each objective contributes to the overall development of the proposed trust-oriented authorisation framework. </w:t>
      </w:r>
      <w:r>
        <w:rPr>
          <w:rFonts w:ascii="Times New Roman" w:cs="Times New Roman" w:eastAsia="Times New Roman" w:hAnsi="Times New Roman"/>
          <w:color w:val="FF0000"/>
          <w:sz w:val="22"/>
          <w:szCs w:val="22"/>
        </w:rPr>
        <w:t xml:space="preserve">RO1 to RO4 are delivered in this stage,</w:t>
      </w:r>
      <w:r>
        <w:rPr>
          <w:rFonts w:ascii="Times New Roman" w:cs="Times New Roman" w:eastAsia="Times New Roman" w:hAnsi="Times New Roman"/>
          <w:sz w:val="22"/>
          <w:szCs w:val="22"/>
        </w:rPr>
        <w:t xml:space="preserve"> together with their validation and evaluation through the implemented prototype, whereas, as stated in Section 1, RO5 and RO6 are partially completed. Their remaining work is detailed in Section 10 and Section 11, and its schedule is presented in Section 13. The distinction between current stage and next stage is therefore based on research scope and maturity rather than on a different set of research questions or objectives.</w:t>
      </w:r>
    </w:p>
    <w:p>
      <w:pPr>
        <w:pStyle w:val="Heading1"/>
        <w:pageBreakBefore/>
        <w:spacing w:after="200" w:before="120"/>
      </w:pPr>
      <w:r>
        <w:rPr>
          <w:rFonts w:ascii="Times New Roman" w:cs="Times New Roman" w:eastAsia="Times New Roman" w:hAnsi="Times New Roman"/>
          <w:b/>
          <w:bCs/>
          <w:sz w:val="32"/>
          <w:szCs w:val="32"/>
        </w:rPr>
        <w:t xml:space="preserve">5.  Research Architecture: MVC</w:t>
      </w:r>
    </w:p>
    <w:p>
      <w:pPr>
        <w:spacing w:after="110" w:line="264"/>
        <w:jc w:val="both"/>
      </w:pPr>
      <w:r>
        <w:rPr>
          <w:rFonts w:ascii="Times New Roman" w:cs="Times New Roman" w:eastAsia="Times New Roman" w:hAnsi="Times New Roman"/>
          <w:sz w:val="22"/>
          <w:szCs w:val="22"/>
        </w:rPr>
        <w:t xml:space="preserve">The proposed research architecture adopts a Model–View–Controller (MVC) design to provide a structured implementation foundation for the trusted multi-party consent management framework. However, the MVC architecture is not used merely as a conventional software engineering pattern for separating data, interfaces, and application logic. Within the proposed framework, MVC is extended to support a more fundamental separation between the representation of consent, the interaction of independent stakeholders, and the enforcement of security-critical authorisation decisions. This separation is particularly important in decentralised healthcare data-sharing environments.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Instead, the authorisation decision must emerge from the coordinated evaluation of independently verifiable security conditions.</w:t>
      </w:r>
    </w:p>
    <w:p>
      <w:pPr>
        <w:pStyle w:val="Heading2"/>
        <w:keepNext/>
        <w:spacing w:after="120" w:before="240"/>
      </w:pPr>
      <w:r>
        <w:rPr>
          <w:rFonts w:ascii="Times New Roman" w:cs="Times New Roman" w:eastAsia="Times New Roman" w:hAnsi="Times New Roman"/>
          <w:b/>
          <w:bCs/>
          <w:sz w:val="26"/>
          <w:szCs w:val="26"/>
        </w:rPr>
        <w:t xml:space="preserve">5.1  Layered Architecture and Component Decomposition</w:t>
      </w:r>
    </w:p>
    <w:p>
      <w:pPr>
        <w:spacing w:after="110" w:line="264"/>
        <w:jc w:val="both"/>
      </w:pPr>
      <w:r>
        <w:rPr>
          <w:rFonts w:ascii="Times New Roman" w:cs="Times New Roman" w:eastAsia="Times New Roman" w:hAnsi="Times New Roman"/>
          <w:sz w:val="22"/>
          <w:szCs w:val="22"/>
        </w:rPr>
        <w:t xml:space="preserve">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3 illustrates the conceptual relationship among these layers. The protected healthcare data are deliberately positioned outside the three MVC layers as a protected resource whose access is mediated by the Controller rather than directly exposed to the View.</w:t>
      </w:r>
    </w:p>
    <w:p>
      <w:pPr>
        <w:keepNext/>
        <w:spacing w:after="60" w:before="160"/>
        <w:jc w:val="center"/>
      </w:pPr>
      <w:r>
        <w:drawing>
          <wp:inline distT="0" distB="0" distL="0" distR="0">
            <wp:extent cx="5715000" cy="3524250"/>
            <wp:effectExtent t="0" r="0" b="0" l="0"/>
            <wp:docPr id="1"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3: </w:t>
      </w:r>
      <w:r>
        <w:rPr>
          <w:rFonts w:ascii="Times New Roman" w:cs="Times New Roman" w:eastAsia="Times New Roman" w:hAnsi="Times New Roman"/>
          <w:color w:val="00B0F0"/>
          <w:sz w:val="18"/>
          <w:szCs w:val="18"/>
        </w:rPr>
        <w:t xml:space="preserve">Layered MVC architecture and component decomposition of the HALAH framework</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jurisdictional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pPr>
        <w:spacing w:after="110" w:line="264"/>
        <w:jc w:val="both"/>
      </w:pPr>
      <w:r>
        <w:rPr>
          <w:rFonts w:ascii="Times New Roman" w:cs="Times New Roman" w:eastAsia="Times New Roman" w:hAnsi="Times New Roman"/>
          <w:sz w:val="22"/>
          <w:szCs w:val="22"/>
        </w:rPr>
        <w:t xml:space="preserve">Figure 4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pPr>
        <w:keepNext/>
        <w:spacing w:after="60" w:before="160"/>
        <w:jc w:val="center"/>
      </w:pPr>
      <w:r>
        <w:drawing>
          <wp:inline distT="0" distB="0" distL="0" distR="0">
            <wp:extent cx="5715000" cy="2209800"/>
            <wp:effectExtent t="0" r="0" b="0" l="0"/>
            <wp:docPr id="1"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4: </w:t>
      </w:r>
      <w:r>
        <w:rPr>
          <w:rFonts w:ascii="Times New Roman" w:cs="Times New Roman" w:eastAsia="Times New Roman" w:hAnsi="Times New Roman"/>
          <w:color w:val="00B0F0"/>
          <w:sz w:val="18"/>
          <w:szCs w:val="18"/>
        </w:rPr>
        <w:t xml:space="preserve">Functional decomposition of the MVC components</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In the implemented prototype, the Controller comprises eight principal functions rather than six, since a zero-knowledge (ZK) Proof Service generates and verifies the Groth16 proof that feeds the Authorisation Decision, and an On-chain Anchor Service performs the Sepolia mint and revoke transactions as a background process. The Model correspondingly contains the ConsentSBTv3 soulbound contract deployed on Sepolia together with the application audit ledger, both of which an independent verification tool reads, as described in Section 11. It should be acknowledged that, in the present prototype, credential verification consists of a structural check that each DID is well formed, and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combines this check with the EIP-712 verification of each listed guardian's signature. The requester's role and jurisdiction are declared in the interface rather than authenticated, and wallet-held signing keys and authenticated verifiable credentials are deferred to the production design. However, each guardian approval is an EIP-712 typed-data signature bound to the consent identifier, so the multi-party threshold is enforced over signed approvals rather than over interface actions.</w:t>
      </w:r>
    </w:p>
    <w:p>
      <w:pPr>
        <w:pStyle w:val="Heading2"/>
        <w:keepNext/>
        <w:spacing w:after="120" w:before="240"/>
      </w:pPr>
      <w:r>
        <w:rPr>
          <w:rFonts w:ascii="Times New Roman" w:cs="Times New Roman" w:eastAsia="Times New Roman" w:hAnsi="Times New Roman"/>
          <w:b/>
          <w:bCs/>
          <w:sz w:val="26"/>
          <w:szCs w:val="26"/>
        </w:rPr>
        <w:t xml:space="preserve">5.2  Trust Evaluation and Architectural Boundaries</w:t>
      </w:r>
    </w:p>
    <w:p>
      <w:pPr>
        <w:spacing w:after="110" w:line="264"/>
        <w:jc w:val="both"/>
      </w:pPr>
      <w:r>
        <w:rPr>
          <w:rFonts w:ascii="Times New Roman" w:cs="Times New Roman" w:eastAsia="Times New Roman" w:hAnsi="Times New Roman"/>
          <w:sz w:val="22"/>
          <w:szCs w:val="22"/>
        </w:rPr>
        <w:t xml:space="preserve">The architectural layers cooperate through a controlled authorisation sequence rather than through unrestricted direct communication. A healthcare data-access request is not evaluated according to a single authentication event. As illustrated in Figure 5, the Controller coordinates a sequence of trust predicates representing the conditions established by the sub-research questions. The first condition,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determines whether the requesting participant possesses valid identity and authority evidence. The second condition,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(C), determines whether the required independently verified participants have collectively satisfied the authorisation threshold N. The third condition,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(C, R), determines whether the requested operation complies with the consent policy, including purpose and data-scope restrictions. The fourth condition,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(C, t), determines whether the consent remains valid at the time of the request. The fifth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(C, R), determines whether the jurisdiction of the request satisfies the recorded jurisdictional constraint of the consent.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rather than within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The integrated decision can therefore be expressed as Equation (2).</w:t>
      </w:r>
    </w:p>
    <w:p>
      <w:pPr>
        <w:keepNext/>
        <w:spacing w:after="60" w:before="160"/>
        <w:jc w:val="center"/>
      </w:pPr>
      <w:r>
        <w:drawing>
          <wp:inline distT="0" distB="0" distL="0" distR="0">
            <wp:extent cx="2952750" cy="4286250"/>
            <wp:effectExtent t="0" r="0" b="0" l="0"/>
            <wp:docPr id="1" name="F8.png" descr="Trust predicate evaluation and authorisation decision flow (in the current prototype, VI also checks the EIP-712 signature of each listed guardian, and a refusal for a consent that is not ACTIVE is not recorded)" title="Trust predicate evaluation and authorisation decision flow (in the current prototype, VI also checks the EIP-712 signature of each listed guardian, and a refusal for a consent that is not ACTIVE is not recor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527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 </w:t>
      </w:r>
      <w:r>
        <w:rPr>
          <w:rFonts w:ascii="Times New Roman" w:cs="Times New Roman" w:eastAsia="Times New Roman" w:hAnsi="Times New Roman"/>
          <w:color w:val="00B0F0"/>
          <w:sz w:val="18"/>
          <w:szCs w:val="18"/>
        </w:rPr>
        <w:t xml:space="preserve">Trust predicate evaluation and authorisation decision flow (in the current prototype, V</w:t>
      </w:r>
      <w:r>
        <w:rPr>
          <w:rFonts w:ascii="Times New Roman" w:cs="Times New Roman" w:eastAsia="Times New Roman" w:hAnsi="Times New Roman"/>
          <w:color w:val="00B0F0"/>
          <w:sz w:val="18"/>
          <w:szCs w:val="18"/>
          <w:vertAlign w:val="subscript"/>
        </w:rPr>
        <w:t xml:space="preserve">I</w:t>
      </w:r>
      <w:r>
        <w:rPr>
          <w:rFonts w:ascii="Times New Roman" w:cs="Times New Roman" w:eastAsia="Times New Roman" w:hAnsi="Times New Roman"/>
          <w:color w:val="00B0F0"/>
          <w:sz w:val="18"/>
          <w:szCs w:val="18"/>
        </w:rPr>
        <w:t xml:space="preserve"> also checks the EIP-712 signature of each listed guardian, and a refusal for a consent that is not ACTIVE is not recorded)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If any required predicate evaluates to false, the decision is DENY. The Controller does not itself create these trust conditions. Instead, it evaluates evidence represented by the Model and coordinates the resulting decision. This distinction is important for the interpretation of the architecture: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w:t>
      </w:r>
    </w:p>
    <w:p>
      <w:pPr>
        <w:pStyle w:val="Heading2"/>
        <w:keepNext/>
        <w:spacing w:after="120" w:before="240"/>
      </w:pPr>
      <w:r>
        <w:rPr>
          <w:rFonts w:ascii="Times New Roman" w:cs="Times New Roman" w:eastAsia="Times New Roman" w:hAnsi="Times New Roman"/>
          <w:b/>
          <w:bCs/>
          <w:sz w:val="26"/>
          <w:szCs w:val="26"/>
        </w:rPr>
        <w:t xml:space="preserve">5.3  Trust-Oriented Consent Authorisation Workflow</w:t>
      </w:r>
    </w:p>
    <w:p>
      <w:pPr>
        <w:spacing w:after="110" w:line="264"/>
        <w:jc w:val="both"/>
      </w:pPr>
      <w:r>
        <w:rPr>
          <w:rFonts w:ascii="Times New Roman" w:cs="Times New Roman" w:eastAsia="Times New Roman" w:hAnsi="Times New Roman"/>
          <w:sz w:val="22"/>
          <w:szCs w:val="22"/>
        </w:rPr>
        <w:t xml:space="preserve">Figure 6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[16]. Importantly, the framework explicitly separates identity authentication from authorisation. A successfully verified DID or VC does not, by itself, grant permission to access patient data. The framework then collects their independent approvals and evaluates whether the predefined authorisation threshold has been satisfied. 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denote the set of successfully verified approvals and let N denote the required authorisation threshold, as in Equation (3). Here, Token(C) ≠ ∅ means that C has been assigned a token identifier, and Revoked(C) = 0 means that the consent has not been revoked.</w:t>
      </w:r>
    </w:p>
    <w:p>
      <w:pPr>
        <w:keepNext/>
        <w:spacing w:after="60" w:before="160"/>
        <w:jc w:val="center"/>
      </w:pPr>
      <w:r>
        <w:drawing>
          <wp:inline distT="0" distB="0" distL="0" distR="0">
            <wp:extent cx="2647950" cy="4286250"/>
            <wp:effectExtent t="0" r="0" b="0" l="0"/>
            <wp:docPr id="1"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479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 </w:t>
      </w:r>
      <w:r>
        <w:rPr>
          <w:rFonts w:ascii="Times New Roman" w:cs="Times New Roman" w:eastAsia="Times New Roman" w:hAnsi="Times New Roman"/>
          <w:color w:val="00B0F0"/>
          <w:sz w:val="18"/>
          <w:szCs w:val="18"/>
        </w:rPr>
        <w:t xml:space="preserve">End-to-end workflow of the trust-oriented consent authorisation framework</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(3)</w:t>
      </w:r>
    </w:p>
    <w:p>
      <w:pPr>
        <w:spacing w:after="110" w:line="264"/>
        <w:jc w:val="both"/>
      </w:pPr>
      <w:r>
        <w:rPr>
          <w:rFonts w:ascii="Times New Roman" w:cs="Times New Roman" w:eastAsia="Times New Roman" w:hAnsi="Times New Roman"/>
          <w:sz w:val="22"/>
          <w:szCs w:val="22"/>
        </w:rPr>
        <w:t xml:space="preserve">Only independently verified participants can contribute to the authorisation evidence set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as defined in Equation (4), where A</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denotes the set of approvals submitted for C. </w:t>
      </w:r>
      <w:r>
        <w:rPr>
          <w:rFonts w:ascii="Times New Roman" w:cs="Times New Roman" w:eastAsia="Times New Roman" w:hAnsi="Times New Roman"/>
          <w:color w:val="00B0F0"/>
          <w:sz w:val="22"/>
          <w:szCs w:val="22"/>
        </w:rPr>
        <w:t xml:space="preserve">A</w:t>
      </w:r>
      <w:r>
        <w:rPr>
          <w:rFonts w:ascii="Times New Roman" w:cs="Times New Roman" w:eastAsia="Times New Roman" w:hAnsi="Times New Roman"/>
          <w:color w:val="00B0F0"/>
          <w:sz w:val="22"/>
          <w:szCs w:val="22"/>
          <w:vertAlign w:val="subscript"/>
        </w:rPr>
        <w:t xml:space="preserve">v</w:t>
      </w:r>
      <w:r>
        <w:rPr>
          <w:rFonts w:ascii="Times New Roman" w:cs="Times New Roman" w:eastAsia="Times New Roman" w:hAnsi="Times New Roman"/>
          <w:color w:val="00B0F0"/>
          <w:sz w:val="22"/>
          <w:szCs w:val="22"/>
        </w:rPr>
        <w:t xml:space="preserve"> therefore contains each member of G at most once, and an approval from a signer outside G does not enter A</w:t>
      </w:r>
      <w:r>
        <w:rPr>
          <w:rFonts w:ascii="Times New Roman" w:cs="Times New Roman" w:eastAsia="Times New Roman" w:hAnsi="Times New Roman"/>
          <w:color w:val="00B0F0"/>
          <w:sz w:val="22"/>
          <w:szCs w:val="22"/>
          <w:vertAlign w:val="subscript"/>
        </w:rPr>
        <w:t xml:space="preserve">v</w:t>
      </w:r>
      <w:r>
        <w:rPr>
          <w:rFonts w:ascii="Times New Roman" w:cs="Times New Roman" w:eastAsia="Times New Roman" w:hAnsi="Times New Roman"/>
          <w:color w:val="00B0F0"/>
          <w:sz w:val="22"/>
          <w:szCs w:val="22"/>
        </w:rPr>
        <w:t xml:space="preserve">.</w:t>
      </w:r>
      <w:r>
        <w:rPr>
          <w:rFonts w:ascii="Times New Roman" w:cs="Times New Roman" w:eastAsia="Times New Roman" w:hAnsi="Times New Roman"/>
          <w:sz w:val="22"/>
          <w:szCs w:val="22"/>
        </w:rPr>
        <w:t xml:space="preserve">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[23], a witness or notary threshold [26], </w:t>
      </w:r>
      <w:r>
        <w:rPr>
          <w:rFonts w:ascii="Times New Roman" w:cs="Times New Roman" w:eastAsia="Times New Roman" w:hAnsi="Times New Roman"/>
          <w:color w:val="00B0F0"/>
          <w:sz w:val="22"/>
          <w:szCs w:val="22"/>
        </w:rPr>
        <w:t xml:space="preserve">a registration-time co-consent [27], a documentation-time gate on guardian access [52], an institution-side admission gate [61], a custodial M-of-N signature [25], a key-share reconstruction [50], or a threshold proxy re-encryption [54].</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color w:val="00B0F0"/>
          <w:sz w:val="21"/>
          <w:szCs w:val="21"/>
        </w:rPr>
        <w:t xml:space="preserve">A</w:t>
      </w:r>
      <w:r>
        <w:rPr>
          <w:rFonts w:ascii="Cambria Math" w:cs="Cambria Math" w:eastAsia="Cambria Math" w:hAnsi="Cambria Math"/>
          <w:i w:val="false"/>
          <w:iCs w:val="false"/>
          <w:color w:val="00B0F0"/>
          <w:sz w:val="21"/>
          <w:szCs w:val="21"/>
          <w:vertAlign w:val="subscript"/>
        </w:rPr>
        <w:t xml:space="preserve">v</w:t>
      </w:r>
      <w:r>
        <w:rPr>
          <w:rFonts w:ascii="Cambria Math" w:cs="Cambria Math" w:eastAsia="Cambria Math" w:hAnsi="Cambria Math"/>
          <w:i w:val="false"/>
          <w:iCs w:val="false"/>
          <w:color w:val="00B0F0"/>
          <w:sz w:val="21"/>
          <w:szCs w:val="21"/>
        </w:rPr>
        <w:t xml:space="preserve"> = {g ∈ G | ∃ a</w:t>
      </w:r>
      <w:r>
        <w:rPr>
          <w:rFonts w:ascii="Cambria Math" w:cs="Cambria Math" w:eastAsia="Cambria Math" w:hAnsi="Cambria Math"/>
          <w:i w:val="false"/>
          <w:iCs w:val="false"/>
          <w:color w:val="00B0F0"/>
          <w:sz w:val="21"/>
          <w:szCs w:val="21"/>
          <w:vertAlign w:val="subscript"/>
        </w:rPr>
        <w:t xml:space="preserve">i</w:t>
      </w:r>
      <w:r>
        <w:rPr>
          <w:rFonts w:ascii="Cambria Math" w:cs="Cambria Math" w:eastAsia="Cambria Math" w:hAnsi="Cambria Math"/>
          <w:i w:val="false"/>
          <w:iCs w:val="false"/>
          <w:color w:val="00B0F0"/>
          <w:sz w:val="21"/>
          <w:szCs w:val="21"/>
        </w:rPr>
        <w:t xml:space="preserve"> ∈ A</w:t>
      </w:r>
      <w:r>
        <w:rPr>
          <w:rFonts w:ascii="Cambria Math" w:cs="Cambria Math" w:eastAsia="Cambria Math" w:hAnsi="Cambria Math"/>
          <w:i w:val="false"/>
          <w:iCs w:val="false"/>
          <w:color w:val="00B0F0"/>
          <w:sz w:val="21"/>
          <w:szCs w:val="21"/>
          <w:vertAlign w:val="subscript"/>
        </w:rPr>
        <w:t xml:space="preserve">s</w:t>
      </w:r>
      <w:r>
        <w:rPr>
          <w:rFonts w:ascii="Cambria Math" w:cs="Cambria Math" w:eastAsia="Cambria Math" w:hAnsi="Cambria Math"/>
          <w:i w:val="false"/>
          <w:iCs w:val="false"/>
          <w:color w:val="00B0F0"/>
          <w:sz w:val="21"/>
          <w:szCs w:val="21"/>
        </w:rPr>
        <w:t xml:space="preserve"> submitted by g with V</w:t>
      </w:r>
      <w:r>
        <w:rPr>
          <w:rFonts w:ascii="Cambria Math" w:cs="Cambria Math" w:eastAsia="Cambria Math" w:hAnsi="Cambria Math"/>
          <w:i w:val="false"/>
          <w:iCs w:val="false"/>
          <w:color w:val="00B0F0"/>
          <w:sz w:val="21"/>
          <w:szCs w:val="21"/>
          <w:vertAlign w:val="subscript"/>
        </w:rPr>
        <w:t xml:space="preserve">I</w:t>
      </w:r>
      <w:r>
        <w:rPr>
          <w:rFonts w:ascii="Cambria Math" w:cs="Cambria Math" w:eastAsia="Cambria Math" w:hAnsi="Cambria Math"/>
          <w:i w:val="false"/>
          <w:iCs w:val="false"/>
          <w:color w:val="00B0F0"/>
          <w:sz w:val="21"/>
          <w:szCs w:val="21"/>
        </w:rPr>
        <w:t xml:space="preserve">(a</w:t>
      </w:r>
      <w:r>
        <w:rPr>
          <w:rFonts w:ascii="Cambria Math" w:cs="Cambria Math" w:eastAsia="Cambria Math" w:hAnsi="Cambria Math"/>
          <w:i w:val="false"/>
          <w:iCs w:val="false"/>
          <w:color w:val="00B0F0"/>
          <w:sz w:val="21"/>
          <w:szCs w:val="21"/>
          <w:vertAlign w:val="subscript"/>
        </w:rPr>
        <w:t xml:space="preserve">i</w:t>
      </w:r>
      <w:r>
        <w:rPr>
          <w:rFonts w:ascii="Cambria Math" w:cs="Cambria Math" w:eastAsia="Cambria Math" w:hAnsi="Cambria Math"/>
          <w:i w:val="false"/>
          <w:iCs w:val="false"/>
          <w:color w:val="00B0F0"/>
          <w:sz w:val="21"/>
          <w:szCs w:val="21"/>
        </w:rPr>
        <w:t xml:space="preserve">) = 1}.</w:t>
      </w:r>
      <w:r>
        <w:rPr>
          <w:rFonts w:ascii="Times New Roman" w:cs="Times New Roman" w:eastAsia="Times New Roman" w:hAnsi="Times New Roman"/>
          <w:sz w:val="22"/>
          <w:szCs w:val="22"/>
        </w:rPr>
        <w:t xml:space="preserve">	(4)</w:t>
      </w:r>
    </w:p>
    <w:p>
      <w:pPr>
        <w:spacing w:after="110" w:line="264"/>
        <w:jc w:val="both"/>
      </w:pPr>
      <w:r>
        <w:rPr>
          <w:rFonts w:ascii="Times New Roman" w:cs="Times New Roman" w:eastAsia="Times New Roman" w:hAnsi="Times New Roman"/>
          <w:sz w:val="22"/>
          <w:szCs w:val="22"/>
        </w:rPr>
        <w:t xml:space="preserve">In the implemented prototype, the threshold is fixed at N = |G|, as justified in Section 8, and once the N-of-N condition is satisfied, the consent token is minted in the local ledger and a background job anchors the mint on Sepolia asynchronously. The temporal check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the jurisdictional check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then evaluated, a Groth16 proof is generated and verified before access is granted, and the audit evidence is recorded. The flow continues through patient-initiated revocation and the corresponding on-chain revoke transaction, after which the auditor reviews the record and the verification tool performs an independent verification. </w:t>
      </w:r>
      <w:r>
        <w:rPr>
          <w:rFonts w:ascii="Times New Roman" w:cs="Times New Roman" w:eastAsia="Times New Roman" w:hAnsi="Times New Roman"/>
          <w:color w:val="00B0F0"/>
          <w:sz w:val="22"/>
          <w:szCs w:val="22"/>
        </w:rPr>
        <w:t xml:space="preserve">If the required threshold is not satisfied, the consent remains pending, and any access request made against it is denied.</w:t>
      </w:r>
      <w:r>
        <w:rPr>
          <w:rFonts w:ascii="Times New Roman" w:cs="Times New Roman" w:eastAsia="Times New Roman" w:hAnsi="Times New Roman"/>
          <w:sz w:val="22"/>
          <w:szCs w:val="22"/>
        </w:rPr>
        <w:t xml:space="preserve">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This step addresses an important limitation of identity-based and approval-based access control: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Similarly, the requested purpose must be consistent with the purpose specified in the consent.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and, in the prototype, a denial against an ACTIVE consent is recorded with its complete decision matrix.</w:t>
      </w:r>
    </w:p>
    <w:p>
      <w:pPr>
        <w:pStyle w:val="Heading2"/>
        <w:keepNext/>
        <w:spacing w:after="120" w:before="240"/>
      </w:pPr>
      <w:r>
        <w:rPr>
          <w:rFonts w:ascii="Times New Roman" w:cs="Times New Roman" w:eastAsia="Times New Roman" w:hAnsi="Times New Roman"/>
          <w:b/>
          <w:bCs/>
          <w:sz w:val="26"/>
          <w:szCs w:val="26"/>
        </w:rPr>
        <w:t xml:space="preserve">5.4  MVC Architecture and the Research Objectives</w:t>
      </w:r>
    </w:p>
    <w:p>
      <w:pPr>
        <w:spacing w:after="110" w:line="264"/>
        <w:jc w:val="both"/>
      </w:pPr>
      <w:r>
        <w:rPr>
          <w:rFonts w:ascii="Times New Roman" w:cs="Times New Roman" w:eastAsia="Times New Roman" w:hAnsi="Times New Roman"/>
          <w:sz w:val="22"/>
          <w:szCs w:val="22"/>
        </w:rPr>
        <w:t xml:space="preserve">The MVC architecture also provides a direct implementation structure for the research objectives, as summarised in Table 6.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evaluated by the Controller before an access decision is produced.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pPr>
        <w:keepNext/>
        <w:spacing w:after="80" w:before="200"/>
        <w:jc w:val="center"/>
      </w:pPr>
      <w:r>
        <w:rPr>
          <w:rFonts w:ascii="Times New Roman" w:cs="Times New Roman" w:eastAsia="Times New Roman" w:hAnsi="Times New Roman"/>
          <w:b/>
          <w:bCs/>
          <w:sz w:val="18"/>
          <w:szCs w:val="18"/>
        </w:rPr>
        <w:t xml:space="preserve">Table 6: </w:t>
      </w:r>
      <w:r>
        <w:rPr>
          <w:rFonts w:ascii="Times New Roman" w:cs="Times New Roman" w:eastAsia="Times New Roman" w:hAnsi="Times New Roman"/>
          <w:color w:val="00B0F0"/>
          <w:sz w:val="18"/>
          <w:szCs w:val="18"/>
        </w:rPr>
        <w:t xml:space="preserve">Mapping between research objectives and MVC components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500"/>
        <w:gridCol w:w="3428"/>
      </w:tblGrid>
      <w:tr>
        <w:trPr>
          <w:cantSplit/>
          <w:tblHeader/>
        </w:trPr>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Research Objective</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Primary MVC Component</w:t>
            </w:r>
          </w:p>
        </w:tc>
        <w:tc>
          <w:tcPr>
            <w:tcW w:type="dxa" w:w="2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Core Mechanism</w:t>
            </w:r>
          </w:p>
        </w:tc>
        <w:tc>
          <w:tcPr>
            <w:tcW w:type="dxa" w:w="3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Expected Contribution</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Trust-aware consent representation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Transforms consent from a passive permission record into a structured and evaluable authorisation object.</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RO2</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DID and VC verification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trustworthy participants while explicitly separating identity from authorisation authority.</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RO3</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Verified multi-party threshold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collective trust and prevents unilateral authorisation when multiple approvals are required.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Policy, purpose, and data-scope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valid participants and sufficient approvals remain constrained by the authorised purpose and healthcare data scope.</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RO5</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Temporal validity and consent lifecycle enforcement</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Model, View,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analysis and empirical validation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Will provide formal assurance (next stage) of the defined trust and authorisation properties and empirically evaluates whether the implemented framework correctly enforces authorised and unauthorised healthcare data-access decisions.</w:t>
            </w:r>
          </w:p>
        </w:tc>
      </w:tr>
    </w:tbl>
    <w:p>
      <w:pPr>
        <w:spacing w:after="160"/>
      </w:pPr>
    </w:p>
    <w:p>
      <w:pPr>
        <w:spacing w:after="110" w:line="264"/>
        <w:jc w:val="both"/>
      </w:pPr>
      <w:r>
        <w:rPr>
          <w:rFonts w:ascii="Times New Roman" w:cs="Times New Roman" w:eastAsia="Times New Roman" w:hAnsi="Times New Roman"/>
          <w:sz w:val="22"/>
          <w:szCs w:val="22"/>
        </w:rPr>
        <w:t xml:space="preserve">The principal contribution of the proposed architecture is not the use of MVC itself, but the way in which MVC is employed to operationalise a trust-oriented authorisation model. This design transforms multi-party consent management from a conventional record-management problem into a distributed security-governance problem. The evaluable consent object as such is already present in the literature [21, 24, 28, 48]. The key innovation is that consent effectiveness depends on the joint satisfaction of identity, authority, collective approval, policy, temporal, and jurisdictional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[10, 18]. The detailed solutions for RQ1 to RQ6 are presented in Sections 6 to 11, and the formal assurance of the complete decision model </w:t>
      </w:r>
      <w:r>
        <w:rPr>
          <w:rFonts w:ascii="Times New Roman" w:cs="Times New Roman" w:eastAsia="Times New Roman" w:hAnsi="Times New Roman"/>
          <w:color w:val="FF0000"/>
          <w:sz w:val="22"/>
          <w:szCs w:val="22"/>
        </w:rPr>
        <w:t xml:space="preserve">remains for the next stage.</w:t>
      </w:r>
    </w:p>
    <w:p>
      <w:pPr>
        <w:pStyle w:val="Heading1"/>
        <w:pageBreakBefore/>
        <w:spacing w:after="200" w:before="120"/>
      </w:pPr>
      <w:r>
        <w:rPr>
          <w:rFonts w:ascii="Times New Roman" w:cs="Times New Roman" w:eastAsia="Times New Roman" w:hAnsi="Times New Roman"/>
          <w:b/>
          <w:bCs/>
          <w:sz w:val="32"/>
          <w:szCs w:val="32"/>
        </w:rPr>
        <w:t xml:space="preserve">6.  The Proposed Solution for RO1</w:t>
      </w:r>
    </w:p>
    <w:p>
      <w:pPr>
        <w:spacing w:after="140" w:before="0"/>
      </w:pPr>
      <w:r>
        <w:rPr>
          <w:rFonts w:ascii="Times New Roman" w:cs="Times New Roman" w:eastAsia="Times New Roman" w:hAnsi="Times New Roman"/>
          <w:b/>
          <w:bCs/>
          <w:i/>
          <w:iCs/>
          <w:sz w:val="26"/>
          <w:szCs w:val="26"/>
        </w:rPr>
        <w:t xml:space="preserve">RO1 – Trust-Centric Consent Model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6.1  Overview of the Trust-Centric Consent Model</w:t>
      </w:r>
    </w:p>
    <w:p>
      <w:pPr>
        <w:spacing w:after="110" w:line="264"/>
        <w:jc w:val="both"/>
      </w:pPr>
      <w:r>
        <w:rPr>
          <w:rFonts w:ascii="Times New Roman" w:cs="Times New Roman" w:eastAsia="Times New Roman" w:hAnsi="Times New Roman"/>
          <w:sz w:val="22"/>
          <w:szCs w:val="22"/>
        </w:rP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Equation (5).</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(5)</w:t>
      </w:r>
    </w:p>
    <w:p>
      <w:pPr>
        <w:spacing w:after="110" w:line="264"/>
        <w:jc w:val="both"/>
      </w:pPr>
      <w:r>
        <w:rPr>
          <w:rFonts w:ascii="Times New Roman" w:cs="Times New Roman" w:eastAsia="Times New Roman" w:hAnsi="Times New Roman"/>
          <w:sz w:val="22"/>
          <w:szCs w:val="22"/>
        </w:rPr>
        <w:t xml:space="preserve">In Equation (5), I represents patient and participant identity information, A represents authorisation requirements, P represents policy constraints, and E represents authorisation evidence. T represents the temporal validity window, and L represents the jurisdiction in which the consent may be exercised.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Heading2"/>
        <w:keepNext/>
        <w:spacing w:after="120" w:before="240"/>
      </w:pPr>
      <w:r>
        <w:rPr>
          <w:rFonts w:ascii="Times New Roman" w:cs="Times New Roman" w:eastAsia="Times New Roman" w:hAnsi="Times New Roman"/>
          <w:b/>
          <w:bCs/>
          <w:sz w:val="26"/>
          <w:szCs w:val="26"/>
        </w:rPr>
        <w:t xml:space="preserve">6.2  Consent Creation Workflow</w:t>
      </w:r>
    </w:p>
    <w:p>
      <w:pPr>
        <w:spacing w:after="110" w:line="264"/>
        <w:jc w:val="both"/>
      </w:pPr>
      <w:r>
        <w:rPr>
          <w:rFonts w:ascii="Times New Roman" w:cs="Times New Roman" w:eastAsia="Times New Roman" w:hAnsi="Times New Roman"/>
          <w:sz w:val="22"/>
          <w:szCs w:val="22"/>
        </w:rPr>
        <w:t xml:space="preserve">Figure 7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pPr>
        <w:keepNext/>
        <w:spacing w:after="60" w:before="160"/>
        <w:jc w:val="center"/>
      </w:pPr>
      <w:r>
        <w:drawing>
          <wp:inline distT="0" distB="0" distL="0" distR="0">
            <wp:extent cx="2219325" cy="4286250"/>
            <wp:effectExtent t="0" r="0" b="0" l="0"/>
            <wp:docPr id="1" name="F10.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193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7: </w:t>
      </w:r>
      <w:r>
        <w:rPr>
          <w:rFonts w:ascii="Times New Roman" w:cs="Times New Roman" w:eastAsia="Times New Roman" w:hAnsi="Times New Roman"/>
          <w:color w:val="00B0F0"/>
          <w:sz w:val="18"/>
          <w:szCs w:val="18"/>
        </w:rPr>
        <w:t xml:space="preserve">RO1 workflow for trust-centric consent creation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The declared jurisdiction L is validated as a well-formed ISO alpha-2 territory code, AU in the demonstrated transactions, and is bound to the consent object at creation because the subsequent access decision is evaluated against it.</w:t>
      </w:r>
    </w:p>
    <w:p>
      <w:pPr>
        <w:pStyle w:val="Heading2"/>
        <w:keepNext/>
        <w:spacing w:after="120" w:before="240"/>
      </w:pPr>
      <w:r>
        <w:rPr>
          <w:rFonts w:ascii="Times New Roman" w:cs="Times New Roman" w:eastAsia="Times New Roman" w:hAnsi="Times New Roman"/>
          <w:b/>
          <w:bCs/>
          <w:sz w:val="26"/>
          <w:szCs w:val="26"/>
        </w:rPr>
        <w:t xml:space="preserve">6.3  Structure of the Consent Object</w:t>
      </w:r>
    </w:p>
    <w:p>
      <w:pPr>
        <w:spacing w:after="110" w:line="264"/>
        <w:jc w:val="both"/>
      </w:pPr>
      <w:r>
        <w:rPr>
          <w:rFonts w:ascii="Times New Roman" w:cs="Times New Roman" w:eastAsia="Times New Roman" w:hAnsi="Times New Roman"/>
          <w:sz w:val="22"/>
          <w:szCs w:val="22"/>
        </w:rPr>
        <w:t xml:space="preserve">Figure 8 shows how the validated information is combined to construct the consent object. The resulting object therefore captures not only the patient's preference but also the evidence required to support subsequent authorisation decisions.</w:t>
      </w:r>
    </w:p>
    <w:p>
      <w:pPr>
        <w:keepNext/>
        <w:spacing w:after="60" w:before="160"/>
        <w:jc w:val="center"/>
      </w:pPr>
      <w:r>
        <w:drawing>
          <wp:inline distT="0" distB="0" distL="0" distR="0">
            <wp:extent cx="5715000" cy="3162300"/>
            <wp:effectExtent t="0" r="0" b="0" l="0"/>
            <wp:docPr id="1" name="F11.png" descr="Six-component consent model C = (I, A, P, T, L, E) with the content and supplier of each component" title="Six-component consent model C = (I, A, P, T, L, E) with the content and supplier of each compon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162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8: </w:t>
      </w:r>
      <w:r>
        <w:rPr>
          <w:rFonts w:ascii="Times New Roman" w:cs="Times New Roman" w:eastAsia="Times New Roman" w:hAnsi="Times New Roman"/>
          <w:color w:val="00B0F0"/>
          <w:sz w:val="18"/>
          <w:szCs w:val="18"/>
        </w:rPr>
        <w:t xml:space="preserve">Six-component consent model C = (I, A, P, T, L, E) with the content and supplier of each component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system validates the temporal validity interval T =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In particular, existing approaches provide limited treatment of patient consent as a security-bearing and policy-aware authorisation object whose validity depends on coordinated conditions concerning participant identity, authority, collective approval, and contextual policy compliance. Unlike the consent objects reported in the literature [21, 24, 28, 48, 67], this object carries the guardian set and threshold together with the purpose, data scope, validity interval, jurisdiction, and lifecycle state.</w:t>
      </w:r>
    </w:p>
    <w:p>
      <w:pPr>
        <w:pStyle w:val="Heading2"/>
        <w:keepNext/>
        <w:spacing w:after="120" w:before="240"/>
      </w:pPr>
      <w:r>
        <w:rPr>
          <w:rFonts w:ascii="Times New Roman" w:cs="Times New Roman" w:eastAsia="Times New Roman" w:hAnsi="Times New Roman"/>
          <w:b/>
          <w:bCs/>
          <w:sz w:val="26"/>
          <w:szCs w:val="26"/>
        </w:rPr>
        <w:t xml:space="preserve">6.4  Trust-Aware Consent Creation Procedure and Algorithm</w:t>
      </w:r>
    </w:p>
    <w:p>
      <w:pPr>
        <w:spacing w:after="110" w:line="264"/>
        <w:jc w:val="both"/>
      </w:pPr>
      <w:r>
        <w:rPr>
          <w:rFonts w:ascii="Times New Roman" w:cs="Times New Roman" w:eastAsia="Times New Roman" w:hAnsi="Times New Roman"/>
          <w:sz w:val="22"/>
          <w:szCs w:val="22"/>
        </w:rPr>
        <w:t xml:space="preserve">The procedure establishes a valid and auditable consent object by sequentially validating the participating entities, consent purpose, data scope, and temporal constraints. The system first validates the patient's identity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If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cannot be successfully validated, the procedure terminates immediately and returns REJECT. The system validates the designated doctor D. </w:t>
      </w:r>
      <w:r>
        <w:rPr>
          <w:rFonts w:ascii="Times New Roman" w:cs="Times New Roman" w:eastAsia="Times New Roman" w:hAnsi="Times New Roman"/>
          <w:color w:val="00B0F0"/>
          <w:sz w:val="22"/>
          <w:szCs w:val="22"/>
        </w:rPr>
        <w:t xml:space="preserve">The system then validates the guardian set G, which must contain at least one guardian with a well-formed DID.</w:t>
      </w:r>
      <w:r>
        <w:rPr>
          <w:rFonts w:ascii="Times New Roman" w:cs="Times New Roman" w:eastAsia="Times New Roman" w:hAnsi="Times New Roman"/>
          <w:sz w:val="22"/>
          <w:szCs w:val="22"/>
        </w:rPr>
        <w:t xml:space="preserve"> This step prevents an arbitrary third party from being treated as an authorised representative of the patient. The intended data-use purpose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is validated and bound to the consent object so that authorisation is not interpreted as unrestricted access to the patient's healthcare information. The requested data scope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is validated to determine precisely which healthcare resources may be accessed under the consent. The scope may represent specific resource categories, </w:t>
      </w:r>
      <w:r>
        <w:rPr>
          <w:rFonts w:ascii="Times New Roman" w:cs="Times New Roman" w:eastAsia="Times New Roman" w:hAnsi="Times New Roman"/>
          <w:color w:val="00B0F0"/>
          <w:sz w:val="22"/>
          <w:szCs w:val="22"/>
        </w:rPr>
        <w:t xml:space="preserve">such as observations, medications, conditions, or procedures, which are the modules used in the prototype.</w:t>
      </w:r>
      <w:r>
        <w:rPr>
          <w:rFonts w:ascii="Times New Roman" w:cs="Times New Roman" w:eastAsia="Times New Roman" w:hAnsi="Times New Roman"/>
          <w:sz w:val="22"/>
          <w:szCs w:val="22"/>
        </w:rPr>
        <w:t xml:space="preserve"> This step establishes the principle of least privilege by ensuring that consent is associated with explicitly defined data resources rather than the patient's entire healthcare record.</w:t>
      </w:r>
    </w:p>
    <w:p>
      <w:pPr>
        <w:spacing w:after="110" w:line="264"/>
        <w:jc w:val="both"/>
      </w:pPr>
      <w:r>
        <w:rPr>
          <w:rFonts w:ascii="Times New Roman" w:cs="Times New Roman" w:eastAsia="Times New Roman" w:hAnsi="Times New Roman"/>
          <w:sz w:val="22"/>
          <w:szCs w:val="22"/>
        </w:rPr>
        <w:t xml:space="preserve">The system verifies that the interval is logically valid by requiring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&gt;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If this condition is not satisfied, the consent request is rejected. After all input elements have been validated, the system defines the authorisation requirement A. This requirement specifies the conditions that must subsequently be satisfied before access can be granted. The system generates a unique consent identifier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identifier provides a persistent reference to the consent object and enables subsequent operations, including consent verification, access authorisation, modification, revocation, and audit. Possession of the identifier alone grants no access, because every subsequent request is evaluated by the complete decision rule. The smart contract assigns the on-chain token identifier separately, only when the consent is activated. The constructed consent object C is persisted, and finally the system records evidence associated with the creation event. The overall procedure can therefore be represented as a sequential trust establishment process that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D → G →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T → L → A →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C → E. This sequence ensures that consent is created only after the relevant identity, authority, purpose, scope, and temporal constraints have been validated.</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1 </w:t>
      </w:r>
      <w:r>
        <w:rPr>
          <w:rFonts w:ascii="Times New Roman" w:cs="Times New Roman" w:eastAsia="Times New Roman" w:hAnsi="Times New Roman"/>
          <w:sz w:val="19"/>
          <w:szCs w:val="19"/>
        </w:rPr>
        <w:t xml:space="preserve">Trust-Aware Consent Creation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Patient identity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validity interval T, jurisdiction L</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Consent object C or rejection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Validate I</w:t>
      </w:r>
      <w:r>
        <w:rPr>
          <w:rFonts w:ascii="Times New Roman" w:cs="Times New Roman" w:eastAsia="Times New Roman" w:hAnsi="Times New Roman"/>
          <w:sz w:val="19"/>
          <w:szCs w:val="19"/>
          <w:vertAlign w:val="subscript"/>
        </w:rPr>
        <w:t xml:space="preserve">p</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is invalid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color w:val="00B0F0"/>
          <w:sz w:val="19"/>
          <w:szCs w:val="19"/>
        </w:rPr>
        <w:t xml:space="preserve">Validate authorised doctor D, guardian set G, purpose P</w:t>
      </w:r>
      <w:r>
        <w:rPr>
          <w:rFonts w:ascii="Times New Roman" w:cs="Times New Roman" w:eastAsia="Times New Roman" w:hAnsi="Times New Roman"/>
          <w:color w:val="00B0F0"/>
          <w:sz w:val="19"/>
          <w:szCs w:val="19"/>
          <w:vertAlign w:val="subscript"/>
        </w:rPr>
        <w:t xml:space="preserve">u</w:t>
      </w:r>
      <w:r>
        <w:rPr>
          <w:rFonts w:ascii="Times New Roman" w:cs="Times New Roman" w:eastAsia="Times New Roman" w:hAnsi="Times New Roman"/>
          <w:color w:val="00B0F0"/>
          <w:sz w:val="19"/>
          <w:szCs w:val="19"/>
        </w:rPr>
        <w:t xml:space="preserve"> and data scope S</w:t>
      </w:r>
      <w:r>
        <w:rPr>
          <w:rFonts w:ascii="Times New Roman" w:cs="Times New Roman" w:eastAsia="Times New Roman" w:hAnsi="Times New Roman"/>
          <w:color w:val="00B0F0"/>
          <w:sz w:val="19"/>
          <w:szCs w:val="19"/>
          <w:vertAlign w:val="subscript"/>
        </w:rPr>
        <w:t xml:space="preserve">C</w:t>
      </w:r>
      <w:r>
        <w:rPr>
          <w:rFonts w:ascii="Times New Roman" w:cs="Times New Roman" w:eastAsia="Times New Roman" w:hAnsi="Times New Roman"/>
          <w:color w:val="00B0F0"/>
          <w:sz w:val="19"/>
          <w:szCs w:val="19"/>
        </w:rPr>
        <w:t xml:space="preserve">   ▷ in the prototype, D is checked for DID format only at the access decision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color w:val="00B0F0"/>
          <w:sz w:val="19"/>
          <w:szCs w:val="19"/>
        </w:rPr>
        <w:t xml:space="preserve">if</w:t>
      </w:r>
      <w:r>
        <w:rPr>
          <w:rFonts w:ascii="Times New Roman" w:cs="Times New Roman" w:eastAsia="Times New Roman" w:hAnsi="Times New Roman"/>
          <w:color w:val="00B0F0"/>
          <w:sz w:val="19"/>
          <w:szCs w:val="19"/>
        </w:rPr>
        <w:t xml:space="preserve"> G = ∅, any member of G is invalid, P</w:t>
      </w:r>
      <w:r>
        <w:rPr>
          <w:rFonts w:ascii="Times New Roman" w:cs="Times New Roman" w:eastAsia="Times New Roman" w:hAnsi="Times New Roman"/>
          <w:color w:val="00B0F0"/>
          <w:sz w:val="19"/>
          <w:szCs w:val="19"/>
          <w:vertAlign w:val="subscript"/>
        </w:rPr>
        <w:t xml:space="preserve">u</w:t>
      </w:r>
      <w:r>
        <w:rPr>
          <w:rFonts w:ascii="Times New Roman" w:cs="Times New Roman" w:eastAsia="Times New Roman" w:hAnsi="Times New Roman"/>
          <w:color w:val="00B0F0"/>
          <w:sz w:val="19"/>
          <w:szCs w:val="19"/>
        </w:rPr>
        <w:t xml:space="preserve"> is invalid, or S</w:t>
      </w:r>
      <w:r>
        <w:rPr>
          <w:rFonts w:ascii="Times New Roman" w:cs="Times New Roman" w:eastAsia="Times New Roman" w:hAnsi="Times New Roman"/>
          <w:color w:val="00B0F0"/>
          <w:sz w:val="19"/>
          <w:szCs w:val="19"/>
          <w:vertAlign w:val="subscript"/>
        </w:rPr>
        <w:t xml:space="preserve">C</w:t>
      </w:r>
      <w:r>
        <w:rPr>
          <w:rFonts w:ascii="Times New Roman" w:cs="Times New Roman" w:eastAsia="Times New Roman" w:hAnsi="Times New Roman"/>
          <w:color w:val="00B0F0"/>
          <w:sz w:val="19"/>
          <w:szCs w:val="19"/>
        </w:rPr>
        <w:t xml:space="preserve"> = ∅ </w:t>
      </w:r>
      <w:r>
        <w:rPr>
          <w:rFonts w:ascii="Times New Roman" w:cs="Times New Roman" w:eastAsia="Times New Roman" w:hAnsi="Times New Roman"/>
          <w:b/>
          <w:bCs/>
          <w:color w:val="00B0F0"/>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color w:val="00B0F0"/>
          <w:sz w:val="19"/>
          <w:szCs w:val="19"/>
        </w:rPr>
        <w:t xml:space="preserve">return</w:t>
      </w:r>
      <w:r>
        <w:rPr>
          <w:rFonts w:ascii="Times New Roman" w:cs="Times New Roman" w:eastAsia="Times New Roman" w:hAnsi="Times New Roman"/>
          <w:color w:val="00B0F0"/>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color w:val="00B0F0"/>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Validate validity interval T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Validate jurisdiction L and define authorisation requirement A</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Generate consent identifier id</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color w:val="00B0F0"/>
          <w:sz w:val="19"/>
          <w:szCs w:val="19"/>
        </w:rPr>
        <w:t xml:space="preserve">Construct C = (I, A, P, T, L, E) with identifier id</w:t>
      </w:r>
      <w:r>
        <w:rPr>
          <w:rFonts w:ascii="Times New Roman" w:cs="Times New Roman" w:eastAsia="Times New Roman" w:hAnsi="Times New Roman"/>
          <w:color w:val="00B0F0"/>
          <w:sz w:val="19"/>
          <w:szCs w:val="19"/>
          <w:vertAlign w:val="subscript"/>
        </w:rPr>
        <w:t xml:space="preserve">C</w:t>
      </w:r>
      <w:r>
        <w:rPr>
          <w:rFonts w:ascii="Times New Roman" w:cs="Times New Roman" w:eastAsia="Times New Roman" w:hAnsi="Times New Roman"/>
          <w:color w:val="00B0F0"/>
          <w:sz w:val="19"/>
          <w:szCs w:val="19"/>
        </w:rPr>
        <w:t xml:space="preserve">, where I holds I</w:t>
      </w:r>
      <w:r>
        <w:rPr>
          <w:rFonts w:ascii="Times New Roman" w:cs="Times New Roman" w:eastAsia="Times New Roman" w:hAnsi="Times New Roman"/>
          <w:color w:val="00B0F0"/>
          <w:sz w:val="19"/>
          <w:szCs w:val="19"/>
          <w:vertAlign w:val="subscript"/>
        </w:rPr>
        <w:t xml:space="preserve">p</w:t>
      </w:r>
      <w:r>
        <w:rPr>
          <w:rFonts w:ascii="Times New Roman" w:cs="Times New Roman" w:eastAsia="Times New Roman" w:hAnsi="Times New Roman"/>
          <w:color w:val="00B0F0"/>
          <w:sz w:val="19"/>
          <w:szCs w:val="19"/>
        </w:rPr>
        <w:t xml:space="preserve"> and D, A holds G and the threshold N = |G|, and P holds P</w:t>
      </w:r>
      <w:r>
        <w:rPr>
          <w:rFonts w:ascii="Times New Roman" w:cs="Times New Roman" w:eastAsia="Times New Roman" w:hAnsi="Times New Roman"/>
          <w:color w:val="00B0F0"/>
          <w:sz w:val="19"/>
          <w:szCs w:val="19"/>
          <w:vertAlign w:val="subscript"/>
        </w:rPr>
        <w:t xml:space="preserve">u</w:t>
      </w:r>
      <w:r>
        <w:rPr>
          <w:rFonts w:ascii="Times New Roman" w:cs="Times New Roman" w:eastAsia="Times New Roman" w:hAnsi="Times New Roman"/>
          <w:color w:val="00B0F0"/>
          <w:sz w:val="19"/>
          <w:szCs w:val="19"/>
        </w:rPr>
        <w:t xml:space="preserve"> and S</w:t>
      </w:r>
      <w:r>
        <w:rPr>
          <w:rFonts w:ascii="Times New Roman" w:cs="Times New Roman" w:eastAsia="Times New Roman" w:hAnsi="Times New Roman"/>
          <w:color w:val="00B0F0"/>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color w:val="00B0F0"/>
          <w:sz w:val="19"/>
          <w:szCs w:val="19"/>
        </w:rPr>
        <w:t xml:space="preserve">state ← PENDING_SIGNATURE   ▷ nothing is anchored on-chain until all guardians approve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color w:val="00B0F0"/>
          <w:sz w:val="19"/>
          <w:szCs w:val="19"/>
        </w:rPr>
        <w:t xml:space="preserve">Persist 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consent creation evidence</w:t>
      </w:r>
    </w:p>
    <w:p>
      <w:pPr>
        <w:keepNext w:val="false"/>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C</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1 formalises the creation process. The algorithm does not grant data access directly. Instead, it creates a consent object that can later be evaluated by the authorisation mechanism. This distinction is important because the research treats consent as a structured policy-bound object rather than as a simple Boolean permission. The consent is placed in the PENDING_SIGNATURE state,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Heading2"/>
        <w:keepNext/>
        <w:spacing w:after="120" w:before="240"/>
      </w:pPr>
      <w:r>
        <w:rPr>
          <w:rFonts w:ascii="Times New Roman" w:cs="Times New Roman" w:eastAsia="Times New Roman" w:hAnsi="Times New Roman"/>
          <w:b/>
          <w:bCs/>
          <w:sz w:val="26"/>
          <w:szCs w:val="26"/>
        </w:rPr>
        <w:t xml:space="preserve">6.5  Realisation in the Prototype</w:t>
      </w:r>
    </w:p>
    <w:p>
      <w:pPr>
        <w:spacing w:after="110" w:line="264"/>
        <w:jc w:val="both"/>
      </w:pPr>
      <w:r>
        <w:rPr>
          <w:rFonts w:ascii="Times New Roman" w:cs="Times New Roman" w:eastAsia="Times New Roman" w:hAnsi="Times New Roman"/>
          <w:sz w:val="22"/>
          <w:szCs w:val="22"/>
        </w:rPr>
        <w:t xml:space="preserve">RO1 has been completed at the conceptual and prototype level, and the HALAH patient interface creates the consent object, assigns the identifier, and records the creation event in the audit layer. The main contribution of RO1 is the transformation of consent from a static permission record into a structured authorisation object. The current result demonstrates that consent can be represented as an evaluable authorisation object rather than as a binary permission. In the current prototype, the identity validation of the first three steps is structural. In particular, the patient DID is selected from the loaded record set, and each guardian DID must be a well-formed DID before the consent is stored, whereas the doctor DID is checked for DID format only when the access decision is evaluated, as qualified in Section 7. The validation evidence for consent creation, including the demonstration scenarios and the unit-level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7.  The Proposed Solution for RO2</w:t>
      </w:r>
    </w:p>
    <w:p>
      <w:pPr>
        <w:spacing w:after="140" w:before="0"/>
      </w:pPr>
      <w:r>
        <w:rPr>
          <w:rFonts w:ascii="Times New Roman" w:cs="Times New Roman" w:eastAsia="Times New Roman" w:hAnsi="Times New Roman"/>
          <w:b/>
          <w:bCs/>
          <w:i/>
          <w:iCs/>
          <w:sz w:val="26"/>
          <w:szCs w:val="26"/>
        </w:rPr>
        <w:t xml:space="preserve">RO2 – Decentralised Identity and Authority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7.1  Overview of Decentralised Identity and Authority Trust</w:t>
      </w:r>
    </w:p>
    <w:p>
      <w:pPr>
        <w:spacing w:after="110" w:line="264"/>
        <w:jc w:val="both"/>
      </w:pPr>
      <w:r>
        <w:rPr>
          <w:rFonts w:ascii="Times New Roman" w:cs="Times New Roman" w:eastAsia="Times New Roman" w:hAnsi="Times New Roman"/>
          <w:sz w:val="22"/>
          <w:szCs w:val="22"/>
        </w:rPr>
        <w:t xml:space="preserve">RO2 addresses RQ2 by developing a decentralised identity and authority verification mechanism using Decentralised Identifiers and Verifiable Credentials. The objective is to establish trustworthy participants while separating identity authentication from authorisation authority. RO2 provides the trust inputs required by the subsequent multi-party authorisation process. The objective is based on the principle that successful identity verification does not automatically imply permission to access healthcare data. The central principle of RO2 is Equation (6).</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Identity ≠ Authorisation.</w:t>
      </w:r>
      <w:r>
        <w:rPr>
          <w:rFonts w:ascii="Times New Roman" w:cs="Times New Roman" w:eastAsia="Times New Roman" w:hAnsi="Times New Roman"/>
          <w:sz w:val="22"/>
          <w:szCs w:val="22"/>
        </w:rPr>
        <w:t xml:space="preserve">	(6)</w:t>
      </w:r>
    </w:p>
    <w:p>
      <w:pPr>
        <w:spacing w:after="110" w:line="264"/>
        <w:jc w:val="both"/>
      </w:pPr>
      <w:r>
        <w:rPr>
          <w:rFonts w:ascii="Times New Roman" w:cs="Times New Roman" w:eastAsia="Times New Roman" w:hAnsi="Times New Roman"/>
          <w:sz w:val="22"/>
          <w:szCs w:val="22"/>
        </w:rPr>
        <w:t xml:space="preserve">A valid DID provides an identity reference, while a valid VC provides evidence associated with a participant's role, authority, or other relevant attribute [16]. Neither mechanism should automatically grant access to patient data. Instead, the verified identity and authority information become inputs to the subsequent authorisation process. The identity and authority verification condition can be expressed as Equation (7), where u is the requesting participant and Authority(u, C) establishes whether the verified authority matches the role required by the consent. The DID verification process establishes whether the identity reference is valid. The VC verification process establishes whether the participant possesses valid authority evidence. The final authorisation decision remains dependent on the consent requirements and access policy.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color w:val="00B0F0"/>
          <w:sz w:val="21"/>
          <w:szCs w:val="21"/>
        </w:rPr>
        <w:t xml:space="preserve">V</w:t>
      </w:r>
      <w:r>
        <w:rPr>
          <w:rFonts w:ascii="Cambria Math" w:cs="Cambria Math" w:eastAsia="Cambria Math" w:hAnsi="Cambria Math"/>
          <w:i w:val="false"/>
          <w:iCs w:val="false"/>
          <w:color w:val="00B0F0"/>
          <w:sz w:val="21"/>
          <w:szCs w:val="21"/>
          <w:vertAlign w:val="subscript"/>
        </w:rPr>
        <w:t xml:space="preserve">I</w:t>
      </w:r>
      <w:r>
        <w:rPr>
          <w:rFonts w:ascii="Cambria Math" w:cs="Cambria Math" w:eastAsia="Cambria Math" w:hAnsi="Cambria Math"/>
          <w:i w:val="false"/>
          <w:iCs w:val="false"/>
          <w:color w:val="00B0F0"/>
          <w:sz w:val="21"/>
          <w:szCs w:val="21"/>
        </w:rPr>
        <w:t xml:space="preserve">(u) = VerifyDID(u) ∧ VerifyVC(u) ∧ Authority(u, C).</w:t>
      </w:r>
      <w:r>
        <w:rPr>
          <w:rFonts w:ascii="Times New Roman" w:cs="Times New Roman" w:eastAsia="Times New Roman" w:hAnsi="Times New Roman"/>
          <w:sz w:val="22"/>
          <w:szCs w:val="22"/>
        </w:rPr>
        <w:t xml:space="preserve">	(7)</w:t>
      </w:r>
    </w:p>
    <w:p>
      <w:pPr>
        <w:pStyle w:val="Heading2"/>
        <w:keepNext/>
        <w:spacing w:after="120" w:before="240"/>
      </w:pPr>
      <w:r>
        <w:rPr>
          <w:rFonts w:ascii="Times New Roman" w:cs="Times New Roman" w:eastAsia="Times New Roman" w:hAnsi="Times New Roman"/>
          <w:b/>
          <w:bCs/>
          <w:sz w:val="26"/>
          <w:szCs w:val="26"/>
        </w:rPr>
        <w:t xml:space="preserve">7.2  Identity and Authority Verification Workflow</w:t>
      </w:r>
    </w:p>
    <w:p>
      <w:pPr>
        <w:spacing w:after="110" w:line="264"/>
        <w:jc w:val="both"/>
      </w:pPr>
      <w:r>
        <w:rPr>
          <w:rFonts w:ascii="Times New Roman" w:cs="Times New Roman" w:eastAsia="Times New Roman" w:hAnsi="Times New Roman"/>
          <w:sz w:val="22"/>
          <w:szCs w:val="22"/>
        </w:rP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As shown in Figure 9, the output of RO2 is not an access-grant decision. It is a verified identity and authority result that can be consumed by RO3 and RO4. This separation prevents a participant from obtaining access merely by presenting a valid identity credential.</w:t>
      </w:r>
    </w:p>
    <w:p>
      <w:pPr>
        <w:keepNext/>
        <w:spacing w:after="60" w:before="160"/>
        <w:jc w:val="center"/>
      </w:pPr>
      <w:r>
        <w:drawing>
          <wp:inline distT="0" distB="0" distL="0" distR="0">
            <wp:extent cx="2876550" cy="4286250"/>
            <wp:effectExtent t="0" r="0" b="0" l="0"/>
            <wp:docPr id="1" name="F12.png" descr="RO2 workflow for decentralised identity and authority verification (target design; the current prototype performs a DID-format check and EIP-712 signature recovery)" title="RO2 workflow for decentralised identity and authority verification (target design; the current prototype performs a DID-format check and EIP-712 signature reco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765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9: </w:t>
      </w:r>
      <w:r>
        <w:rPr>
          <w:rFonts w:ascii="Times New Roman" w:cs="Times New Roman" w:eastAsia="Times New Roman" w:hAnsi="Times New Roman"/>
          <w:color w:val="00B0F0"/>
          <w:sz w:val="18"/>
          <w:szCs w:val="18"/>
        </w:rPr>
        <w:t xml:space="preserve">RO2 workflow for decentralised identity and authority verification (target design</w:t>
      </w:r>
      <w:r>
        <w:rPr>
          <w:rFonts w:ascii="Times New Roman" w:cs="Times New Roman" w:eastAsia="Times New Roman" w:hAnsi="Times New Roman"/>
          <w:color w:val="00B0F0"/>
          <w:sz w:val="18"/>
          <w:szCs w:val="18"/>
        </w:rPr>
        <w:t xml:space="preserve">;</w:t>
      </w:r>
      <w:r>
        <w:rPr>
          <w:rFonts w:ascii="Times New Roman" w:cs="Times New Roman" w:eastAsia="Times New Roman" w:hAnsi="Times New Roman"/>
          <w:color w:val="00B0F0"/>
          <w:sz w:val="18"/>
          <w:szCs w:val="18"/>
        </w:rPr>
        <w:t xml:space="preserve"> the current prototype performs a DID-format check and EIP-712 signature recovery)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7.3  Verification Model and Algorithm</w:t>
      </w:r>
    </w:p>
    <w:p>
      <w:pPr>
        <w:spacing w:after="110" w:line="264"/>
        <w:jc w:val="both"/>
      </w:pPr>
      <w:r>
        <w:rPr>
          <w:rFonts w:ascii="Times New Roman" w:cs="Times New Roman" w:eastAsia="Times New Roman" w:hAnsi="Times New Roman"/>
          <w:sz w:val="22"/>
          <w:szCs w:val="22"/>
        </w:rPr>
        <w:t xml:space="preserve">The procedure establishes a verifiable relationship between the participant u, the identity information represented by the DID, the attributes contained in the associated VC, and the authority requirements specified by the consent object C. The system first resolves the decentralised identifier (DID) associated with participant u. The system verifies the DID document and whether the relevant cryptographic information, such as verification methods and public keys, can be trusted. The VC provides machine-verifiable claims, such as professional role, organisational affiliation, or delegated authority. In the target design, the credential can be considered valid only when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Sig</w:t>
      </w:r>
      <w:r>
        <w:rPr>
          <w:rFonts w:ascii="Times New Roman" w:cs="Times New Roman" w:eastAsia="Times New Roman" w:hAnsi="Times New Roman"/>
          <w:sz w:val="22"/>
          <w:szCs w:val="22"/>
          <w:vertAlign w:val="subscript"/>
        </w:rPr>
        <w:t xml:space="preserve">VC</w:t>
      </w:r>
      <w:r>
        <w:rPr>
          <w:rFonts w:ascii="Times New Roman" w:cs="Times New Roman" w:eastAsia="Times New Roman" w:hAnsi="Times New Roman"/>
          <w:sz w:val="22"/>
          <w:szCs w:val="22"/>
        </w:rPr>
        <w:t xml:space="preserve"> ∧ Issuer</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Subject</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Time</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 system determines whether the credential was issued by an acceptable issuer, whether it refers to the current participant, whether its signature is valid, and whether the credential remains within its validity period. If any of these conditions fails, the verification process returns INVALID.</w:t>
      </w:r>
    </w:p>
    <w:p>
      <w:pPr>
        <w:spacing w:after="110" w:line="264"/>
        <w:jc w:val="both"/>
      </w:pPr>
      <w:r>
        <w:rPr>
          <w:rFonts w:ascii="Times New Roman" w:cs="Times New Roman" w:eastAsia="Times New Roman" w:hAnsi="Times New Roman"/>
          <w:sz w:val="22"/>
          <w:szCs w:val="22"/>
        </w:rPr>
        <w:t xml:space="preserve">The system extracts the relevant role and authority claims associated with participant u. These claims may identify a doctor, guardian, researcher, auditor, or another authorised participant. The extracted claims are compared against the authorisation requirements specified in the consent object C. The authority verification condition can therefore be represented as Authority(u, C) = Claims(u) ⊨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where Claims(u) denotes the verified claims, and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denotes the authority requirements defined by consent object C. The purpose of this comparison is to ensure that possession of a valid identity or credential is not automatically interpreted as permission to access healthcare information. The system establishes the binding between the verified participant identity and the corresponding authority, thereby reducing the possibility of an unrelated credential being used to obtain access. Consequently, the procedure can be interpreted as a </w:t>
      </w:r>
      <w:r>
        <w:rPr>
          <w:rFonts w:ascii="Times New Roman" w:cs="Times New Roman" w:eastAsia="Times New Roman" w:hAnsi="Times New Roman"/>
          <w:color w:val="00B0F0"/>
          <w:sz w:val="22"/>
          <w:szCs w:val="22"/>
        </w:rPr>
        <w:t xml:space="preserve">two-layer verification mechanism, VerifyDID(u) ∧ VerifyVC(u) ∧ Authority(u, C) ⇒ V</w:t>
      </w:r>
      <w:r>
        <w:rPr>
          <w:rFonts w:ascii="Times New Roman" w:cs="Times New Roman" w:eastAsia="Times New Roman" w:hAnsi="Times New Roman"/>
          <w:color w:val="00B0F0"/>
          <w:sz w:val="22"/>
          <w:szCs w:val="22"/>
          <w:vertAlign w:val="subscript"/>
        </w:rPr>
        <w:t xml:space="preserve">I</w:t>
      </w:r>
      <w:r>
        <w:rPr>
          <w:rFonts w:ascii="Times New Roman" w:cs="Times New Roman" w:eastAsia="Times New Roman" w:hAnsi="Times New Roman"/>
          <w:color w:val="00B0F0"/>
          <w:sz w:val="22"/>
          <w:szCs w:val="22"/>
        </w:rPr>
        <w:t xml:space="preserve">(u) = 1, where VALID corresponds to V</w:t>
      </w:r>
      <w:r>
        <w:rPr>
          <w:rFonts w:ascii="Times New Roman" w:cs="Times New Roman" w:eastAsia="Times New Roman" w:hAnsi="Times New Roman"/>
          <w:color w:val="00B0F0"/>
          <w:sz w:val="22"/>
          <w:szCs w:val="22"/>
          <w:vertAlign w:val="subscript"/>
        </w:rPr>
        <w:t xml:space="preserve">I</w:t>
      </w:r>
      <w:r>
        <w:rPr>
          <w:rFonts w:ascii="Times New Roman" w:cs="Times New Roman" w:eastAsia="Times New Roman" w:hAnsi="Times New Roman"/>
          <w:color w:val="00B0F0"/>
          <w:sz w:val="22"/>
          <w:szCs w:val="22"/>
        </w:rPr>
        <w:t xml:space="preserve">(u) = 1 and INVALID to V</w:t>
      </w:r>
      <w:r>
        <w:rPr>
          <w:rFonts w:ascii="Times New Roman" w:cs="Times New Roman" w:eastAsia="Times New Roman" w:hAnsi="Times New Roman"/>
          <w:color w:val="00B0F0"/>
          <w:sz w:val="22"/>
          <w:szCs w:val="22"/>
          <w:vertAlign w:val="subscript"/>
        </w:rPr>
        <w:t xml:space="preserve">I</w:t>
      </w:r>
      <w:r>
        <w:rPr>
          <w:rFonts w:ascii="Times New Roman" w:cs="Times New Roman" w:eastAsia="Times New Roman" w:hAnsi="Times New Roman"/>
          <w:color w:val="00B0F0"/>
          <w:sz w:val="22"/>
          <w:szCs w:val="22"/>
        </w:rPr>
        <w:t xml:space="preserve">(u) = 0.</w:t>
      </w:r>
      <w:r>
        <w:rPr>
          <w:rFonts w:ascii="Times New Roman" w:cs="Times New Roman" w:eastAsia="Times New Roman" w:hAnsi="Times New Roman"/>
          <w:sz w:val="22"/>
          <w:szCs w:val="22"/>
        </w:rPr>
        <w:t xml:space="preserve"> A participant is not considered valid merely because a DID can be resolved or because a VC has a valid cryptographic signature. The overall verification process can therefore be represented as DID</w:t>
      </w:r>
      <w:r>
        <w:rPr>
          <w:rFonts w:ascii="Times New Roman" w:cs="Times New Roman" w:eastAsia="Times New Roman" w:hAnsi="Times New Roman"/>
          <w:sz w:val="22"/>
          <w:szCs w:val="22"/>
          <w:vertAlign w:val="subscript"/>
        </w:rPr>
        <w:t xml:space="preserve">resolve</w:t>
      </w:r>
      <w:r>
        <w:rPr>
          <w:rFonts w:ascii="Times New Roman" w:cs="Times New Roman" w:eastAsia="Times New Roman" w:hAnsi="Times New Roman"/>
          <w:sz w:val="22"/>
          <w:szCs w:val="22"/>
        </w:rPr>
        <w:t xml:space="preserve"> → DID</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retrieve</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Claims</w:t>
      </w:r>
      <w:r>
        <w:rPr>
          <w:rFonts w:ascii="Times New Roman" w:cs="Times New Roman" w:eastAsia="Times New Roman" w:hAnsi="Times New Roman"/>
          <w:sz w:val="22"/>
          <w:szCs w:val="22"/>
          <w:vertAlign w:val="subscript"/>
        </w:rPr>
        <w:t xml:space="preserve">extract</w:t>
      </w:r>
      <w:r>
        <w:rPr>
          <w:rFonts w:ascii="Times New Roman" w:cs="Times New Roman" w:eastAsia="Times New Roman" w:hAnsi="Times New Roman"/>
          <w:sz w:val="22"/>
          <w:szCs w:val="22"/>
        </w:rPr>
        <w:t xml:space="preserve"> → Authority</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Evidence</w:t>
      </w:r>
      <w:r>
        <w:rPr>
          <w:rFonts w:ascii="Times New Roman" w:cs="Times New Roman" w:eastAsia="Times New Roman" w:hAnsi="Times New Roman"/>
          <w:sz w:val="22"/>
          <w:szCs w:val="22"/>
          <w:vertAlign w:val="subscript"/>
        </w:rPr>
        <w:t xml:space="preserve">record</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w:t>
      </w:r>
    </w:p>
    <w:p>
      <w:pPr>
        <w:spacing w:after="110" w:line="264"/>
        <w:jc w:val="both"/>
      </w:pPr>
      <w:r>
        <w:rPr>
          <w:rFonts w:ascii="Times New Roman" w:cs="Times New Roman" w:eastAsia="Times New Roman" w:hAnsi="Times New Roman"/>
          <w:sz w:val="22"/>
          <w:szCs w:val="22"/>
        </w:rPr>
        <w:t xml:space="preserve">Algorithm 2 formalises the procedure. If DID resolution, DID verification, VC retrieval, VC verification, and authority validation are all successfully completed, the system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 Otherwise, the procedure terminates at the first failed mandatory verification condition and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INVALID. The system records the evidence. The evidence may include the resolved DID, verification status, credential identifier, issuer information, relevant authority claims, and verification timestamp. This evidence provides an auditable basis for subsequent access-authorisation decisions.</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2 </w:t>
      </w:r>
      <w:r>
        <w:rPr>
          <w:rFonts w:ascii="Times New Roman" w:cs="Times New Roman" w:eastAsia="Times New Roman" w:hAnsi="Times New Roman"/>
          <w:sz w:val="19"/>
          <w:szCs w:val="19"/>
        </w:rPr>
        <w:t xml:space="preserve">DID and VC Identity and Authority Verification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Participant u, consent object C</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color w:val="00B0F0"/>
          <w:sz w:val="19"/>
          <w:szCs w:val="19"/>
        </w:rPr>
        <w:t xml:space="preserve">Verification result V</w:t>
      </w:r>
      <w:r>
        <w:rPr>
          <w:rFonts w:ascii="Times New Roman" w:cs="Times New Roman" w:eastAsia="Times New Roman" w:hAnsi="Times New Roman"/>
          <w:color w:val="00B0F0"/>
          <w:sz w:val="19"/>
          <w:szCs w:val="19"/>
          <w:vertAlign w:val="subscript"/>
        </w:rPr>
        <w:t xml:space="preserve">I</w:t>
      </w:r>
      <w:r>
        <w:rPr>
          <w:rFonts w:ascii="Times New Roman" w:cs="Times New Roman" w:eastAsia="Times New Roman" w:hAnsi="Times New Roman"/>
          <w:color w:val="00B0F0"/>
          <w:sz w:val="19"/>
          <w:szCs w:val="19"/>
        </w:rPr>
        <w:t xml:space="preserve">(u) ∈ {VALID, INVALID}, where VALID corresponds to V</w:t>
      </w:r>
      <w:r>
        <w:rPr>
          <w:rFonts w:ascii="Times New Roman" w:cs="Times New Roman" w:eastAsia="Times New Roman" w:hAnsi="Times New Roman"/>
          <w:color w:val="00B0F0"/>
          <w:sz w:val="19"/>
          <w:szCs w:val="19"/>
          <w:vertAlign w:val="subscript"/>
        </w:rPr>
        <w:t xml:space="preserve">I</w:t>
      </w:r>
      <w:r>
        <w:rPr>
          <w:rFonts w:ascii="Times New Roman" w:cs="Times New Roman" w:eastAsia="Times New Roman" w:hAnsi="Times New Roman"/>
          <w:color w:val="00B0F0"/>
          <w:sz w:val="19"/>
          <w:szCs w:val="19"/>
        </w:rPr>
        <w:t xml:space="preserve">(u) = 1</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Resolve DID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resolution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Verify DID document and associated identity information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Retrieve VC associated with u</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retrieval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Verify VC signature, issuer, subject, and validity</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Extract role and authority claims from VC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claims do not satisfy the authority requirements of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identity and authority verification evidence</w:t>
      </w:r>
    </w:p>
    <w:p>
      <w:pPr>
        <w:keepNext w:val="false"/>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VALID</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This mechanism contributes to the trust-oriented framework by converting identity and authority claims into verifiable evidence. However, it does not independently establish collective consent or policy compliance. Those conditions are evaluated by RO3 and RO4 (Sections 8 and 9).</w:t>
      </w:r>
    </w:p>
    <w:p>
      <w:pPr>
        <w:pStyle w:val="Heading2"/>
        <w:keepNext/>
        <w:spacing w:after="120" w:before="240"/>
      </w:pPr>
      <w:r>
        <w:rPr>
          <w:rFonts w:ascii="Times New Roman" w:cs="Times New Roman" w:eastAsia="Times New Roman" w:hAnsi="Times New Roman"/>
          <w:b/>
          <w:bCs/>
          <w:sz w:val="26"/>
          <w:szCs w:val="26"/>
        </w:rPr>
        <w:t xml:space="preserve">7.4  Realisation in the Prototype</w:t>
      </w:r>
    </w:p>
    <w:p>
      <w:pPr>
        <w:spacing w:after="110" w:line="264"/>
        <w:jc w:val="both"/>
      </w:pPr>
      <w:r>
        <w:rPr>
          <w:rFonts w:ascii="Times New Roman" w:cs="Times New Roman" w:eastAsia="Times New Roman" w:hAnsi="Times New Roman"/>
          <w:sz w:val="22"/>
          <w:szCs w:val="22"/>
        </w:rPr>
        <w:t xml:space="preserve">RO2 has been completed at the conceptual and prototype level. The current implementation demonstrates the separation between participant identity and authorisation authority. A valid healthcare participant identity can be verified independently from the question of whether that participant is authorised to access a particular patient's data.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in the current prototype combines a structural DID and credential-format check with EIP-712 verification of the signature of each listed guardian, and its outcome is recorded in the audit ledger. The condition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therefore defines the target verification model rather than the behaviour presently exercised by the demonstration. The doctor is not independently authenticated at consent creation, because the doctor DID is checked for DID format only when the access decision is evaluated. Cryptographic DID resolution against a registry, cryptographic validation of verifiable credentials, and authentication of the requester are acknowledged limitations reserved for the next stage. The validation evidence for RO2, including the scenarios and the unit-level adversarial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8.  The Proposed Solution for RO3</w:t>
      </w:r>
    </w:p>
    <w:p>
      <w:pPr>
        <w:spacing w:after="140" w:before="0"/>
      </w:pPr>
      <w:r>
        <w:rPr>
          <w:rFonts w:ascii="Times New Roman" w:cs="Times New Roman" w:eastAsia="Times New Roman" w:hAnsi="Times New Roman"/>
          <w:b/>
          <w:bCs/>
          <w:i/>
          <w:iCs/>
          <w:sz w:val="26"/>
          <w:szCs w:val="26"/>
        </w:rPr>
        <w:t xml:space="preserve">RO3 – Trustworthy Multi-Party Authorisation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RO3 directly addresses RQ3 and extends the consent model from an individual permission statement to a collective authorisation decision. RO3 introduces threshold-based multi-party authorisation for consent approval to prevent a single participant from unilaterally establishing sensitive healthcare data access when the consent requires several independently verified parties.</w:t>
      </w:r>
    </w:p>
    <w:p>
      <w:pPr>
        <w:pStyle w:val="Heading2"/>
        <w:keepNext/>
        <w:spacing w:after="120" w:before="240"/>
      </w:pPr>
      <w:r>
        <w:rPr>
          <w:rFonts w:ascii="Times New Roman" w:cs="Times New Roman" w:eastAsia="Times New Roman" w:hAnsi="Times New Roman"/>
          <w:b/>
          <w:bCs/>
          <w:sz w:val="26"/>
          <w:szCs w:val="26"/>
        </w:rPr>
        <w:t xml:space="preserve">8.1  Threshold Condition</w:t>
      </w:r>
    </w:p>
    <w:p>
      <w:pPr>
        <w:spacing w:after="110" w:line="264"/>
        <w:jc w:val="both"/>
      </w:pPr>
      <w:r>
        <w:rPr>
          <w:rFonts w:ascii="Times New Roman" w:cs="Times New Roman" w:eastAsia="Times New Roman" w:hAnsi="Times New Roman"/>
          <w:sz w:val="22"/>
          <w:szCs w:val="22"/>
        </w:rPr>
        <w:t xml:space="preserve">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represent the set of independently verified authorisation participants and N represent the required approval threshold. The authorisation condition can then be represented as Equation (8), where Token(C) and Revoked(C) are defined as in Section 5.3.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(8)</w:t>
      </w:r>
    </w:p>
    <w:p>
      <w:pPr>
        <w:spacing w:after="110" w:line="264"/>
        <w:jc w:val="both"/>
      </w:pPr>
      <w:r>
        <w:rPr>
          <w:rFonts w:ascii="Times New Roman" w:cs="Times New Roman" w:eastAsia="Times New Roman" w:hAnsi="Times New Roman"/>
          <w:sz w:val="22"/>
          <w:szCs w:val="22"/>
        </w:rPr>
        <w:t xml:space="preserve">This mechanism allows the framework to distinguish between insufficient and sufficient collective authorisation. For example, a consent may require two valid guardian approvals. In this case, one valid approval is insufficient, whereas two valid approvals satisfy the threshold. Decentralised identity systems with multi-party verification have demonstrated the potential to strengthen the process through which identity claims are established or validated [40, 41]. 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pPr>
        <w:spacing w:after="110" w:line="264"/>
        <w:jc w:val="both"/>
      </w:pPr>
      <w:r>
        <w:rPr>
          <w:rFonts w:ascii="Times New Roman" w:cs="Times New Roman" w:eastAsia="Times New Roman" w:hAnsi="Times New Roman"/>
          <w:sz w:val="22"/>
          <w:szCs w:val="22"/>
        </w:rPr>
        <w:t xml:space="preserve">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 A configurable k-of-n threshold is a direct generalisation of the implemented mechanism and is therefore left to future work.</w:t>
      </w:r>
    </w:p>
    <w:p>
      <w:pPr>
        <w:pStyle w:val="Heading2"/>
        <w:keepNext/>
        <w:spacing w:after="120" w:before="240"/>
      </w:pPr>
      <w:r>
        <w:rPr>
          <w:rFonts w:ascii="Times New Roman" w:cs="Times New Roman" w:eastAsia="Times New Roman" w:hAnsi="Times New Roman"/>
          <w:b/>
          <w:bCs/>
          <w:sz w:val="26"/>
          <w:szCs w:val="26"/>
        </w:rPr>
        <w:t xml:space="preserve">8.2  Multi-Party Authorisation Workflow</w:t>
      </w:r>
    </w:p>
    <w:p>
      <w:pPr>
        <w:spacing w:after="110" w:line="264"/>
        <w:jc w:val="both"/>
      </w:pPr>
      <w:r>
        <w:rPr>
          <w:rFonts w:ascii="Times New Roman" w:cs="Times New Roman" w:eastAsia="Times New Roman" w:hAnsi="Times New Roman"/>
          <w:sz w:val="22"/>
          <w:szCs w:val="22"/>
        </w:rPr>
        <w:t xml:space="preserve">The workflow first identifies the participants required by the consent. Each participant must submit an approval that can be independently verified. Invalid approvals are rejected and must not contribute to the threshold count. The authorisation becomes active only when the number of valid approvals reaches the required threshold. In the HALAH implementation, as shown in Figure 10, the Guardian workflow verifies the guardian VC, appends the guardian DID to the consent signatures, and displays the current approval count relative to the threshold. The code therefore demonstrates the separation between participant identity verification and the subsequent authorisation operation. When the threshold is reached, the implementation assigns an SBT identifier and records the corresponding minting event.</w:t>
      </w:r>
    </w:p>
    <w:p>
      <w:pPr>
        <w:keepNext/>
        <w:spacing w:after="60" w:before="160"/>
        <w:jc w:val="center"/>
      </w:pPr>
      <w:r>
        <w:drawing>
          <wp:inline distT="0" distB="0" distL="0" distR="0">
            <wp:extent cx="2790825" cy="4286250"/>
            <wp:effectExtent t="0" r="0" b="0" l="0"/>
            <wp:docPr id="1" name="F13.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7908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 </w:t>
      </w:r>
      <w:r>
        <w:rPr>
          <w:rFonts w:ascii="Times New Roman" w:cs="Times New Roman" w:eastAsia="Times New Roman" w:hAnsi="Times New Roman"/>
          <w:color w:val="00B0F0"/>
          <w:sz w:val="18"/>
          <w:szCs w:val="18"/>
        </w:rPr>
        <w:t xml:space="preserve">RO3 workflow for threshold-based multi-party authorisation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SBT should be interpreted as an activation mechanism for the consent state rather than as the fundamental source of trust. The trust decision is established by the verification of participants and the satisfaction of the authorisation threshold. The blockchain layer provides persistence, traceability, and evidence of the resulting state.</w:t>
      </w:r>
    </w:p>
    <w:p>
      <w:pPr>
        <w:spacing w:after="110" w:line="264"/>
        <w:jc w:val="both"/>
      </w:pPr>
      <w:r>
        <w:rPr>
          <w:rFonts w:ascii="Times New Roman" w:cs="Times New Roman" w:eastAsia="Times New Roman" w:hAnsi="Times New Roman"/>
          <w:sz w:val="22"/>
          <w:szCs w:val="22"/>
        </w:rPr>
        <w:t xml:space="preserve">In the HALAH implementation, guardian authority is evidenced by an EIP-712 typed-data signature bound to the consent identifier, the guardian DID, and the Sepolia chain identifier, and verified through off-chain signer recovery. The preceding VC verification is presently a DID-format check, and the signing keys are derived deterministically from the guardian DIDs rather than held in wallets, which is a limitation of the prototype. At access time, the recovery is repeated for every recorded signature within the identity predicate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then counts only the distinct approvals of the members of G against N, and it checks the token identifier and the revocation flag.</w:t>
      </w:r>
    </w:p>
    <w:p>
      <w:pPr>
        <w:pStyle w:val="Heading2"/>
        <w:keepNext/>
        <w:spacing w:after="120" w:before="240"/>
      </w:pPr>
      <w:r>
        <w:rPr>
          <w:rFonts w:ascii="Times New Roman" w:cs="Times New Roman" w:eastAsia="Times New Roman" w:hAnsi="Times New Roman"/>
          <w:b/>
          <w:bCs/>
          <w:sz w:val="26"/>
          <w:szCs w:val="26"/>
        </w:rPr>
        <w:t xml:space="preserve">8.3  Procedure for Threshold-Based Multi-Party Authorisation</w:t>
      </w:r>
    </w:p>
    <w:p>
      <w:pPr>
        <w:spacing w:after="110" w:line="264"/>
        <w:jc w:val="both"/>
      </w:pPr>
      <w:r>
        <w:rPr>
          <w:rFonts w:ascii="Times New Roman" w:cs="Times New Roman" w:eastAsia="Times New Roman" w:hAnsi="Times New Roman"/>
          <w:sz w:val="22"/>
          <w:szCs w:val="22"/>
        </w:rPr>
        <w:t xml:space="preserve">The procedure determines whether a consent-defined authorisation requirement has received sufficient valid approvals from the designated participants. The system first retrieves the required participant set G associated with the consent object C.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The approval a is not considered valid until the identity and authority of the submitting participant have been verified. The verification process may invoke the DID and VC verification procedure described in Algorithm 2. If the verification fails, the approval is classified as invalid. The system records the invalid approval event and returns DENY for that approval attempt.</w:t>
      </w:r>
    </w:p>
    <w:p>
      <w:pPr>
        <w:spacing w:after="110" w:line="264"/>
        <w:jc w:val="both"/>
      </w:pPr>
      <w:r>
        <w:rPr>
          <w:rFonts w:ascii="Times New Roman" w:cs="Times New Roman" w:eastAsia="Times New Roman" w:hAnsi="Times New Roman"/>
          <w:sz w:val="22"/>
          <w:szCs w:val="22"/>
        </w:rPr>
        <w:t xml:space="preserve">The system then determines whether the participant </w:t>
      </w:r>
      <w:r>
        <w:rPr>
          <w:rFonts w:ascii="Times New Roman" w:cs="Times New Roman" w:eastAsia="Times New Roman" w:hAnsi="Times New Roman"/>
          <w:color w:val="00B0F0"/>
          <w:sz w:val="22"/>
          <w:szCs w:val="22"/>
        </w:rPr>
        <w:t xml:space="preserve">belongs to the required participant set G (g ∈ G).</w:t>
      </w:r>
      <w:r>
        <w:rPr>
          <w:rFonts w:ascii="Times New Roman" w:cs="Times New Roman" w:eastAsia="Times New Roman" w:hAnsi="Times New Roman"/>
          <w:sz w:val="22"/>
          <w:szCs w:val="22"/>
        </w:rPr>
        <w:t xml:space="preserve"> If the participant is not a member of G, the system records the event as an unauthorised approval attempt and returns DENY. The system checks whether the participant has already approved consent object C. This prevents a single participant from submitting multiple approvals and artificially satisfying the threshold. Only approvals that have passed identity, authority, membership, and duplicate checks are included in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according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p>
    <w:p>
      <w:pPr>
        <w:spacing w:after="110" w:line="264"/>
        <w:jc w:val="both"/>
      </w:pPr>
      <w:r>
        <w:rPr>
          <w:rFonts w:ascii="Times New Roman" w:cs="Times New Roman" w:eastAsia="Times New Roman" w:hAnsi="Times New Roman"/>
          <w:sz w:val="22"/>
          <w:szCs w:val="22"/>
        </w:rPr>
        <w:t xml:space="preserve">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N, the required threshold has been satisfied. The system activates the authorisation associated with consent object C. Following successful threshold satisfaction, the system generates activation or token evidence associated with the authorisation decision. The evidence may include the consent identifier, threshold value N, identities of the approving participants, and approval timestamps. The system records a threshold-satisfied event. 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&lt; N, the system maintains the consent in a PENDING state and records a threshold-pending event so that the remaining approval requirement can be reconstructed during subsequent verification or audit. The overall procedure can therefore be represented as Equation (9).</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G → N → a → Identity/Authority → Eligibility → Duplicate Check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N → { ACTIVATED, PENDING }</w:t>
      </w:r>
      <w:r>
        <w:rPr>
          <w:rFonts w:ascii="Times New Roman" w:cs="Times New Roman" w:eastAsia="Times New Roman" w:hAnsi="Times New Roman"/>
          <w:sz w:val="22"/>
          <w:szCs w:val="22"/>
        </w:rPr>
        <w:t xml:space="preserve">	(9)</w:t>
      </w:r>
    </w:p>
    <w:p>
      <w:pPr>
        <w:spacing w:after="110" w:line="264"/>
        <w:jc w:val="both"/>
      </w:pPr>
      <w:r>
        <w:rPr>
          <w:rFonts w:ascii="Times New Roman" w:cs="Times New Roman" w:eastAsia="Times New Roman" w:hAnsi="Times New Roman"/>
          <w:sz w:val="22"/>
          <w:szCs w:val="22"/>
        </w:rPr>
        <w:t xml:space="preserve">The threshold is not calculated from the number of submitted approvals alone. Instead, only valid, authorised, eligible, and non-duplicate approvals contribute to the threshold. Consequently, an arbitrary number of unverified or unauthorised approvals cannot satisfy the multi-party authorisation requirement. An individual approval represents one participant’s contribution to the decision, whereas authorisation is activated only when the collective evidence satisfies the predefined threshold. From a trust perspective, the procedure can therefore be interpreted as Equation (10).</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Individual Trust Evidence → Collective Approval Evidence → Threshold Satisfaction → Authorisation Activation</w:t>
      </w:r>
      <w:r>
        <w:rPr>
          <w:rFonts w:ascii="Times New Roman" w:cs="Times New Roman" w:eastAsia="Times New Roman" w:hAnsi="Times New Roman"/>
          <w:sz w:val="22"/>
          <w:szCs w:val="22"/>
        </w:rPr>
        <w:t xml:space="preserve">	(10)</w:t>
      </w:r>
    </w:p>
    <w:p>
      <w:pPr>
        <w:spacing w:after="110" w:line="264"/>
        <w:jc w:val="both"/>
      </w:pPr>
      <w:r>
        <w:rPr>
          <w:rFonts w:ascii="Times New Roman" w:cs="Times New Roman" w:eastAsia="Times New Roman" w:hAnsi="Times New Roman"/>
          <w:sz w:val="22"/>
          <w:szCs w:val="22"/>
        </w:rPr>
        <w:t xml:space="preserve">Algorithm 3 explicitly distinguishes between invalid, duplicate, and valid approvals. This distinction is important because simply counting submitted signatures could incorrectly treat unauthorised or repeated approvals as independent evidence.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3 </w:t>
      </w:r>
      <w:r>
        <w:rPr>
          <w:rFonts w:ascii="Times New Roman" w:cs="Times New Roman" w:eastAsia="Times New Roman" w:hAnsi="Times New Roman"/>
          <w:sz w:val="19"/>
          <w:szCs w:val="19"/>
        </w:rPr>
        <w:t xml:space="preserve">Threshold-Based Multi-Party Authorisation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interval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jurisdiction L, patient and requester addresses 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EIP-712 domain</w:t>
      </w:r>
      <w:r>
        <w:rPr>
          <w:rFonts w:ascii="Times New Roman" w:cs="Times New Roman" w:eastAsia="Times New Roman" w:hAnsi="Times New Roman"/>
          <w:color w:val="00B0F0"/>
          <w:sz w:val="19"/>
          <w:szCs w:val="19"/>
        </w:rPr>
        <w:t xml:space="preserve">, signing address Addr(g) of each guardian, burn authorisation burnAuth = 2 (the issuer and the owner may both burn the token)</w:t>
      </w:r>
      <w:r>
        <w:rPr>
          <w:rFonts w:ascii="Times New Roman" w:cs="Times New Roman" w:eastAsia="Times New Roman" w:hAnsi="Times New Roman"/>
          <w:sz w:val="19"/>
          <w:szCs w:val="19"/>
        </w:rPr>
        <w:t xml:space="preserve">, approval a = (g,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submitted by guardian g</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Authorisation result</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Retrieve required participant set G</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sz w:val="19"/>
          <w:szCs w:val="19"/>
        </w:rPr>
        <w:t xml:space="preserve">N ← |G|</w:t>
      </w:r>
    </w:p>
    <w:p>
      <w:pPr>
        <w:keepNext/>
        <w:spacing w:after="10"/>
        <w:ind w:left="24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Verify identity and authority of g (Algorithm 2, a structural DID check in the prototype), and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verification fails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report the invalid approval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sz w:val="19"/>
          <w:szCs w:val="19"/>
        </w:rPr>
        <w:t xml:space="preserve">signer ← RecoverEIP712(domain,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g, APPROVE},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 off-chain recovery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signer ≠ Addr(g), or the signature binds a different consent, guardian, or chain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Record invalid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color w:val="00B0F0"/>
          <w:sz w:val="19"/>
          <w:szCs w:val="19"/>
        </w:rPr>
        <w:t xml:space="preserve">if</w:t>
      </w:r>
      <w:r>
        <w:rPr>
          <w:rFonts w:ascii="Times New Roman" w:cs="Times New Roman" w:eastAsia="Times New Roman" w:hAnsi="Times New Roman"/>
          <w:color w:val="00B0F0"/>
          <w:sz w:val="19"/>
          <w:szCs w:val="19"/>
        </w:rPr>
        <w:t xml:space="preserve"> g ∉ G </w:t>
      </w:r>
      <w:r>
        <w:rPr>
          <w:rFonts w:ascii="Times New Roman" w:cs="Times New Roman" w:eastAsia="Times New Roman" w:hAnsi="Times New Roman"/>
          <w:b/>
          <w:bCs/>
          <w:color w:val="00B0F0"/>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sz w:val="19"/>
          <w:szCs w:val="19"/>
        </w:rPr>
        <w:t xml:space="preserve">Record unauthorised approval attempt   </w:t>
      </w:r>
      <w:r>
        <w:rPr>
          <w:rFonts w:ascii="Times New Roman" w:cs="Times New Roman" w:eastAsia="Times New Roman" w:hAnsi="Times New Roman"/>
          <w:color w:val="00B0F0"/>
          <w:sz w:val="19"/>
          <w:szCs w:val="19"/>
        </w:rPr>
        <w:t xml:space="preserve">▷ in the prototype, only members of G can be selected in the guardian view, and a signature from any other signer is not counted towards 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b/>
          <w:bCs/>
          <w:color w:val="00B0F0"/>
          <w:sz w:val="19"/>
          <w:szCs w:val="19"/>
        </w:rPr>
        <w:t xml:space="preserve">if</w:t>
      </w:r>
      <w:r>
        <w:rPr>
          <w:rFonts w:ascii="Times New Roman" w:cs="Times New Roman" w:eastAsia="Times New Roman" w:hAnsi="Times New Roman"/>
          <w:color w:val="00B0F0"/>
          <w:sz w:val="19"/>
          <w:szCs w:val="19"/>
        </w:rPr>
        <w:t xml:space="preserve"> g has already approved C </w:t>
      </w:r>
      <w:r>
        <w:rPr>
          <w:rFonts w:ascii="Times New Roman" w:cs="Times New Roman" w:eastAsia="Times New Roman" w:hAnsi="Times New Roman"/>
          <w:b/>
          <w:bCs/>
          <w:color w:val="00B0F0"/>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Record duplicate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Record signature_data[g] ← (signer,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Update valid approval set A</w:t>
      </w:r>
      <w:r>
        <w:rPr>
          <w:rFonts w:ascii="Times New Roman" w:cs="Times New Roman" w:eastAsia="Times New Roman" w:hAnsi="Times New Roman"/>
          <w:sz w:val="19"/>
          <w:szCs w:val="19"/>
          <w:vertAlign w:val="subscript"/>
        </w:rPr>
        <w:t xml:space="preserve">v</w:t>
      </w:r>
    </w:p>
    <w:p>
      <w:pPr>
        <w:keepNext/>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|A</w:t>
      </w:r>
      <w:r>
        <w:rPr>
          <w:rFonts w:ascii="Times New Roman" w:cs="Times New Roman" w:eastAsia="Times New Roman" w:hAnsi="Times New Roman"/>
          <w:sz w:val="19"/>
          <w:szCs w:val="19"/>
          <w:vertAlign w:val="subscript"/>
        </w:rPr>
        <w:t xml:space="preserve">v</w:t>
      </w:r>
      <w:r>
        <w:rPr>
          <w:rFonts w:ascii="Times New Roman" w:cs="Times New Roman" w:eastAsia="Times New Roman" w:hAnsi="Times New Roman"/>
          <w:sz w:val="19"/>
          <w:szCs w:val="19"/>
        </w:rPr>
        <w:t xml:space="preserve">| ≥ 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sz w:val="19"/>
          <w:szCs w:val="19"/>
        </w:rPr>
        <w:t xml:space="preserve">Activate authorisation</w:t>
      </w:r>
    </w:p>
    <w:p>
      <w:pPr>
        <w:keepNext/>
        <w:spacing w:after="10"/>
        <w:ind w:left="60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color w:val="00B0F0"/>
          <w:sz w:val="19"/>
          <w:szCs w:val="19"/>
        </w:rPr>
        <w:t xml:space="preserve">R</w:t>
      </w:r>
      <w:r>
        <w:rPr>
          <w:rFonts w:ascii="Times New Roman" w:cs="Times New Roman" w:eastAsia="Times New Roman" w:hAnsi="Times New Roman"/>
          <w:sz w:val="19"/>
          <w:szCs w:val="19"/>
        </w:rPr>
        <w:t xml:space="preserve">ecord a local token identifier and set state ← ACTIVE once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has been reached</w:t>
      </w:r>
    </w:p>
    <w:p>
      <w:pPr>
        <w:keepNext/>
        <w:spacing w:after="10"/>
        <w:ind w:left="60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sz w:val="19"/>
          <w:szCs w:val="19"/>
        </w:rPr>
        <w:t xml:space="preserve">submit mintConsentV3(addr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L, burnAuth) via the owner account   ▷ the contract stores keccak256(P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runs as a background job and is reconciled on request from the guardian view</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color w:val="00B0F0"/>
          <w:sz w:val="19"/>
          <w:szCs w:val="19"/>
        </w:rPr>
        <w:t xml:space="preserve">On confirmation,</w:t>
      </w:r>
      <w:r>
        <w:rPr>
          <w:rFonts w:ascii="Times New Roman" w:cs="Times New Roman" w:eastAsia="Times New Roman" w:hAnsi="Times New Roman"/>
          <w:sz w:val="19"/>
          <w:szCs w:val="19"/>
        </w:rPr>
        <w:t xml:space="preserve"> replace the local token identifier with the on-chain token identifier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sz w:val="19"/>
          <w:szCs w:val="19"/>
        </w:rPr>
        <w:t xml:space="preserve">Record threshold-satisfied event</w:t>
      </w:r>
    </w:p>
    <w:p>
      <w:pPr>
        <w:keepNext/>
        <w:spacing w:after="10"/>
        <w:ind w:left="60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ACTIVATED   ▷ activation is distinct from the access decision</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else</w:t>
      </w:r>
    </w:p>
    <w:p>
      <w:pPr>
        <w:keepNext/>
        <w:spacing w:after="10"/>
        <w:ind w:left="60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sz w:val="19"/>
          <w:szCs w:val="19"/>
        </w:rPr>
        <w:t xml:space="preserve">Keep consent in pending state</w:t>
      </w:r>
    </w:p>
    <w:p>
      <w:pPr>
        <w:keepNext/>
        <w:spacing w:after="10"/>
        <w:ind w:left="60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Record threshold-pending event   ▷ shown in the interface in the prototype</w:t>
      </w:r>
    </w:p>
    <w:p>
      <w:pPr>
        <w:keepNext/>
        <w:spacing w:after="10"/>
        <w:ind w:left="60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PENDING</w:t>
      </w:r>
    </w:p>
    <w:p>
      <w:pPr>
        <w:keepNext w:val="false"/>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b/>
          <w:bCs/>
          <w:sz w:val="19"/>
          <w:szCs w:val="19"/>
        </w:rPr>
        <w:t xml:space="preserve">end if</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also demonstrates why multi-party authorisation is a trust mechanism rather than merely a user-interface feature. The final decision depends on independently verified participants and a predefined collective requirement. Therefore, a single participant cannot unilaterally activate the consent when the threshold has not been satisfied. In the prototype, the on-chain mint is submitted as a background job through the owner account, and the contract stores keccak256(P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rather than the purpose itself. Activation is distinct from the access decision.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described in Section 9.</w:t>
      </w:r>
    </w:p>
    <w:p>
      <w:pPr>
        <w:pStyle w:val="Heading2"/>
        <w:keepNext/>
        <w:spacing w:after="120" w:before="240"/>
      </w:pPr>
      <w:r>
        <w:rPr>
          <w:rFonts w:ascii="Times New Roman" w:cs="Times New Roman" w:eastAsia="Times New Roman" w:hAnsi="Times New Roman"/>
          <w:b/>
          <w:bCs/>
          <w:sz w:val="26"/>
          <w:szCs w:val="26"/>
        </w:rPr>
        <w:t xml:space="preserve">8.4  Outcome of RO3</w:t>
      </w:r>
    </w:p>
    <w:p>
      <w:pPr>
        <w:spacing w:after="110" w:line="264"/>
        <w:jc w:val="both"/>
      </w:pPr>
      <w:r>
        <w:rPr>
          <w:rFonts w:ascii="Times New Roman" w:cs="Times New Roman" w:eastAsia="Times New Roman" w:hAnsi="Times New Roman"/>
          <w:sz w:val="22"/>
          <w:szCs w:val="22"/>
        </w:rPr>
        <w:t xml:space="preserve">RO3 has been completed at the conceptual and prototype level. If the threshold is not satisfied, the consent cannot be used to authorise the requested access, as stated in Equation (11).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color w:val="00B0F0"/>
          <w:sz w:val="21"/>
          <w:szCs w:val="21"/>
        </w:rPr>
        <w:t xml:space="preserve">|A</w:t>
      </w:r>
      <w:r>
        <w:rPr>
          <w:rFonts w:ascii="Cambria Math" w:cs="Cambria Math" w:eastAsia="Cambria Math" w:hAnsi="Cambria Math"/>
          <w:i w:val="false"/>
          <w:iCs w:val="false"/>
          <w:color w:val="00B0F0"/>
          <w:sz w:val="21"/>
          <w:szCs w:val="21"/>
          <w:vertAlign w:val="subscript"/>
        </w:rPr>
        <w:t xml:space="preserve">v</w:t>
      </w:r>
      <w:r>
        <w:rPr>
          <w:rFonts w:ascii="Cambria Math" w:cs="Cambria Math" w:eastAsia="Cambria Math" w:hAnsi="Cambria Math"/>
          <w:i w:val="false"/>
          <w:iCs w:val="false"/>
          <w:color w:val="00B0F0"/>
          <w:sz w:val="21"/>
          <w:szCs w:val="21"/>
        </w:rPr>
        <w:t xml:space="preserve">| &lt; N ⟹ Decision(C, R, t) = DENY.</w:t>
      </w:r>
      <w:r>
        <w:rPr>
          <w:rFonts w:ascii="Times New Roman" w:cs="Times New Roman" w:eastAsia="Times New Roman" w:hAnsi="Times New Roman"/>
          <w:sz w:val="22"/>
          <w:szCs w:val="22"/>
        </w:rPr>
        <w:t xml:space="preserve">	(11)</w:t>
      </w:r>
    </w:p>
    <w:p>
      <w:pPr>
        <w:spacing w:after="110" w:line="264"/>
        <w:jc w:val="both"/>
      </w:pPr>
      <w:r>
        <w:rPr>
          <w:rFonts w:ascii="Times New Roman" w:cs="Times New Roman" w:eastAsia="Times New Roman" w:hAnsi="Times New Roman"/>
          <w:sz w:val="22"/>
          <w:szCs w:val="22"/>
        </w:rPr>
        <w:t xml:space="preserve">The prototype demonstrates that a consent object remains unable to establish valid authorisation until the required number of independently verified participants has approved it. </w:t>
      </w:r>
      <w:r>
        <w:rPr>
          <w:rFonts w:ascii="Times New Roman" w:cs="Times New Roman" w:eastAsia="Times New Roman" w:hAnsi="Times New Roman"/>
          <w:color w:val="00B0F0"/>
          <w:sz w:val="22"/>
          <w:szCs w:val="22"/>
        </w:rPr>
        <w:t xml:space="preserve">For example, where N = 2, Equation (12) holds for a consent that has a token identifier and has not been revoked, whereas Equation (13) holds when only one valid approval has been given.</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color w:val="00B0F0"/>
          <w:sz w:val="21"/>
          <w:szCs w:val="21"/>
        </w:rPr>
        <w:t xml:space="preserve">|A</w:t>
      </w:r>
      <w:r>
        <w:rPr>
          <w:rFonts w:ascii="Cambria Math" w:cs="Cambria Math" w:eastAsia="Cambria Math" w:hAnsi="Cambria Math"/>
          <w:i w:val="false"/>
          <w:iCs w:val="false"/>
          <w:color w:val="00B0F0"/>
          <w:sz w:val="21"/>
          <w:szCs w:val="21"/>
          <w:vertAlign w:val="subscript"/>
        </w:rPr>
        <w:t xml:space="preserve">v</w:t>
      </w:r>
      <w:r>
        <w:rPr>
          <w:rFonts w:ascii="Cambria Math" w:cs="Cambria Math" w:eastAsia="Cambria Math" w:hAnsi="Cambria Math"/>
          <w:i w:val="false"/>
          <w:iCs w:val="false"/>
          <w:color w:val="00B0F0"/>
          <w:sz w:val="21"/>
          <w:szCs w:val="21"/>
        </w:rPr>
        <w:t xml:space="preserve">| = 2 ∧ Token(C) ≠ ∅ ∧ Revoked(C) = 0 ⟹ V</w:t>
      </w:r>
      <w:r>
        <w:rPr>
          <w:rFonts w:ascii="Cambria Math" w:cs="Cambria Math" w:eastAsia="Cambria Math" w:hAnsi="Cambria Math"/>
          <w:i w:val="false"/>
          <w:iCs w:val="false"/>
          <w:color w:val="00B0F0"/>
          <w:sz w:val="21"/>
          <w:szCs w:val="21"/>
          <w:vertAlign w:val="subscript"/>
        </w:rPr>
        <w:t xml:space="preserve">A</w:t>
      </w:r>
      <w:r>
        <w:rPr>
          <w:rFonts w:ascii="Cambria Math" w:cs="Cambria Math" w:eastAsia="Cambria Math" w:hAnsi="Cambria Math"/>
          <w:i w:val="false"/>
          <w:iCs w:val="false"/>
          <w:color w:val="00B0F0"/>
          <w:sz w:val="21"/>
          <w:szCs w:val="21"/>
        </w:rPr>
        <w:t xml:space="preserve">(C) = 1,</w:t>
      </w:r>
      <w:r>
        <w:rPr>
          <w:rFonts w:ascii="Times New Roman" w:cs="Times New Roman" w:eastAsia="Times New Roman" w:hAnsi="Times New Roman"/>
          <w:sz w:val="22"/>
          <w:szCs w:val="22"/>
        </w:rPr>
        <w:t xml:space="preserve">	(12)</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1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0.</w:t>
      </w:r>
      <w:r>
        <w:rPr>
          <w:rFonts w:ascii="Times New Roman" w:cs="Times New Roman" w:eastAsia="Times New Roman" w:hAnsi="Times New Roman"/>
          <w:sz w:val="22"/>
          <w:szCs w:val="22"/>
        </w:rPr>
        <w:t xml:space="preserve">	(13)</w:t>
      </w:r>
    </w:p>
    <w:p>
      <w:pPr>
        <w:spacing w:after="110" w:line="264"/>
        <w:jc w:val="both"/>
      </w:pPr>
      <w:r>
        <w:rPr>
          <w:rFonts w:ascii="Times New Roman" w:cs="Times New Roman" w:eastAsia="Times New Roman" w:hAnsi="Times New Roman"/>
          <w:sz w:val="22"/>
          <w:szCs w:val="22"/>
        </w:rPr>
        <w:t xml:space="preserve">This provides preliminary evidence that the proposed framework can enforce collective rather than unilateral authorisation. The implemented threshold is derived from the designated guardian set as N = |G|, and the prototype therefore enforces an N-of-N instantiation of Equation (8) and has been evaluated in the 2-of-2 configuration. The unit-level adversarial tests include an approval from a signer outside G and a repeated approval from the same guardian, and before the hardening of 1 October 2026, both attacks were blocked only by the interface. However, since that hardening, the decision rule and the lifecycle evaluation count only distinct approvals from members of G towards N, and both attacks are refused. Section 11 presents the corresponding scenarios and test results.</w:t>
      </w:r>
    </w:p>
    <w:p>
      <w:pPr>
        <w:pStyle w:val="Heading1"/>
        <w:pageBreakBefore/>
        <w:spacing w:after="200" w:before="120"/>
      </w:pPr>
      <w:r>
        <w:rPr>
          <w:rFonts w:ascii="Times New Roman" w:cs="Times New Roman" w:eastAsia="Times New Roman" w:hAnsi="Times New Roman"/>
          <w:b/>
          <w:bCs/>
          <w:sz w:val="32"/>
          <w:szCs w:val="32"/>
        </w:rPr>
        <w:t xml:space="preserve">9.  The Proposed Solution for RO4</w:t>
      </w:r>
    </w:p>
    <w:p>
      <w:pPr>
        <w:spacing w:after="140" w:before="0"/>
      </w:pPr>
      <w:r>
        <w:rPr>
          <w:rFonts w:ascii="Times New Roman" w:cs="Times New Roman" w:eastAsia="Times New Roman" w:hAnsi="Times New Roman"/>
          <w:b/>
          <w:bCs/>
          <w:i/>
          <w:iCs/>
          <w:sz w:val="26"/>
          <w:szCs w:val="26"/>
        </w:rPr>
        <w:t xml:space="preserve">RO4 – Policy- and Context-Aware Access Control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RO4 directly addresses RQ4 and completes the foundational authorisation model investigated during current stage. The objective is to ensure that an otherwise valid requester cannot access healthcare information outside the purpose and data scope authorised by the consent. RO4 develops a policy-aware access-control mechanism capable of evaluating purpose and data-scope constraints before an access decision is issued.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w:t>
      </w:r>
    </w:p>
    <w:p>
      <w:pPr>
        <w:pStyle w:val="Heading2"/>
        <w:keepNext/>
        <w:spacing w:after="120" w:before="240"/>
      </w:pPr>
      <w:r>
        <w:rPr>
          <w:rFonts w:ascii="Times New Roman" w:cs="Times New Roman" w:eastAsia="Times New Roman" w:hAnsi="Times New Roman"/>
          <w:b/>
          <w:bCs/>
          <w:sz w:val="26"/>
          <w:szCs w:val="26"/>
        </w:rPr>
        <w:t xml:space="preserve">9.1  Scope and Policy Conditions</w:t>
      </w:r>
    </w:p>
    <w:p>
      <w:pPr>
        <w:spacing w:after="110" w:line="264"/>
        <w:jc w:val="both"/>
      </w:pPr>
      <w:r>
        <w:rPr>
          <w:rFonts w:ascii="Times New Roman" w:cs="Times New Roman" w:eastAsia="Times New Roman" w:hAnsi="Times New Roman"/>
          <w:sz w:val="22"/>
          <w:szCs w:val="22"/>
        </w:rPr>
        <w:t xml:space="preserve">The system evaluates whether the requested data scope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is non-empty and contained within the data scope authorised by the consent, denoted by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and Equation (14) defines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 = 1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(14)</w:t>
      </w:r>
    </w:p>
    <w:p>
      <w:pPr>
        <w:spacing w:after="110" w:line="264"/>
        <w:jc w:val="both"/>
      </w:pPr>
      <w:r>
        <w:rPr>
          <w:rFonts w:ascii="Times New Roman" w:cs="Times New Roman" w:eastAsia="Times New Roman" w:hAnsi="Times New Roman"/>
          <w:sz w:val="22"/>
          <w:szCs w:val="22"/>
        </w:rPr>
        <w:t xml:space="preserve">The policy condition can therefore be expressed as Equation (15) where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(C, R) represents purpose compatibility and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(C, R) represents data-scope compatibility.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color w:val="00B0F0"/>
          <w:sz w:val="21"/>
          <w:szCs w:val="21"/>
        </w:rPr>
        <w:t xml:space="preserve">V</w:t>
      </w:r>
      <w:r>
        <w:rPr>
          <w:rFonts w:ascii="Cambria Math" w:cs="Cambria Math" w:eastAsia="Cambria Math" w:hAnsi="Cambria Math"/>
          <w:i w:val="false"/>
          <w:iCs w:val="false"/>
          <w:color w:val="00B0F0"/>
          <w:sz w:val="21"/>
          <w:szCs w:val="21"/>
          <w:vertAlign w:val="subscript"/>
        </w:rPr>
        <w:t xml:space="preserve">P</w:t>
      </w:r>
      <w:r>
        <w:rPr>
          <w:rFonts w:ascii="Cambria Math" w:cs="Cambria Math" w:eastAsia="Cambria Math" w:hAnsi="Cambria Math"/>
          <w:i w:val="false"/>
          <w:iCs w:val="false"/>
          <w:color w:val="00B0F0"/>
          <w:sz w:val="21"/>
          <w:szCs w:val="21"/>
        </w:rPr>
        <w:t xml:space="preserve">(C, R) = V</w:t>
      </w:r>
      <w:r>
        <w:rPr>
          <w:rFonts w:ascii="Cambria Math" w:cs="Cambria Math" w:eastAsia="Cambria Math" w:hAnsi="Cambria Math"/>
          <w:i w:val="false"/>
          <w:iCs w:val="false"/>
          <w:color w:val="00B0F0"/>
          <w:sz w:val="21"/>
          <w:szCs w:val="21"/>
          <w:vertAlign w:val="subscript"/>
        </w:rPr>
        <w:t xml:space="preserve">U</w:t>
      </w:r>
      <w:r>
        <w:rPr>
          <w:rFonts w:ascii="Cambria Math" w:cs="Cambria Math" w:eastAsia="Cambria Math" w:hAnsi="Cambria Math"/>
          <w:i w:val="false"/>
          <w:iCs w:val="false"/>
          <w:color w:val="00B0F0"/>
          <w:sz w:val="21"/>
          <w:szCs w:val="21"/>
        </w:rPr>
        <w:t xml:space="preserve">(C, R) ∧ V</w:t>
      </w:r>
      <w:r>
        <w:rPr>
          <w:rFonts w:ascii="Cambria Math" w:cs="Cambria Math" w:eastAsia="Cambria Math" w:hAnsi="Cambria Math"/>
          <w:i w:val="false"/>
          <w:iCs w:val="false"/>
          <w:color w:val="00B0F0"/>
          <w:sz w:val="21"/>
          <w:szCs w:val="21"/>
          <w:vertAlign w:val="subscript"/>
        </w:rPr>
        <w:t xml:space="preserve">S</w:t>
      </w:r>
      <w:r>
        <w:rPr>
          <w:rFonts w:ascii="Cambria Math" w:cs="Cambria Math" w:eastAsia="Cambria Math" w:hAnsi="Cambria Math"/>
          <w:i w:val="false"/>
          <w:iCs w:val="false"/>
          <w:color w:val="00B0F0"/>
          <w:sz w:val="21"/>
          <w:szCs w:val="21"/>
        </w:rPr>
        <w:t xml:space="preserve">(C, R).</w:t>
      </w:r>
      <w:r>
        <w:rPr>
          <w:rFonts w:ascii="Times New Roman" w:cs="Times New Roman" w:eastAsia="Times New Roman" w:hAnsi="Times New Roman"/>
          <w:sz w:val="22"/>
          <w:szCs w:val="22"/>
        </w:rPr>
        <w:t xml:space="preserve">	(15)</w:t>
      </w:r>
    </w:p>
    <w:p>
      <w:pPr>
        <w:spacing w:after="110" w:line="264"/>
        <w:jc w:val="both"/>
      </w:pPr>
      <w:r>
        <w:rPr>
          <w:rFonts w:ascii="Times New Roman" w:cs="Times New Roman" w:eastAsia="Times New Roman" w:hAnsi="Times New Roman"/>
          <w:sz w:val="22"/>
          <w:szCs w:val="22"/>
        </w:rPr>
        <w:t xml:space="preserve">At every access request, the system performs the final policy evaluation, and access can proceed only when all required conditions evaluate to true, namely the five verification predicates in Equation (16). If any of these conditions is false, the request is denied. This creates a conjunctive trust model in which the failure of any required condition prevents the final authorisation decision. In the current version, each request against an ACTIVE consent has its decision matrix recorded in the audit ledger with the GRANTED or DENIED outcome, although the three earliest grants of 22 September 2026 predate this logging. Importantly, both successful and denied decisions should be recorded because a trustworthy authorisation framework requires accountability not only for data that were released but also for access attempts that were rejected.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L</w:t>
      </w:r>
      <w:r>
        <w:rPr>
          <w:rFonts w:ascii="Times New Roman" w:cs="Times New Roman" w:eastAsia="Times New Roman" w:hAnsi="Times New Roman"/>
          <w:sz w:val="22"/>
          <w:szCs w:val="22"/>
        </w:rPr>
        <w:t xml:space="preserve">	(16)</w:t>
      </w:r>
    </w:p>
    <w:p>
      <w:pPr>
        <w:spacing w:after="110" w:line="264"/>
        <w:jc w:val="both"/>
      </w:pPr>
      <w:r>
        <w:rPr>
          <w:rFonts w:ascii="Times New Roman" w:cs="Times New Roman" w:eastAsia="Times New Roman" w:hAnsi="Times New Roman"/>
          <w:sz w:val="22"/>
          <w:szCs w:val="22"/>
        </w:rPr>
        <w:t xml:space="preserve">In the prototype, the matrix column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records the purpose check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only, while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is evaluated separately by the scope check of the doctor subsystem at request time. The final decision therefore combines the decision matrix with that scope check and with the verified access proof.</w:t>
      </w:r>
    </w:p>
    <w:p>
      <w:pPr>
        <w:pStyle w:val="Heading2"/>
        <w:keepNext/>
        <w:spacing w:after="120" w:before="240"/>
      </w:pPr>
      <w:r>
        <w:rPr>
          <w:rFonts w:ascii="Times New Roman" w:cs="Times New Roman" w:eastAsia="Times New Roman" w:hAnsi="Times New Roman"/>
          <w:b/>
          <w:bCs/>
          <w:sz w:val="26"/>
          <w:szCs w:val="26"/>
        </w:rPr>
        <w:t xml:space="preserve">9.2  Policy-Aware Access Workflow</w:t>
      </w:r>
    </w:p>
    <w:p>
      <w:pPr>
        <w:spacing w:after="110" w:line="264"/>
        <w:jc w:val="both"/>
      </w:pPr>
      <w:r>
        <w:rPr>
          <w:rFonts w:ascii="Times New Roman" w:cs="Times New Roman" w:eastAsia="Times New Roman" w:hAnsi="Times New Roman"/>
          <w:sz w:val="22"/>
          <w:szCs w:val="22"/>
        </w:rPr>
        <w:t xml:space="preserve">The workflow begins when a doctor submits a request for patient data. The system retrieves the consent object and verifies the requesting participant. It then checks whether the required multi-party authorisation has been established. After the identity and authorisation conditions are satisfied, the system evaluates the requested purpose and data scope. The HALAH implementation provides a concrete basis for this objective. As shown in Figure 11, the Doctor interface retrieves a consent, evaluates its state, allows a requested scope to be selected from the consent scope, generates a proof, checks the requested scope, and invokes the authorisation function before returning data. </w:t>
      </w:r>
      <w:r>
        <w:rPr>
          <w:rFonts w:ascii="Times New Roman" w:cs="Times New Roman" w:eastAsia="Times New Roman" w:hAnsi="Times New Roman"/>
          <w:color w:val="00B0F0"/>
          <w:sz w:val="22"/>
          <w:szCs w:val="22"/>
        </w:rPr>
        <w:t xml:space="preserve">Suppose that a consent permits access to the data categories given in Equation (17), and a healthcare professional then requests the categories given in Equation (18).</w:t>
      </w:r>
    </w:p>
    <w:p>
      <w:pPr>
        <w:keepNext/>
        <w:spacing w:after="60" w:before="160"/>
        <w:jc w:val="center"/>
      </w:pPr>
      <w:r>
        <w:drawing>
          <wp:inline distT="0" distB="0" distL="0" distR="0">
            <wp:extent cx="3324225" cy="5905500"/>
            <wp:effectExtent t="0" r="0" b="0" l="0"/>
            <wp:docPr id="1" name="F14.png" descr="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titl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324225" cy="59055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 </w:t>
      </w:r>
      <w:r>
        <w:rPr>
          <w:rFonts w:ascii="Times New Roman" w:cs="Times New Roman" w:eastAsia="Times New Roman" w:hAnsi="Times New Roman"/>
          <w:color w:val="00B0F0"/>
          <w:sz w:val="18"/>
          <w:szCs w:val="18"/>
        </w:rPr>
        <w:t xml:space="preserv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 = {Observation, Medication},</w:t>
      </w:r>
      <w:r>
        <w:rPr>
          <w:rFonts w:ascii="Times New Roman" w:cs="Times New Roman" w:eastAsia="Times New Roman" w:hAnsi="Times New Roman"/>
          <w:sz w:val="22"/>
          <w:szCs w:val="22"/>
        </w:rPr>
        <w:t xml:space="preserve">	(17)</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{Observation, Medication, Procedure},</w:t>
      </w:r>
      <w:r>
        <w:rPr>
          <w:rFonts w:ascii="Times New Roman" w:cs="Times New Roman" w:eastAsia="Times New Roman" w:hAnsi="Times New Roman"/>
          <w:sz w:val="22"/>
          <w:szCs w:val="22"/>
        </w:rPr>
        <w:t xml:space="preserve">	(18)</w:t>
      </w:r>
    </w:p>
    <w:p>
      <w:pPr>
        <w:spacing w:after="110" w:line="264"/>
        <w:jc w:val="both"/>
      </w:pPr>
      <w:r>
        <w:rPr>
          <w:rFonts w:ascii="Times New Roman" w:cs="Times New Roman" w:eastAsia="Times New Roman" w:hAnsi="Times New Roman"/>
          <w:sz w:val="22"/>
          <w:szCs w:val="22"/>
        </w:rPr>
        <w:t xml:space="preserve">In this case, Equation (19) holds, and the request must be denied. This rule prevents a legitimate participant from obtaining data outside the patient's authorised scope. If the requested data exceeds the authorised scope, the request must be rejected even if the requester has successfully authenticated and the required number of participants has approved the consent. This step is particularly important for fine-grained healthcare data access because authorisation to access one category of healthcare information does not imply authorisation to access all categories of the patient's record.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color w:val="00B0F0"/>
          <w:sz w:val="21"/>
          <w:szCs w:val="21"/>
        </w:rPr>
        <w:t xml:space="preserve">S</w:t>
      </w:r>
      <w:r>
        <w:rPr>
          <w:rFonts w:ascii="Cambria Math" w:cs="Cambria Math" w:eastAsia="Cambria Math" w:hAnsi="Cambria Math"/>
          <w:i w:val="false"/>
          <w:iCs w:val="false"/>
          <w:color w:val="00B0F0"/>
          <w:sz w:val="21"/>
          <w:szCs w:val="21"/>
          <w:vertAlign w:val="subscript"/>
        </w:rPr>
        <w:t xml:space="preserve">R</w:t>
      </w:r>
      <w:r>
        <w:rPr>
          <w:rFonts w:ascii="Cambria Math" w:cs="Cambria Math" w:eastAsia="Cambria Math" w:hAnsi="Cambria Math"/>
          <w:i w:val="false"/>
          <w:iCs w:val="false"/>
          <w:color w:val="00B0F0"/>
          <w:sz w:val="21"/>
          <w:szCs w:val="21"/>
        </w:rPr>
        <w:t xml:space="preserve"> ⊈ S</w:t>
      </w:r>
      <w:r>
        <w:rPr>
          <w:rFonts w:ascii="Cambria Math" w:cs="Cambria Math" w:eastAsia="Cambria Math" w:hAnsi="Cambria Math"/>
          <w:i w:val="false"/>
          <w:iCs w:val="false"/>
          <w:color w:val="00B0F0"/>
          <w:sz w:val="21"/>
          <w:szCs w:val="21"/>
          <w:vertAlign w:val="subscript"/>
        </w:rPr>
        <w:t xml:space="preserve">C</w:t>
      </w:r>
      <w:r>
        <w:rPr>
          <w:rFonts w:ascii="Cambria Math" w:cs="Cambria Math" w:eastAsia="Cambria Math" w:hAnsi="Cambria Math"/>
          <w:i w:val="false"/>
          <w:iCs w:val="false"/>
          <w:color w:val="00B0F0"/>
          <w:sz w:val="21"/>
          <w:szCs w:val="21"/>
        </w:rPr>
        <w:t xml:space="preserve">.</w:t>
      </w:r>
      <w:r>
        <w:rPr>
          <w:rFonts w:ascii="Times New Roman" w:cs="Times New Roman" w:eastAsia="Times New Roman" w:hAnsi="Times New Roman"/>
          <w:sz w:val="22"/>
          <w:szCs w:val="22"/>
        </w:rPr>
        <w:t xml:space="preserve">	(19)</w:t>
      </w:r>
    </w:p>
    <w:p>
      <w:pPr>
        <w:pStyle w:val="Heading2"/>
        <w:keepNext/>
        <w:spacing w:after="120" w:before="240"/>
      </w:pPr>
      <w:r>
        <w:rPr>
          <w:rFonts w:ascii="Times New Roman" w:cs="Times New Roman" w:eastAsia="Times New Roman" w:hAnsi="Times New Roman"/>
          <w:b/>
          <w:bCs/>
          <w:sz w:val="26"/>
          <w:szCs w:val="26"/>
        </w:rPr>
        <w:t xml:space="preserve">9.3  Policy-Aware Access Decision Algorithm</w:t>
      </w:r>
    </w:p>
    <w:p>
      <w:pPr>
        <w:spacing w:after="110" w:line="264"/>
        <w:jc w:val="both"/>
      </w:pPr>
      <w:r>
        <w:rPr>
          <w:rFonts w:ascii="Times New Roman" w:cs="Times New Roman" w:eastAsia="Times New Roman" w:hAnsi="Times New Roman"/>
          <w:sz w:val="22"/>
          <w:szCs w:val="22"/>
        </w:rPr>
        <w:t xml:space="preserve">Rather than treating successful authentication as sufficient for access, Algorithm 4 evaluates the complete set of conditions defined by the consent and applicable access-control policies. </w:t>
      </w:r>
      <w:r>
        <w:rPr>
          <w:rFonts w:ascii="Times New Roman" w:cs="Times New Roman" w:eastAsia="Times New Roman" w:hAnsi="Times New Roman"/>
          <w:color w:val="00B0F0"/>
          <w:sz w:val="22"/>
          <w:szCs w:val="22"/>
        </w:rPr>
        <w:t xml:space="preserve">If any mandatory condition fails during the evaluation process, the system returns DENY and records the corresponding denial evidence. The exception is a consent that is not ACTIVE, whose refusal is reported only in the doctor interface in the prototype.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4 </w:t>
      </w:r>
      <w:r>
        <w:rPr>
          <w:rFonts w:ascii="Times New Roman" w:cs="Times New Roman" w:eastAsia="Times New Roman" w:hAnsi="Times New Roman"/>
          <w:sz w:val="19"/>
          <w:szCs w:val="19"/>
        </w:rPr>
        <w:t xml:space="preserve">Policy-Aware Access Decision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access request R = (u, P</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Jur(R)), requesting participant u, current time t</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Access decision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Verify DID and VC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identity or authority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Evaluate consent state</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consent is not active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Report the refusal in the doctor interface   ▷ not written to the audit ledger in the prototype</w:t>
      </w:r>
    </w:p>
    <w:p>
      <w:pPr>
        <w:keepNext/>
        <w:spacing w:after="10"/>
        <w:ind w:left="60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sz w:val="19"/>
          <w:szCs w:val="19"/>
        </w:rPr>
        <w:t xml:space="preserve">Verify multi-party authorisation</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threshold is not satisfied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Evaluate requested purpose   ▷ in the prototype, the request purpose is the consent purpose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purpose is incompatible with consent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denied decision   </w:t>
      </w:r>
      <w:r>
        <w:rPr>
          <w:rFonts w:ascii="Times New Roman" w:cs="Times New Roman" w:eastAsia="Times New Roman" w:hAnsi="Times New Roman"/>
          <w:color w:val="00B0F0"/>
          <w:sz w:val="19"/>
          <w:szCs w:val="19"/>
        </w:rPr>
        <w:t xml:space="preserve">▷ in the prototype, an empty request is stopped by the interface and is not written to the audit ledger</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Evaluate requested data scope</w:t>
      </w:r>
    </w:p>
    <w:p>
      <w:pPr>
        <w:keepNext/>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 or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 &lt;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or t &gt;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w:t>
      </w:r>
      <w:r>
        <w:rPr>
          <w:rFonts w:ascii="Times New Roman" w:cs="Times New Roman" w:eastAsia="Times New Roman" w:hAnsi="Times New Roman"/>
          <w:color w:val="00B0F0"/>
          <w:sz w:val="19"/>
          <w:szCs w:val="19"/>
        </w:rPr>
        <w:t xml:space="preserve">Jur(C) ≠ ∅ and </w:t>
      </w:r>
      <w:r>
        <w:rPr>
          <w:rFonts w:ascii="Times New Roman" w:cs="Times New Roman" w:eastAsia="Times New Roman" w:hAnsi="Times New Roman"/>
          <w:sz w:val="19"/>
          <w:szCs w:val="19"/>
        </w:rPr>
        <w:t xml:space="preserve">Jur(R) ≠ Jur(C)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Generate and verify a Groth16 proof that Poseidon(secret, expiry) equals the public commitment and that t ≤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record proof_mode = groth16</w:t>
      </w:r>
    </w:p>
    <w:p>
      <w:pPr>
        <w:keepNext/>
        <w:spacing w:after="10"/>
        <w:ind w:left="24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color w:val="00B0F0"/>
          <w:sz w:val="19"/>
          <w:szCs w:val="19"/>
        </w:rPr>
        <w:t xml:space="preserve">if</w:t>
      </w:r>
      <w:r>
        <w:rPr>
          <w:rFonts w:ascii="Times New Roman" w:cs="Times New Roman" w:eastAsia="Times New Roman" w:hAnsi="Times New Roman"/>
          <w:color w:val="00B0F0"/>
          <w:sz w:val="19"/>
          <w:szCs w:val="19"/>
        </w:rPr>
        <w:t xml:space="preserve"> the proof does not verify </w:t>
      </w:r>
      <w:r>
        <w:rPr>
          <w:rFonts w:ascii="Times New Roman" w:cs="Times New Roman" w:eastAsia="Times New Roman" w:hAnsi="Times New Roman"/>
          <w:b/>
          <w:bCs/>
          <w:color w:val="00B0F0"/>
          <w:sz w:val="19"/>
          <w:szCs w:val="19"/>
        </w:rPr>
        <w:t xml:space="preserve">then</w:t>
      </w:r>
      <w:r>
        <w:rPr>
          <w:rFonts w:ascii="Times New Roman" w:cs="Times New Roman" w:eastAsia="Times New Roman" w:hAnsi="Times New Roman"/>
          <w:color w:val="00B0F0"/>
          <w:sz w:val="19"/>
          <w:szCs w:val="19"/>
        </w:rPr>
        <w:t xml:space="preserve"> Record denied decision and </w:t>
      </w:r>
      <w:r>
        <w:rPr>
          <w:rFonts w:ascii="Times New Roman" w:cs="Times New Roman" w:eastAsia="Times New Roman" w:hAnsi="Times New Roman"/>
          <w:b/>
          <w:bCs/>
          <w:color w:val="00B0F0"/>
          <w:sz w:val="19"/>
          <w:szCs w:val="19"/>
        </w:rPr>
        <w:t xml:space="preserve">return</w:t>
      </w:r>
      <w:r>
        <w:rPr>
          <w:rFonts w:ascii="Times New Roman" w:cs="Times New Roman" w:eastAsia="Times New Roman" w:hAnsi="Times New Roman"/>
          <w:color w:val="00B0F0"/>
          <w:sz w:val="19"/>
          <w:szCs w:val="19"/>
        </w:rPr>
        <w:t xml:space="preserve"> DENY </w:t>
      </w:r>
      <w:r>
        <w:rPr>
          <w:rFonts w:ascii="Times New Roman" w:cs="Times New Roman" w:eastAsia="Times New Roman" w:hAnsi="Times New Roman"/>
          <w:b/>
          <w:bCs/>
          <w:color w:val="00B0F0"/>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sz w:val="19"/>
          <w:szCs w:val="19"/>
        </w:rPr>
        <w:t xml:space="preserve">Retrieve authorised healthcare data</w:t>
      </w:r>
    </w:p>
    <w:p>
      <w:pPr>
        <w:keepNext/>
        <w:spacing w:after="10"/>
        <w:ind w:left="240"/>
      </w:pPr>
      <w:r>
        <w:rPr>
          <w:rFonts w:ascii="Times New Roman" w:cs="Times New Roman" w:eastAsia="Times New Roman" w:hAnsi="Times New Roman"/>
          <w:color w:val="555555"/>
          <w:sz w:val="16"/>
          <w:szCs w:val="16"/>
        </w:rPr>
        <w:t xml:space="preserve">31:  </w:t>
      </w:r>
      <w:r>
        <w:rPr>
          <w:rFonts w:ascii="Times New Roman" w:cs="Times New Roman" w:eastAsia="Times New Roman" w:hAnsi="Times New Roman"/>
          <w:sz w:val="19"/>
          <w:szCs w:val="19"/>
        </w:rPr>
        <w:t xml:space="preserve">Record granted decision</w:t>
      </w:r>
    </w:p>
    <w:p>
      <w:pPr>
        <w:keepNext w:val="false"/>
        <w:spacing w:after="10"/>
        <w:ind w:left="240"/>
      </w:pPr>
      <w:r>
        <w:rPr>
          <w:rFonts w:ascii="Times New Roman" w:cs="Times New Roman" w:eastAsia="Times New Roman" w:hAnsi="Times New Roman"/>
          <w:color w:val="555555"/>
          <w:sz w:val="16"/>
          <w:szCs w:val="16"/>
        </w:rPr>
        <w:t xml:space="preserve">32: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ALLOW</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demonstrates that policy evaluation is performed after identity and multi-party authorisation verification but before data release. This ordering is important because it prevents the system from treating identity validity or collective approval as unrestricted permission. A successfully authenticated participant is not automatically granted access. The system must not only determine whether a consent exists, but also evaluate whether the current request satisfies the consent's scope and purpose constraints. The decision is based on the conjunction of identity validity, active consent, sufficient multi-party approval, purpose compatibility, scope containment, temporal validity, and jurisdictional match. Once the request has been successfully authorised, the system retrieves only the healthcare data satisfying the authorised scope, so that the returned data remain a subset of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prevents a mismatch between the policy decision and the actual data returned to the requester. Both granted and denied requests should be recorded to support accountability and auditability.</w:t>
      </w:r>
    </w:p>
    <w:p>
      <w:pPr>
        <w:pStyle w:val="Heading2"/>
        <w:keepNext/>
        <w:spacing w:after="120" w:before="240"/>
      </w:pPr>
      <w:r>
        <w:rPr>
          <w:rFonts w:ascii="Times New Roman" w:cs="Times New Roman" w:eastAsia="Times New Roman" w:hAnsi="Times New Roman"/>
          <w:b/>
          <w:bCs/>
          <w:sz w:val="26"/>
          <w:szCs w:val="26"/>
        </w:rPr>
        <w:t xml:space="preserve">9.4  Implementation Qualifications</w:t>
      </w:r>
    </w:p>
    <w:p>
      <w:pPr>
        <w:spacing w:after="110" w:line="264"/>
        <w:jc w:val="both"/>
      </w:pPr>
      <w:r>
        <w:rPr>
          <w:rFonts w:ascii="Times New Roman" w:cs="Times New Roman" w:eastAsia="Times New Roman" w:hAnsi="Times New Roman"/>
          <w:sz w:val="22"/>
          <w:szCs w:val="22"/>
        </w:rPr>
        <w:t xml:space="preserve">If the policy evaluation succeeds, the system generates and verifies the evidence supporting the access decision as a Groth16 zero-knowledge proof. The proof shows that the prover knows the secret and the expiry time </w:t>
      </w:r>
      <w:r>
        <w:rPr>
          <w:rFonts w:ascii="Times New Roman" w:cs="Times New Roman" w:eastAsia="Times New Roman" w:hAnsi="Times New Roman"/>
          <w:color w:val="00B0F0"/>
          <w:sz w:val="22"/>
          <w:szCs w:val="22"/>
        </w:rPr>
        <w:t xml:space="preserve">behind a Poseidon commitment [70] held</w:t>
      </w:r>
      <w:r>
        <w:rPr>
          <w:rFonts w:ascii="Times New Roman" w:cs="Times New Roman" w:eastAsia="Times New Roman" w:hAnsi="Times New Roman"/>
          <w:sz w:val="22"/>
          <w:szCs w:val="22"/>
        </w:rPr>
        <w:t xml:space="preserve"> in the application's consent record, and that the consent has not expired at time t. The proof mode is recorded with the decision in the audit ledger, and the proof constitutes the access evidence required by Algorithm 4 before any data are retrieved. This evidence provides an auditable relationship between the access request and the conditions that justified the resulting authorisation.</w:t>
      </w:r>
    </w:p>
    <w:p>
      <w:pPr>
        <w:spacing w:after="110" w:line="264"/>
        <w:jc w:val="both"/>
      </w:pPr>
      <w:r>
        <w:rPr>
          <w:rFonts w:ascii="Times New Roman" w:cs="Times New Roman" w:eastAsia="Times New Roman" w:hAnsi="Times New Roman"/>
          <w:sz w:val="22"/>
          <w:szCs w:val="22"/>
        </w:rPr>
        <w:t xml:space="preserve">In the demonstrated prototype, the doctor does not declare a separate request purpose. The consent purpose is validated to ensure that the purpose is explicitly specified and conforms to the supported healthcare-use policies of Treatment, Research, and Emergency. The purpose is subsequently bound to the consent object as keccak256(purpose) stored on-chain. Consequently,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does not yet compare the purpose specified in the access request with the purpose permitted by the consent object. The formal analysis showing that there is no execution path where the system can violate the privacy policy will be conducted as part of next stage works.</w:t>
      </w:r>
    </w:p>
    <w:p>
      <w:pPr>
        <w:spacing w:after="110" w:line="264"/>
        <w:jc w:val="both"/>
      </w:pPr>
      <w:r>
        <w:rPr>
          <w:rFonts w:ascii="Times New Roman" w:cs="Times New Roman" w:eastAsia="Times New Roman" w:hAnsi="Times New Roman"/>
          <w:sz w:val="22"/>
          <w:szCs w:val="22"/>
        </w:rPr>
        <w:t xml:space="preserve">The denial for a consent that is not ACTIVE is reported in the doctor interface but is not written to the audit ledger in the current prototype. Only requests evaluated against an ACTIVE consent produce the STATE_CHECK and DATA_ACCESS records, whether the decision is GRANTED or DENIED, and the refusal that follows revocation is therefore evidenced by the interface and the automated tests rather than by a ledger row. The system verifies whether the multi-party authorisation requirement associated with consent object C has been satisfied, under the N-of-N approval rule described in Section 8.</w:t>
      </w:r>
    </w:p>
    <w:p>
      <w:pPr>
        <w:pStyle w:val="Heading2"/>
        <w:keepNext/>
        <w:spacing w:after="120" w:before="240"/>
      </w:pPr>
      <w:r>
        <w:rPr>
          <w:rFonts w:ascii="Times New Roman" w:cs="Times New Roman" w:eastAsia="Times New Roman" w:hAnsi="Times New Roman"/>
          <w:b/>
          <w:bCs/>
          <w:sz w:val="26"/>
          <w:szCs w:val="26"/>
        </w:rPr>
        <w:t xml:space="preserve">9.5  Outcome of RO4</w:t>
      </w:r>
    </w:p>
    <w:p>
      <w:pPr>
        <w:spacing w:after="110" w:line="264"/>
        <w:jc w:val="both"/>
      </w:pPr>
      <w:r>
        <w:rPr>
          <w:rFonts w:ascii="Times New Roman" w:cs="Times New Roman" w:eastAsia="Times New Roman" w:hAnsi="Times New Roman"/>
          <w:sz w:val="22"/>
          <w:szCs w:val="22"/>
        </w:rPr>
        <w:t xml:space="preserve">RO4 has been completed at the conceptual and prototype level. RO4 represents the third layer of the framework beyond identity and multi-party approval. In the formal model,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evaluates to 0 for the over-scope request given above, and the prototype refuses such a request with the scope named as the failed check. The interface itself allows a requested scope to be selected from the consent scope only. The unit-level adversarial tests verify that a participant cannot obtain healthcare resources outside the scope authorised by the patient's consent, even when the participant possesses a valid identity and authority credential. The adversarial test set is particularly important because a framework should not only demonstrate that legitimate requests succeed, but also demonstrate resilience against foreseeable attempts to bypass its security controls. An empty request scope was blocked only by the interface before the hardening of 1 October 2026, and it is now also refused by the scope check itself.</w:t>
      </w:r>
    </w:p>
    <w:p>
      <w:pPr>
        <w:spacing w:after="110" w:line="264"/>
        <w:jc w:val="both"/>
      </w:pPr>
      <w:r>
        <w:rPr>
          <w:rFonts w:ascii="Times New Roman" w:cs="Times New Roman" w:eastAsia="Times New Roman" w:hAnsi="Times New Roman"/>
          <w:sz w:val="22"/>
          <w:szCs w:val="22"/>
        </w:rPr>
        <w:t xml:space="preserve">Every denial names the failed checks in the interface. Each consent specification and access request is accepted only when the required fields are valid. Malformed identifiers, scopes, and jurisdictions therefore do not reach the decision logic. The procedure also implements the principle of least privilege through the explicit scope-containment condition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Consequently, even when a participant possesses a valid DID, a valid VC, and sufficient authority, the participant cannot retrieve healthcare resources outside the scope explicitly authorised by the consent. Similarly, a valid consent cannot be used for an unsupported purpose or before the required multi-party authorisation threshold has been reached.</w:t>
      </w:r>
    </w:p>
    <w:p>
      <w:pPr>
        <w:spacing w:after="110" w:line="264"/>
        <w:jc w:val="both"/>
      </w:pPr>
      <w:r>
        <w:rPr>
          <w:rFonts w:ascii="Times New Roman" w:cs="Times New Roman" w:eastAsia="Times New Roman" w:hAnsi="Times New Roman"/>
          <w:sz w:val="22"/>
          <w:szCs w:val="22"/>
        </w:rPr>
        <w:t xml:space="preserve">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 This architecture transforms healthcare data access from a simple credential-based permission check into an evidence-based authorisation process. Consent therefore becomes an active authorisation constraint rather than a historical indication that a participant was once granted permission. Section 11 demonstrates on the live system that a request is permitted only when the requested data scope is contained within the authorised scope.</w:t>
      </w:r>
    </w:p>
    <w:p>
      <w:pPr>
        <w:pStyle w:val="Heading1"/>
        <w:pageBreakBefore/>
        <w:spacing w:after="200" w:before="120"/>
      </w:pPr>
      <w:r>
        <w:rPr>
          <w:rFonts w:ascii="Times New Roman" w:cs="Times New Roman" w:eastAsia="Times New Roman" w:hAnsi="Times New Roman"/>
          <w:b/>
          <w:bCs/>
          <w:sz w:val="32"/>
          <w:szCs w:val="32"/>
        </w:rPr>
        <w:t xml:space="preserve">10.  The Proposed Solution for RO5</w:t>
      </w:r>
    </w:p>
    <w:p>
      <w:pPr>
        <w:spacing w:after="140" w:before="0"/>
      </w:pPr>
      <w:r>
        <w:rPr>
          <w:rFonts w:ascii="Times New Roman" w:cs="Times New Roman" w:eastAsia="Times New Roman" w:hAnsi="Times New Roman"/>
          <w:b/>
          <w:bCs/>
          <w:i/>
          <w:iCs/>
          <w:sz w:val="26"/>
          <w:szCs w:val="26"/>
        </w:rPr>
        <w:t xml:space="preserve">RO5 – Temporal and Lifecycle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In Progress (partially completed)</w:t>
      </w:r>
    </w:p>
    <w:p>
      <w:pPr>
        <w:spacing w:after="110" w:line="264"/>
        <w:jc w:val="both"/>
      </w:pPr>
      <w:r>
        <w:rPr>
          <w:rFonts w:ascii="Times New Roman" w:cs="Times New Roman" w:eastAsia="Times New Roman" w:hAnsi="Times New Roman"/>
          <w:sz w:val="22"/>
          <w:szCs w:val="22"/>
        </w:rPr>
        <w:t xml:space="preserve">RO5 addresses RQ5 and extends the foundational authorisation model with temporal validity and consent lifecycle controls. This objective </w:t>
      </w:r>
      <w:r>
        <w:rPr>
          <w:rFonts w:ascii="Times New Roman" w:cs="Times New Roman" w:eastAsia="Times New Roman" w:hAnsi="Times New Roman"/>
          <w:color w:val="FF0000"/>
          <w:sz w:val="22"/>
          <w:szCs w:val="22"/>
        </w:rPr>
        <w:t xml:space="preserve">was originally planned for the next stage because</w:t>
      </w:r>
      <w:r>
        <w:rPr>
          <w:rFonts w:ascii="Times New Roman" w:cs="Times New Roman" w:eastAsia="Times New Roman" w:hAnsi="Times New Roman"/>
          <w:sz w:val="22"/>
          <w:szCs w:val="22"/>
        </w:rPr>
        <w:t xml:space="preserve"> it investigates how an authorisation remains trustworthy as time passes and as the consent state changes. The objective is to ensure that an authorisation remains valid only within its permitted time interval and lifecycle state. It must also ensure that expiration, revocation, and unauthorised state transitions are correctly enforced.</w:t>
      </w:r>
    </w:p>
    <w:p>
      <w:pPr>
        <w:pStyle w:val="Heading2"/>
        <w:keepNext/>
        <w:spacing w:after="120" w:before="240"/>
      </w:pPr>
      <w:r>
        <w:rPr>
          <w:rFonts w:ascii="Times New Roman" w:cs="Times New Roman" w:eastAsia="Times New Roman" w:hAnsi="Times New Roman"/>
          <w:b/>
          <w:bCs/>
          <w:sz w:val="26"/>
          <w:szCs w:val="26"/>
        </w:rPr>
        <w:t xml:space="preserve">10.1  Temporal and Jurisdictional Trust Conditions</w:t>
      </w:r>
    </w:p>
    <w:p>
      <w:pPr>
        <w:spacing w:after="110" w:line="264"/>
        <w:jc w:val="both"/>
      </w:pPr>
      <w:r>
        <w:rPr>
          <w:rFonts w:ascii="Times New Roman" w:cs="Times New Roman" w:eastAsia="Times New Roman" w:hAnsi="Times New Roman"/>
          <w:sz w:val="22"/>
          <w:szCs w:val="22"/>
        </w:rPr>
        <w:t xml:space="preserve">Trustworthy authorisation is inherently dynamic. A consent that is valid at one point in time cannot necessarily be assumed to remain valid indefinitely. The system compares the current time t with the consent validity interval, and Equation (20) defines the temporal predicate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(C, t) = 1 if t</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t ≤ t</w:t>
      </w:r>
      <w:r>
        <w:rPr>
          <w:rFonts w:ascii="Cambria Math" w:cs="Cambria Math" w:eastAsia="Cambria Math" w:hAnsi="Cambria Math"/>
          <w:i w:val="false"/>
          <w:iCs w:val="false"/>
          <w:sz w:val="21"/>
          <w:szCs w:val="21"/>
          <w:vertAlign w:val="subscript"/>
        </w:rPr>
        <w:t xml:space="preserve">e</w:t>
      </w:r>
      <w:r>
        <w:rPr>
          <w:rFonts w:ascii="Cambria Math" w:cs="Cambria Math" w:eastAsia="Cambria Math" w:hAnsi="Cambria Math"/>
          <w:i w:val="false"/>
          <w:iCs w:val="false"/>
          <w:sz w:val="21"/>
          <w:szCs w:val="21"/>
        </w:rPr>
        <w:t xml:space="preserve">, and 0 otherwise.</w:t>
      </w:r>
      <w:r>
        <w:rPr>
          <w:rFonts w:ascii="Times New Roman" w:cs="Times New Roman" w:eastAsia="Times New Roman" w:hAnsi="Times New Roman"/>
          <w:sz w:val="22"/>
          <w:szCs w:val="22"/>
        </w:rPr>
        <w:t xml:space="preserve">	(20)</w:t>
      </w:r>
    </w:p>
    <w:p>
      <w:pPr>
        <w:spacing w:after="110" w:line="264"/>
        <w:jc w:val="both"/>
      </w:pPr>
      <w:r>
        <w:rPr>
          <w:rFonts w:ascii="Times New Roman" w:cs="Times New Roman" w:eastAsia="Times New Roman" w:hAnsi="Times New Roman"/>
          <w:sz w:val="22"/>
          <w:szCs w:val="22"/>
        </w:rPr>
        <w:t xml:space="preserve">Equation (21) defines the jurisdictional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which compares the jurisdiction of request R with the consent jurisdiction L, </w:t>
      </w:r>
      <w:r>
        <w:rPr>
          <w:rFonts w:ascii="Times New Roman" w:cs="Times New Roman" w:eastAsia="Times New Roman" w:hAnsi="Times New Roman"/>
          <w:color w:val="00B0F0"/>
          <w:sz w:val="22"/>
          <w:szCs w:val="22"/>
        </w:rPr>
        <w:t xml:space="preserve">where Jur(C) = L is the two-letter ISO code recorded with the consent and stored on-chain, and Jur(R) is the two-letter code declared with the request.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L</w:t>
      </w:r>
      <w:r>
        <w:rPr>
          <w:rFonts w:ascii="Cambria Math" w:cs="Cambria Math" w:eastAsia="Cambria Math" w:hAnsi="Cambria Math"/>
          <w:i w:val="false"/>
          <w:iCs w:val="false"/>
          <w:sz w:val="21"/>
          <w:szCs w:val="21"/>
        </w:rPr>
        <w:t xml:space="preserve">(C, R) = 1 ⟺ Jur(R) = Jur(C) ∨ Jur(C) = ∅.</w:t>
      </w:r>
      <w:r>
        <w:rPr>
          <w:rFonts w:ascii="Times New Roman" w:cs="Times New Roman" w:eastAsia="Times New Roman" w:hAnsi="Times New Roman"/>
          <w:sz w:val="22"/>
          <w:szCs w:val="22"/>
        </w:rPr>
        <w:t xml:space="preserve">	(21)</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and L is one of these fields. The disjunct Jur(C) = ∅ is therefore not reached for any consent created through the current interface, and the predicate reduces to strict equality. </w:t>
      </w:r>
      <w:r>
        <w:rPr>
          <w:rFonts w:ascii="Times New Roman" w:cs="Times New Roman" w:eastAsia="Times New Roman" w:hAnsi="Times New Roman"/>
          <w:color w:val="00B0F0"/>
          <w:sz w:val="22"/>
          <w:szCs w:val="22"/>
        </w:rPr>
        <w:t xml:space="preserve">As in Section 5.2, revocation and the token state remain part of V</w:t>
      </w:r>
      <w:r>
        <w:rPr>
          <w:rFonts w:ascii="Times New Roman" w:cs="Times New Roman" w:eastAsia="Times New Roman" w:hAnsi="Times New Roman"/>
          <w:color w:val="00B0F0"/>
          <w:sz w:val="22"/>
          <w:szCs w:val="22"/>
          <w:vertAlign w:val="subscript"/>
        </w:rPr>
        <w:t xml:space="preserve">A</w:t>
      </w:r>
      <w:r>
        <w:rPr>
          <w:rFonts w:ascii="Times New Roman" w:cs="Times New Roman" w:eastAsia="Times New Roman" w:hAnsi="Times New Roman"/>
          <w:color w:val="00B0F0"/>
          <w:sz w:val="22"/>
          <w:szCs w:val="22"/>
        </w:rPr>
        <w:t xml:space="preserve">, while the time-based states are evaluated within V</w:t>
      </w:r>
      <w:r>
        <w:rPr>
          <w:rFonts w:ascii="Times New Roman" w:cs="Times New Roman" w:eastAsia="Times New Roman" w:hAnsi="Times New Roman"/>
          <w:color w:val="00B0F0"/>
          <w:sz w:val="22"/>
          <w:szCs w:val="22"/>
          <w:vertAlign w:val="subscript"/>
        </w:rPr>
        <w:t xml:space="preserve">T</w:t>
      </w:r>
      <w:r>
        <w:rPr>
          <w:rFonts w:ascii="Times New Roman" w:cs="Times New Roman" w:eastAsia="Times New Roman" w:hAnsi="Times New Roman"/>
          <w:color w:val="00B0F0"/>
          <w:sz w:val="22"/>
          <w:szCs w:val="22"/>
        </w:rPr>
        <w:t xml:space="preserve">.</w:t>
      </w:r>
      <w:r>
        <w:rPr>
          <w:rFonts w:ascii="Times New Roman" w:cs="Times New Roman" w:eastAsia="Times New Roman" w:hAnsi="Times New Roman"/>
          <w:sz w:val="22"/>
          <w:szCs w:val="22"/>
        </w:rPr>
        <w:t xml:space="preserve"> An authorisation decision consequently requires both temporal and lifecycle validity. The extended authorisation decision is therefore given by Equation (22). A valid authorisation decision requires the simultaneous satisfaction of all relevant trust conditions. Consequently, failure of any individual condition results in denial. Temporal and lifecycle controls contribute dynamic validity.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(22)</w:t>
      </w:r>
    </w:p>
    <w:p>
      <w:pPr>
        <w:spacing w:after="110" w:line="264"/>
        <w:jc w:val="both"/>
      </w:pPr>
      <w:r>
        <w:rPr>
          <w:rFonts w:ascii="Times New Roman" w:cs="Times New Roman" w:eastAsia="Times New Roman" w:hAnsi="Times New Roman"/>
          <w:sz w:val="22"/>
          <w:szCs w:val="22"/>
        </w:rPr>
        <w:t xml:space="preserve">Authorisation is not necessarily permanent. A consent that was valid when initially approved may subsequently become invalid due to expiration or revocation. This establishes that consent validity is not a static property. The purpose of RO5 is not simply to add an expiry field. It is to ensure that the validity of a consent depends on both its temporal interval and its current lifecycle state. A consent that has expired or been revoked must not remain usable merely because its original approval threshold was satisfied. The existence of a consent record in the system does not imply that the consent remains effective.</w:t>
      </w:r>
    </w:p>
    <w:p>
      <w:pPr>
        <w:pStyle w:val="Heading2"/>
        <w:keepNext/>
        <w:spacing w:after="120" w:before="240"/>
      </w:pPr>
      <w:r>
        <w:rPr>
          <w:rFonts w:ascii="Times New Roman" w:cs="Times New Roman" w:eastAsia="Times New Roman" w:hAnsi="Times New Roman"/>
          <w:b/>
          <w:bCs/>
          <w:sz w:val="26"/>
          <w:szCs w:val="26"/>
        </w:rPr>
        <w:t xml:space="preserve">10.2  Implemented Temporal and Lifecycle Controls</w:t>
      </w:r>
    </w:p>
    <w:p>
      <w:pPr>
        <w:spacing w:after="110" w:line="264"/>
        <w:jc w:val="both"/>
      </w:pPr>
      <w:r>
        <w:rPr>
          <w:rFonts w:ascii="Times New Roman" w:cs="Times New Roman" w:eastAsia="Times New Roman" w:hAnsi="Times New Roman"/>
          <w:sz w:val="22"/>
          <w:szCs w:val="22"/>
        </w:rPr>
        <w:t xml:space="preserve">Figure 12 presents the RO5 workflow, which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 Temporal conditions and lifecycle state are represented in the Model, while their validity is evaluated by the Controller before an access decision is produced. The Consent Engine evaluates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from the application record, whereas the independent verification tool reads checkValid and checkValidAt on the deployed contract, which stores the notBefore and expiry fields.</w:t>
      </w:r>
    </w:p>
    <w:p>
      <w:pPr>
        <w:keepNext/>
        <w:spacing w:after="60" w:before="160"/>
        <w:jc w:val="center"/>
      </w:pPr>
      <w:r>
        <w:drawing>
          <wp:inline distT="0" distB="0" distL="0" distR="0">
            <wp:extent cx="2990850" cy="4286250"/>
            <wp:effectExtent t="0" r="0" b="0" l="0"/>
            <wp:docPr id="1" name="F15.png" descr="RO5 workflow for temporal and consent lifecycle trust" title="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908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12: </w:t>
      </w:r>
      <w:r>
        <w:rPr>
          <w:rFonts w:ascii="Times New Roman" w:cs="Times New Roman" w:eastAsia="Times New Roman" w:hAnsi="Times New Roman"/>
          <w:color w:val="00B0F0"/>
          <w:sz w:val="18"/>
          <w:szCs w:val="18"/>
        </w:rPr>
        <w:t xml:space="preserve">RO5 workflow for temporal and consent lifecycle trust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current HALAH code already collects a start time and expiry time during consent creation, and three elements of RO5 are now enforced.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Temporal validity.</w:t>
      </w:r>
      <w:r>
        <w:rPr>
          <w:rFonts w:ascii="Times New Roman" w:cs="Times New Roman" w:eastAsia="Times New Roman" w:hAnsi="Times New Roman"/>
          <w:sz w:val="22"/>
          <w:szCs w:val="22"/>
        </w:rPr>
        <w:t xml:space="preserve"> At every access request, the system compares the current time t with the consent validity interval. This step prevents a consent from being used before its effective start time or after its expiration time. At consent creation, the expiry time must be later than the start time. These temporal attributes define the period during which the consent is potentially valid.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On-chain revocation.</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patient's withdrawal is confirmed as a revoke transaction on Sepolia in block 11,771,307, after which the contract reports the token as no longer valid. The blockchain or token layer provides persistence, traceability, and evidence of the resulting state. For subsequent requests, the system explicitly checks whether consent object C has been revoked in the local store. If the state is not ACTIVE, the access request is denied, and the refusal is reported in the doctor interface rather than written to the audit ledger in the current prototype.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Lifecycle states.</w:t>
      </w:r>
      <w:r>
        <w:rPr>
          <w:rFonts w:ascii="Times New Roman" w:cs="Times New Roman" w:eastAsia="Times New Roman" w:hAnsi="Times New Roman"/>
          <w:sz w:val="22"/>
          <w:szCs w:val="22"/>
        </w:rPr>
        <w:t xml:space="preserve"> The lifecycle is an explicit state machine with six states PENDING_SIGNATURE, PENDING_TOKEN, NOT_STARTED, ACTIVE, EXPIRED, and REVOKED. Each evaluation derives the state from the distinct approvals of members of G, the token identifier, the revocation flag, and the current time. In particular, the system verifies that the consent has not expired, been revoked, or otherwise transitioned into an inactive state. The current state is used to determine whether the requested operation can legally and logically be performed.</w:t>
      </w:r>
    </w:p>
    <w:p>
      <w:pPr>
        <w:spacing w:after="110" w:line="264"/>
        <w:jc w:val="both"/>
      </w:pPr>
      <w:r>
        <w:rPr>
          <w:rFonts w:ascii="Times New Roman" w:cs="Times New Roman" w:eastAsia="Times New Roman" w:hAnsi="Times New Roman"/>
          <w:sz w:val="22"/>
          <w:szCs w:val="22"/>
        </w:rPr>
        <w:t xml:space="preserve">Figure 13 summarises the implemented lifecycle. Each STATE_CHECK event in the audit ledger, recorded at every access request evaluated against an ACTIVE consent, establishes an auditable relationship between the consent’s lifecycle state and the operation performed at a particular point in time. Rather than treating authorisation as a one-time event, this approach enables the system to determine whether authorisation remains valid at the precise time an operation is requested. The expiry path is not shown in the demonstration, because a window long enough for screenshots cannot expire during it, but the automated tests in Section 11 exercise it.</w:t>
      </w:r>
    </w:p>
    <w:p>
      <w:pPr>
        <w:keepNext/>
        <w:spacing w:after="60" w:before="160"/>
        <w:jc w:val="center"/>
      </w:pPr>
      <w:r>
        <w:drawing>
          <wp:inline distT="0" distB="0" distL="0" distR="0">
            <wp:extent cx="4476750" cy="1762125"/>
            <wp:effectExtent t="0" r="0" b="0" l="0"/>
            <wp:docPr id="1" name="F35.png" descr="Implemented consent lifecycle: grey transitions are derived by the Consent Engine from the approvals, the token identifier and the current time, red transitions are anchored as Sepolia transactions, and dashed transitions show revocation before a token exists (off-chain only)" title="Implemented consent lifecycle: grey transitions are derived by the Consent Engine from the approvals, the token identifier and the current time, red transitions are anchored as Sepolia transactions, and dashed transitions show revocation before a token exists (off-chain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76750" cy="17621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13: </w:t>
      </w:r>
      <w:r>
        <w:rPr>
          <w:rFonts w:ascii="Times New Roman" w:cs="Times New Roman" w:eastAsia="Times New Roman" w:hAnsi="Times New Roman"/>
          <w:color w:val="00B0F0"/>
          <w:sz w:val="18"/>
          <w:szCs w:val="18"/>
        </w:rPr>
        <w:t xml:space="preserve">Implemented consent lifecycle: grey transitions are derived by the Consent Engine from the approvals, the token identifier and the current time, red transitions are anchored as Sepolia transactions, and dashed transitions show revocation before a token exists (off-chain only)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10.3  Remaining Work and Expected Outcome</w:t>
      </w:r>
    </w:p>
    <w:p>
      <w:pPr>
        <w:spacing w:after="110" w:line="264"/>
        <w:jc w:val="both"/>
      </w:pPr>
      <w:r>
        <w:rPr>
          <w:rFonts w:ascii="Times New Roman" w:cs="Times New Roman" w:eastAsia="Times New Roman" w:hAnsi="Times New Roman"/>
          <w:sz w:val="22"/>
          <w:szCs w:val="22"/>
        </w:rPr>
        <w:t xml:space="preserve">In dynamic consent environments, permissions may expire, be revoked, suspended, renewed, or otherwise modified during the lifecycle of a healthcare data-sharing relationship. </w:t>
      </w:r>
      <w:r>
        <w:rPr>
          <w:rFonts w:ascii="Times New Roman" w:cs="Times New Roman" w:eastAsia="Times New Roman" w:hAnsi="Times New Roman"/>
          <w:color w:val="FF0000"/>
          <w:sz w:val="22"/>
          <w:szCs w:val="22"/>
        </w:rPr>
        <w:t xml:space="preserve">Five elements remain for the next stage.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Consent modification.</w:t>
      </w:r>
      <w:r>
        <w:rPr>
          <w:rFonts w:ascii="Times New Roman" w:cs="Times New Roman" w:eastAsia="Times New Roman" w:hAnsi="Times New Roman"/>
          <w:sz w:val="22"/>
          <w:szCs w:val="22"/>
        </w:rPr>
        <w:t xml:space="preserve"> The current prototype assumes that the consent terms do not change after approval. </w:t>
      </w:r>
      <w:r>
        <w:rPr>
          <w:rFonts w:ascii="Times New Roman" w:cs="Times New Roman" w:eastAsia="Times New Roman" w:hAnsi="Times New Roman"/>
          <w:color w:val="FF0000"/>
          <w:sz w:val="22"/>
          <w:szCs w:val="22"/>
        </w:rPr>
        <w:t xml:space="preserve">The next stage will therefore extend</w:t>
      </w:r>
      <w:r>
        <w:rPr>
          <w:rFonts w:ascii="Times New Roman" w:cs="Times New Roman" w:eastAsia="Times New Roman" w:hAnsi="Times New Roman"/>
          <w:sz w:val="22"/>
          <w:szCs w:val="22"/>
        </w:rPr>
        <w:t xml:space="preserve"> the consent model to explicitly represent governed modification.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Delegation.</w:t>
      </w:r>
      <w:r>
        <w:rPr>
          <w:rFonts w:ascii="Times New Roman" w:cs="Times New Roman" w:eastAsia="Times New Roman" w:hAnsi="Times New Roman"/>
          <w:sz w:val="22"/>
          <w:szCs w:val="22"/>
        </w:rPr>
        <w:t xml:space="preserve"> The consent Model will be expanded to include the delegation of consent.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Guardian-set changes.</w:t>
      </w:r>
      <w:r>
        <w:rPr>
          <w:rFonts w:ascii="Times New Roman" w:cs="Times New Roman" w:eastAsia="Times New Roman" w:hAnsi="Times New Roman"/>
          <w:sz w:val="22"/>
          <w:szCs w:val="22"/>
        </w:rPr>
        <w:t xml:space="preserve"> Changes to the guardian set G after consent creation remain to be supported.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Transition check.</w:t>
      </w:r>
      <w:r>
        <w:rPr>
          <w:rFonts w:ascii="Times New Roman" w:cs="Times New Roman" w:eastAsia="Times New Roman" w:hAnsi="Times New Roman"/>
          <w:sz w:val="22"/>
          <w:szCs w:val="22"/>
        </w:rPr>
        <w:t xml:space="preserve"> Lifecycle safety additionally requires that unauthorised state transitions be rejected. If the transition is not permitted, the system records an unauthorised state-transition event and returns INVALID, but this is the only step not yet implemented. It therefore ensures that a previously valid consent cannot be treated as permanently valid after expiration or revocation, but unauthorised transitions are examined only in part.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lifecycle model.</w:t>
      </w:r>
      <w:r>
        <w:rPr>
          <w:rFonts w:ascii="Times New Roman" w:cs="Times New Roman" w:eastAsia="Times New Roman" w:hAnsi="Times New Roman"/>
          <w:sz w:val="22"/>
          <w:szCs w:val="22"/>
        </w:rPr>
        <w:t xml:space="preserve"> The consent lifecycle will also be extended to represent controlled transitions formally. Unauthorised transitions are thereby excluded by construction, with the central invariant that no REVOKED or EXPIRED consent can re-enter the ACTIVE state.</w:t>
      </w:r>
    </w:p>
    <w:p>
      <w:pPr>
        <w:spacing w:after="110" w:line="264"/>
        <w:jc w:val="both"/>
      </w:pPr>
      <w:r>
        <w:rPr>
          <w:rFonts w:ascii="Times New Roman" w:cs="Times New Roman" w:eastAsia="Times New Roman" w:hAnsi="Times New Roman"/>
          <w:sz w:val="22"/>
          <w:szCs w:val="22"/>
        </w:rPr>
        <w:t xml:space="preserve">The expected outcome is a lifecycle-aware consent mechanism capable of rejecting access after expiration or revocation and preventing unauthorised lifecycle transitions. The lifecycle invariant will be verified by model checking of the state machine or by proof over the predicate definitions, with the formal component of RO6 in Section 11. </w:t>
      </w:r>
      <w:r>
        <w:rPr>
          <w:rFonts w:ascii="Times New Roman" w:cs="Times New Roman" w:eastAsia="Times New Roman" w:hAnsi="Times New Roman"/>
          <w:color w:val="FF0000"/>
          <w:sz w:val="22"/>
          <w:szCs w:val="22"/>
        </w:rPr>
        <w:t xml:space="preserve">This work will be a major part of the next stage. The main activities of the next stage</w:t>
      </w:r>
      <w:r>
        <w:rPr>
          <w:rFonts w:ascii="Times New Roman" w:cs="Times New Roman" w:eastAsia="Times New Roman" w:hAnsi="Times New Roman"/>
          <w:sz w:val="22"/>
          <w:szCs w:val="22"/>
        </w:rPr>
        <w:t xml:space="preserve"> and their expected outcomes are summarised in Section 13.</w:t>
      </w:r>
    </w:p>
    <w:p>
      <w:pPr>
        <w:pStyle w:val="Heading1"/>
        <w:pageBreakBefore/>
        <w:spacing w:after="200" w:before="120"/>
      </w:pPr>
      <w:r>
        <w:rPr>
          <w:rFonts w:ascii="Times New Roman" w:cs="Times New Roman" w:eastAsia="Times New Roman" w:hAnsi="Times New Roman"/>
          <w:b/>
          <w:bCs/>
          <w:sz w:val="32"/>
          <w:szCs w:val="32"/>
        </w:rPr>
        <w:t xml:space="preserve">11.  The Proposed Solution for RO6</w:t>
      </w:r>
    </w:p>
    <w:p>
      <w:pPr>
        <w:spacing w:after="140" w:before="0"/>
      </w:pPr>
      <w:r>
        <w:rPr>
          <w:rFonts w:ascii="Times New Roman" w:cs="Times New Roman" w:eastAsia="Times New Roman" w:hAnsi="Times New Roman"/>
          <w:b/>
          <w:bCs/>
          <w:i/>
          <w:iCs/>
          <w:sz w:val="26"/>
          <w:szCs w:val="26"/>
        </w:rPr>
        <w:t xml:space="preserve">RO6 – Formal Security Assurance and Empirical Validation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Partially completed (for RQ1 to RQ4)</w:t>
      </w:r>
    </w:p>
    <w:p>
      <w:pPr>
        <w:spacing w:after="110" w:line="264"/>
        <w:jc w:val="both"/>
      </w:pPr>
      <w:r>
        <w:rPr>
          <w:rFonts w:ascii="Times New Roman" w:cs="Times New Roman" w:eastAsia="Times New Roman" w:hAnsi="Times New Roman"/>
          <w:sz w:val="22"/>
          <w:szCs w:val="22"/>
        </w:rP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RO6 is partially completed through the implementation and scenario-based validation of the HALAH prototype for RQ1 to RQ4. The complete formal analysis and comprehensive empirical validation </w:t>
      </w:r>
      <w:r>
        <w:rPr>
          <w:rFonts w:ascii="Times New Roman" w:cs="Times New Roman" w:eastAsia="Times New Roman" w:hAnsi="Times New Roman"/>
          <w:color w:val="FF0000"/>
          <w:sz w:val="22"/>
          <w:szCs w:val="22"/>
        </w:rPr>
        <w:t xml:space="preserve">will be conducted in the next stage.</w:t>
      </w:r>
    </w:p>
    <w:p>
      <w:pPr>
        <w:pStyle w:val="Heading2"/>
        <w:keepNext/>
        <w:spacing w:after="120" w:before="240"/>
      </w:pPr>
      <w:r>
        <w:rPr>
          <w:rFonts w:ascii="Times New Roman" w:cs="Times New Roman" w:eastAsia="Times New Roman" w:hAnsi="Times New Roman"/>
          <w:b/>
          <w:bCs/>
          <w:sz w:val="26"/>
          <w:szCs w:val="26"/>
        </w:rPr>
        <w:t xml:space="preserve">11.1  Validation Approach</w:t>
      </w:r>
    </w:p>
    <w:p>
      <w:pPr>
        <w:spacing w:after="110" w:line="264"/>
        <w:jc w:val="both"/>
      </w:pPr>
      <w:r>
        <w:rPr>
          <w:rFonts w:ascii="Times New Roman" w:cs="Times New Roman" w:eastAsia="Times New Roman" w:hAnsi="Times New Roman"/>
          <w:sz w:val="22"/>
          <w:szCs w:val="22"/>
        </w:rPr>
        <w:t xml:space="preserve">Figure 14 presents the RO6 workflow for formal security assurance and empirical validation. The formal and empirical components are complementary. Formal reasoning defines what the framework should guarantee, while empirical testing examines whether the implementation satisfies those guarantees in representative operational scenarios.</w:t>
      </w:r>
    </w:p>
    <w:p>
      <w:pPr>
        <w:keepNext/>
        <w:spacing w:after="60" w:before="160"/>
        <w:jc w:val="center"/>
      </w:pPr>
      <w:r>
        <w:drawing>
          <wp:inline distT="0" distB="0" distL="0" distR="0">
            <wp:extent cx="3819525" cy="4286250"/>
            <wp:effectExtent t="0" r="0" b="0" l="0"/>
            <wp:docPr id="1" name="F16.png" descr="RO6 workflow for formal security assurance and empirical validation" title="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95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14: </w:t>
      </w:r>
      <w:r>
        <w:rPr>
          <w:rFonts w:ascii="Times New Roman" w:cs="Times New Roman" w:eastAsia="Times New Roman" w:hAnsi="Times New Roman"/>
          <w:color w:val="00B0F0"/>
          <w:sz w:val="18"/>
          <w:szCs w:val="18"/>
        </w:rPr>
        <w:t xml:space="preserve">RO6 workflow for formal security assurance and empirical validation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first step is to define the security and authorisation properties P = {P</w:t>
      </w:r>
      <w:r>
        <w:rPr>
          <w:rFonts w:ascii="Times New Roman" w:cs="Times New Roman" w:eastAsia="Times New Roman" w:hAnsi="Times New Roman"/>
          <w:sz w:val="22"/>
          <w:szCs w:val="22"/>
          <w:vertAlign w:val="subscript"/>
        </w:rPr>
        <w:t xml:space="preserve">sound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deny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threshold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policy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scope</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audit</w:t>
      </w:r>
      <w:r>
        <w:rPr>
          <w:rFonts w:ascii="Times New Roman" w:cs="Times New Roman" w:eastAsia="Times New Roman" w:hAnsi="Times New Roman"/>
          <w:sz w:val="22"/>
          <w:szCs w:val="22"/>
        </w:rPr>
        <w:t xml:space="preserve">} that the framework is expected to satisfy. The three scenario classes are combined into the complete validation set S = S</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negative</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adv</w:t>
      </w:r>
      <w:r>
        <w:rPr>
          <w:rFonts w:ascii="Times New Roman" w:cs="Times New Roman" w:eastAsia="Times New Roman" w:hAnsi="Times New Roman"/>
          <w:sz w:val="22"/>
          <w:szCs w:val="22"/>
        </w:rPr>
        <w:t xml:space="preserve">.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The observed decision is compared with the expected decision defined for scenario s, and the fundamental scenario-level validation criterion is Pass(s) ⟺ D</w:t>
      </w:r>
      <w:r>
        <w:rPr>
          <w:rFonts w:ascii="Times New Roman" w:cs="Times New Roman" w:eastAsia="Times New Roman" w:hAnsi="Times New Roman"/>
          <w:sz w:val="22"/>
          <w:szCs w:val="22"/>
          <w:vertAlign w:val="subscript"/>
        </w:rPr>
        <w:t xml:space="preserve">obs</w:t>
      </w:r>
      <w:r>
        <w:rPr>
          <w:rFonts w:ascii="Times New Roman" w:cs="Times New Roman" w:eastAsia="Times New Roman" w:hAnsi="Times New Roman"/>
          <w:sz w:val="22"/>
          <w:szCs w:val="22"/>
        </w:rPr>
        <w:t xml:space="preserve">(s) = D</w:t>
      </w:r>
      <w:r>
        <w:rPr>
          <w:rFonts w:ascii="Times New Roman" w:cs="Times New Roman" w:eastAsia="Times New Roman" w:hAnsi="Times New Roman"/>
          <w:sz w:val="22"/>
          <w:szCs w:val="22"/>
          <w:vertAlign w:val="subscript"/>
        </w:rPr>
        <w:t xml:space="preserve">exp</w:t>
      </w:r>
      <w:r>
        <w:rPr>
          <w:rFonts w:ascii="Times New Roman" w:cs="Times New Roman" w:eastAsia="Times New Roman" w:hAnsi="Times New Roman"/>
          <w:sz w:val="22"/>
          <w:szCs w:val="22"/>
        </w:rPr>
        <w:t xml:space="preserve">(s). Otherwise, the scenario is classified as a validation failure. The framework is considered empirically consistent with the specified authorisation model when the observed decisions satisfy the expected outcomes across the defined validation scenarios and no critical security property is violated. This procedure establishes a distinction between functional correctness and security correctness. The proposed validation therefore does not treat successful execution as sufficient evidence of correctness. Equation (23) expresses, in its foundational three-predicate form, the soundness requirement that every granted request must satisfy the identity, authorisation, and policy conditions.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color w:val="00B0F0"/>
          <w:sz w:val="21"/>
          <w:szCs w:val="21"/>
        </w:rPr>
        <w:t xml:space="preserve">Decision(C, R, t) = ALLOW ⇒ V</w:t>
      </w:r>
      <w:r>
        <w:rPr>
          <w:rFonts w:ascii="Cambria Math" w:cs="Cambria Math" w:eastAsia="Cambria Math" w:hAnsi="Cambria Math"/>
          <w:i w:val="false"/>
          <w:iCs w:val="false"/>
          <w:color w:val="00B0F0"/>
          <w:sz w:val="21"/>
          <w:szCs w:val="21"/>
          <w:vertAlign w:val="subscript"/>
        </w:rPr>
        <w:t xml:space="preserve">I</w:t>
      </w:r>
      <w:r>
        <w:rPr>
          <w:rFonts w:ascii="Cambria Math" w:cs="Cambria Math" w:eastAsia="Cambria Math" w:hAnsi="Cambria Math"/>
          <w:i w:val="false"/>
          <w:iCs w:val="false"/>
          <w:color w:val="00B0F0"/>
          <w:sz w:val="21"/>
          <w:szCs w:val="21"/>
        </w:rPr>
        <w:t xml:space="preserve">(u) ∧ V</w:t>
      </w:r>
      <w:r>
        <w:rPr>
          <w:rFonts w:ascii="Cambria Math" w:cs="Cambria Math" w:eastAsia="Cambria Math" w:hAnsi="Cambria Math"/>
          <w:i w:val="false"/>
          <w:iCs w:val="false"/>
          <w:color w:val="00B0F0"/>
          <w:sz w:val="21"/>
          <w:szCs w:val="21"/>
          <w:vertAlign w:val="subscript"/>
        </w:rPr>
        <w:t xml:space="preserve">A</w:t>
      </w:r>
      <w:r>
        <w:rPr>
          <w:rFonts w:ascii="Cambria Math" w:cs="Cambria Math" w:eastAsia="Cambria Math" w:hAnsi="Cambria Math"/>
          <w:i w:val="false"/>
          <w:iCs w:val="false"/>
          <w:color w:val="00B0F0"/>
          <w:sz w:val="21"/>
          <w:szCs w:val="21"/>
        </w:rPr>
        <w:t xml:space="preserve">(C) ∧ V</w:t>
      </w:r>
      <w:r>
        <w:rPr>
          <w:rFonts w:ascii="Cambria Math" w:cs="Cambria Math" w:eastAsia="Cambria Math" w:hAnsi="Cambria Math"/>
          <w:i w:val="false"/>
          <w:iCs w:val="false"/>
          <w:color w:val="00B0F0"/>
          <w:sz w:val="21"/>
          <w:szCs w:val="21"/>
          <w:vertAlign w:val="subscript"/>
        </w:rPr>
        <w:t xml:space="preserve">P</w:t>
      </w:r>
      <w:r>
        <w:rPr>
          <w:rFonts w:ascii="Cambria Math" w:cs="Cambria Math" w:eastAsia="Cambria Math" w:hAnsi="Cambria Math"/>
          <w:i w:val="false"/>
          <w:iCs w:val="false"/>
          <w:color w:val="00B0F0"/>
          <w:sz w:val="21"/>
          <w:szCs w:val="21"/>
        </w:rPr>
        <w:t xml:space="preserve">(C, R).</w:t>
      </w:r>
      <w:r>
        <w:rPr>
          <w:rFonts w:ascii="Times New Roman" w:cs="Times New Roman" w:eastAsia="Times New Roman" w:hAnsi="Times New Roman"/>
          <w:sz w:val="22"/>
          <w:szCs w:val="22"/>
        </w:rPr>
        <w:t xml:space="preserve">	(23)</w:t>
      </w:r>
    </w:p>
    <w:p>
      <w:pPr>
        <w:spacing w:after="110" w:line="264"/>
        <w:jc w:val="both"/>
      </w:pPr>
      <w:r>
        <w:rPr>
          <w:rFonts w:ascii="Times New Roman" w:cs="Times New Roman" w:eastAsia="Times New Roman" w:hAnsi="Times New Roman"/>
          <w:sz w:val="22"/>
          <w:szCs w:val="22"/>
        </w:rPr>
        <w:t xml:space="preserve">Equivalently, Equation (24), the contrapositive of Equation (23), states that if any mandatory condition is violated, the request must be denied. Equation (23) is therefore examined through the granted requests and Equation (24) through the negative scenarios, while the valid scenarios examine the opposite direction, namely that a request satisfying all conditions is granted. A valid authorisation decision requires the simultaneous satisfaction of all relevant trust conditions. Each predicate of Section 10 has a dedicated failure test, because successful operation under valid conditions alone cannot demonstrate that unauthorised access is reliably prevented. The tests confirm that failure of any individual condition results in denial.</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color w:val="00B0F0"/>
          <w:sz w:val="21"/>
          <w:szCs w:val="21"/>
        </w:rPr>
        <w:t xml:space="preserve">¬V</w:t>
      </w:r>
      <w:r>
        <w:rPr>
          <w:rFonts w:ascii="Cambria Math" w:cs="Cambria Math" w:eastAsia="Cambria Math" w:hAnsi="Cambria Math"/>
          <w:i w:val="false"/>
          <w:iCs w:val="false"/>
          <w:color w:val="00B0F0"/>
          <w:sz w:val="21"/>
          <w:szCs w:val="21"/>
          <w:vertAlign w:val="subscript"/>
        </w:rPr>
        <w:t xml:space="preserve">I</w:t>
      </w:r>
      <w:r>
        <w:rPr>
          <w:rFonts w:ascii="Cambria Math" w:cs="Cambria Math" w:eastAsia="Cambria Math" w:hAnsi="Cambria Math"/>
          <w:i w:val="false"/>
          <w:iCs w:val="false"/>
          <w:color w:val="00B0F0"/>
          <w:sz w:val="21"/>
          <w:szCs w:val="21"/>
        </w:rPr>
        <w:t xml:space="preserve">(u) ∨ ¬V</w:t>
      </w:r>
      <w:r>
        <w:rPr>
          <w:rFonts w:ascii="Cambria Math" w:cs="Cambria Math" w:eastAsia="Cambria Math" w:hAnsi="Cambria Math"/>
          <w:i w:val="false"/>
          <w:iCs w:val="false"/>
          <w:color w:val="00B0F0"/>
          <w:sz w:val="21"/>
          <w:szCs w:val="21"/>
          <w:vertAlign w:val="subscript"/>
        </w:rPr>
        <w:t xml:space="preserve">A</w:t>
      </w:r>
      <w:r>
        <w:rPr>
          <w:rFonts w:ascii="Cambria Math" w:cs="Cambria Math" w:eastAsia="Cambria Math" w:hAnsi="Cambria Math"/>
          <w:i w:val="false"/>
          <w:iCs w:val="false"/>
          <w:color w:val="00B0F0"/>
          <w:sz w:val="21"/>
          <w:szCs w:val="21"/>
        </w:rPr>
        <w:t xml:space="preserve">(C) ∨ ¬V</w:t>
      </w:r>
      <w:r>
        <w:rPr>
          <w:rFonts w:ascii="Cambria Math" w:cs="Cambria Math" w:eastAsia="Cambria Math" w:hAnsi="Cambria Math"/>
          <w:i w:val="false"/>
          <w:iCs w:val="false"/>
          <w:color w:val="00B0F0"/>
          <w:sz w:val="21"/>
          <w:szCs w:val="21"/>
          <w:vertAlign w:val="subscript"/>
        </w:rPr>
        <w:t xml:space="preserve">P</w:t>
      </w:r>
      <w:r>
        <w:rPr>
          <w:rFonts w:ascii="Cambria Math" w:cs="Cambria Math" w:eastAsia="Cambria Math" w:hAnsi="Cambria Math"/>
          <w:i w:val="false"/>
          <w:iCs w:val="false"/>
          <w:color w:val="00B0F0"/>
          <w:sz w:val="21"/>
          <w:szCs w:val="21"/>
        </w:rPr>
        <w:t xml:space="preserve">(C, R) ⇒ Decision(C, R, t) = DENY.</w:t>
      </w:r>
      <w:r>
        <w:rPr>
          <w:rFonts w:ascii="Times New Roman" w:cs="Times New Roman" w:eastAsia="Times New Roman" w:hAnsi="Times New Roman"/>
          <w:sz w:val="22"/>
          <w:szCs w:val="22"/>
        </w:rPr>
        <w:t xml:space="preserve">	(24)</w:t>
      </w:r>
    </w:p>
    <w:p>
      <w:pPr>
        <w:spacing w:after="110" w:line="264"/>
        <w:jc w:val="both"/>
      </w:pPr>
      <w:r>
        <w:rPr>
          <w:rFonts w:ascii="Times New Roman" w:cs="Times New Roman" w:eastAsia="Times New Roman" w:hAnsi="Times New Roman"/>
          <w:sz w:val="22"/>
          <w:szCs w:val="22"/>
        </w:rPr>
        <w:t xml:space="preserve">The empirical component evaluates the implementation through representative consent workflows, negative and adversarial scenarios. Its 23 functional and regression tests examine whether access is denied when identity verification fails, when the required authorisation threshold is not satisfied, or when the requested purpose or data scope violates the consent policy. They also cover invalid EIP-712 guardian signatures and tampered or expired zero-knowledge proofs, whereas the 13 adversarial tests cover a baseline and twelve attack scenarios.</w:t>
      </w:r>
    </w:p>
    <w:p>
      <w:pPr>
        <w:pStyle w:val="Heading2"/>
        <w:keepNext/>
        <w:spacing w:after="120" w:before="240"/>
      </w:pPr>
      <w:r>
        <w:rPr>
          <w:rFonts w:ascii="Times New Roman" w:cs="Times New Roman" w:eastAsia="Times New Roman" w:hAnsi="Times New Roman"/>
          <w:b/>
          <w:bCs/>
          <w:sz w:val="26"/>
          <w:szCs w:val="26"/>
        </w:rPr>
        <w:t xml:space="preserve">11.2  The HALAH Prototype and Live Scenarios</w:t>
      </w:r>
    </w:p>
    <w:p>
      <w:pPr>
        <w:spacing w:after="110" w:line="264"/>
        <w:jc w:val="both"/>
      </w:pPr>
      <w:r>
        <w:rPr>
          <w:rFonts w:ascii="Times New Roman" w:cs="Times New Roman" w:eastAsia="Times New Roman" w:hAnsi="Times New Roman"/>
          <w:sz w:val="22"/>
          <w:szCs w:val="22"/>
        </w:rPr>
        <w:t xml:space="preserve">The HALAH prototype provides the implementation basis for this evaluation. HALAH (History Access Link for Authorised Healthcare) is a role-based consent management platform. The current system includes separate patient, guardian, doctor, and auditor interfaces. It also records consent creation, guardian approval, token minting, state checks, and data-access events. Following successful threshold satisfaction, the system generates activation or token evidence associated with the authorisation decision through ConsentSBTv3, compiled in Remix and deployed via MetaMask. Each token stores the pseudonymous patient and requester addresses, a hash of the purpose, the validity window, a two-letter jurisdiction code, and a revocation flag. </w:t>
      </w:r>
      <w:r>
        <w:rPr>
          <w:rFonts w:ascii="Times New Roman" w:cs="Times New Roman" w:eastAsia="Times New Roman" w:hAnsi="Times New Roman"/>
          <w:color w:val="00B0F0"/>
          <w:sz w:val="22"/>
          <w:szCs w:val="22"/>
        </w:rPr>
        <w:t xml:space="preserve">The SBT, a soulbound ERC-721 token [71] that follows ERC-5484 [72] and whose transfer between accounts is blocked,</w:t>
      </w:r>
      <w:r>
        <w:rPr>
          <w:rFonts w:ascii="Times New Roman" w:cs="Times New Roman" w:eastAsia="Times New Roman" w:hAnsi="Times New Roman"/>
          <w:sz w:val="22"/>
          <w:szCs w:val="22"/>
        </w:rPr>
        <w:t xml:space="preserve"> should be interpreted as an activation or representation mechanism for the consent state rather than as the fundamental source of trust. The blockchain or token layer provides persistence, traceability, and evidence of the resulting state. Blockchain or other tamper-resistant storage mechanisms may be integrated as infrastructure for preserving selected authorisation evidence, and no medical content is written to the chain. However, the plaintext purpose is passed as a parameter of the mint transaction and is therefore visible in the public transaction input. The current prototype provides a practical environment for evaluating the trust-oriented authorisation model using synthetic healthcare records. The system represents patients and healthcare participants using decentralised identities and provides mechanisms for consent creation, participant verification, multi-party approval, and access-control evaluation. Synthetic healthcare records derived from the Synthea dataset are used to construct representative consent workflows.</w:t>
      </w:r>
    </w:p>
    <w:p>
      <w:pPr>
        <w:spacing w:after="110" w:line="264"/>
        <w:jc w:val="both"/>
      </w:pPr>
      <w:r>
        <w:rPr>
          <w:rFonts w:ascii="Times New Roman" w:cs="Times New Roman" w:eastAsia="Times New Roman" w:hAnsi="Times New Roman"/>
          <w:sz w:val="22"/>
          <w:szCs w:val="22"/>
        </w:rPr>
        <w:t xml:space="preserve">The evaluated consent, f050c29a, was carried through the complete lifecycle as token #1, being granted access, refused access, and finally revoked. </w:t>
      </w:r>
      <w:r>
        <w:rPr>
          <w:rFonts w:ascii="Times New Roman" w:cs="Times New Roman" w:eastAsia="Times New Roman" w:hAnsi="Times New Roman"/>
          <w:color w:val="00B0F0"/>
          <w:sz w:val="22"/>
          <w:szCs w:val="22"/>
        </w:rPr>
        <w:t xml:space="preserve">The creation, approval, and record-display screens (Figure 15, Figure 16 and Figure 18) were captured from a second lifecycle, 04da25f5, which used the same code, contract, and configuration and was anchored as token #2. Figure 17 shows the evaluated consent f050c29a.</w:t>
      </w:r>
      <w:r>
        <w:rPr>
          <w:rFonts w:ascii="Times New Roman" w:cs="Times New Roman" w:eastAsia="Times New Roman" w:hAnsi="Times New Roman"/>
          <w:sz w:val="22"/>
          <w:szCs w:val="22"/>
        </w:rPr>
        <w:t xml:space="preserve"> The evaluation considers both successful and unsuccessful authorisation scenarios.</w:t>
      </w:r>
    </w:p>
    <w:p>
      <w:pPr>
        <w:spacing w:after="110" w:line="264"/>
        <w:jc w:val="both"/>
      </w:pPr>
      <w:r>
        <w:rPr>
          <w:rFonts w:ascii="Times New Roman" w:cs="Times New Roman" w:eastAsia="Times New Roman" w:hAnsi="Times New Roman"/>
          <w:b/>
          <w:bCs/>
          <w:sz w:val="22"/>
          <w:szCs w:val="22"/>
        </w:rPr>
        <w:t xml:space="preserve">Scenario 1: consent creation (validates RQ1).</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and the jurisdiction. As shown in Figure 15, all four EMR modules were selected, two guardians were designated, and the jurisdiction was AU. The specification is accepted only when the required fields are valid. For example, the expiry time must be later than the start time. A consent with an empty data scope is rejected, and every guardian entry must be a well-formed DID. The validated information is combined to construct the consent object C = (I, A, P, T, L, E) of Section 6. After validation, the system creates the consent object, assigns a consent identifier, persists the record, and records the creation event in the audit layer. The system therefore maintains the consent in a PENDING state rather than activating access, as PENDING_SIGNATURE, held only in the application ledger. This process ensures that the consent object contains sufficient information for subsequent identity verification, multi-party authorisation, policy evaluation, and auditability. Consequently, the resulting consent object serves not merely as a record of patient preference, but as a structured authorisation artefact that can provide evidence for subsequent healthcare data-access decisions.</w:t>
      </w:r>
    </w:p>
    <w:p>
      <w:pPr>
        <w:keepNext/>
        <w:spacing w:after="60" w:before="160"/>
        <w:jc w:val="center"/>
      </w:pPr>
      <w:r>
        <w:drawing>
          <wp:inline distT="0" distB="0" distL="0" distR="0">
            <wp:extent cx="4476750" cy="3314700"/>
            <wp:effectExtent t="0" r="0" b="0" l="0"/>
            <wp:docPr id="1"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76750" cy="3314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15: </w:t>
      </w:r>
      <w:r>
        <w:rPr>
          <w:rFonts w:ascii="Times New Roman" w:cs="Times New Roman" w:eastAsia="Times New Roman" w:hAnsi="Times New Roman"/>
          <w:sz w:val="18"/>
          <w:szCs w:val="18"/>
        </w:rPr>
        <w:t xml:space="preserve">Patient subsystem after consent creation, in the state PENDING_SIGNATURE.</w:t>
      </w:r>
    </w:p>
    <w:p>
      <w:pPr>
        <w:spacing w:after="110" w:line="264"/>
        <w:jc w:val="both"/>
      </w:pPr>
      <w:r>
        <w:rPr>
          <w:rFonts w:ascii="Times New Roman" w:cs="Times New Roman" w:eastAsia="Times New Roman" w:hAnsi="Times New Roman"/>
          <w:b/>
          <w:bCs/>
          <w:sz w:val="22"/>
          <w:szCs w:val="22"/>
        </w:rPr>
        <w:t xml:space="preserve">Scenario 2: guardian approval and activation (validates RQ2 and RQ3).</w:t>
      </w:r>
      <w:r>
        <w:rPr>
          <w:rFonts w:ascii="Times New Roman" w:cs="Times New Roman" w:eastAsia="Times New Roman" w:hAnsi="Times New Roman"/>
          <w:sz w:val="22"/>
          <w:szCs w:val="22"/>
        </w:rPr>
        <w:t xml:space="preserve"> Rather than relying on a single approval authority, the procedure requires a predefined number of eligible participants to independently provide valid approvals. Each participant must submit an approval that can be independently verified. Each guardian approves the consent with an EIP-712 typed-data signature that binds the approval to this consent, to this guardian, and to the Sepolia network (chainId 11155111). The system recovers the signer address and compares it with the address associated with the guardian DID, so a signature produced for another consent, another guardian, or another chain is rejected. If the participant has already submitted a valid approval, the system rejects the additional approval. Invalid approvals are rejected and must not contribute to the threshold count. Valid approvals are recorded and the current approval count is updated. In the implemented configuration, N = |G|, so all eligible participants must independently approve the consent before the authorisation becomes active. In this case, one valid approval is insufficient, whereas two valid approvals satisfy the threshold condition of Section 8. 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When the threshold is reached, the implementation assigns an SBT identifier and records the corresponding minting event, and the anchoring starts in the background, as shown in Figure 16. </w:t>
      </w:r>
      <w:r>
        <w:rPr>
          <w:rFonts w:ascii="Times New Roman" w:cs="Times New Roman" w:eastAsia="Times New Roman" w:hAnsi="Times New Roman"/>
          <w:color w:val="00B0F0"/>
          <w:sz w:val="22"/>
          <w:szCs w:val="22"/>
        </w:rPr>
        <w:t xml:space="preserve">The public anchoring of the evaluated consent f050c29a in block 11,771,243 (block 11,771,581 for consent 04da25f5 in Figure 16)</w:t>
      </w:r>
      <w:r>
        <w:rPr>
          <w:rFonts w:ascii="Times New Roman" w:cs="Times New Roman" w:eastAsia="Times New Roman" w:hAnsi="Times New Roman"/>
          <w:sz w:val="22"/>
          <w:szCs w:val="22"/>
        </w:rPr>
        <w:t xml:space="preserve"> provides an immutable or otherwise tamper-evident record of the transition from a pending consent state to an active authorisation state. The trust decision is established by the verification of participants and the satisfaction of the authorisation threshold.</w:t>
      </w:r>
    </w:p>
    <w:p>
      <w:pPr>
        <w:keepNext/>
        <w:spacing w:after="60" w:before="160"/>
        <w:jc w:val="center"/>
      </w:pPr>
      <w:r>
        <w:drawing>
          <wp:inline distT="0" distB="0" distL="0" distR="0">
            <wp:extent cx="4476750" cy="2047875"/>
            <wp:effectExtent t="0" r="0" b="0" l="0"/>
            <wp:docPr id="1"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20478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16: </w:t>
      </w:r>
      <w:r>
        <w:rPr>
          <w:rFonts w:ascii="Times New Roman" w:cs="Times New Roman" w:eastAsia="Times New Roman" w:hAnsi="Times New Roman"/>
          <w:sz w:val="18"/>
          <w:szCs w:val="18"/>
        </w:rPr>
        <w:t xml:space="preserve">Guardian subsystem at the second approval: EIP-712 signature verified and 2/2 threshold reached.</w:t>
      </w:r>
    </w:p>
    <w:p>
      <w:pPr>
        <w:spacing w:after="110" w:line="264"/>
        <w:jc w:val="both"/>
      </w:pPr>
      <w:r>
        <w:rPr>
          <w:rFonts w:ascii="Times New Roman" w:cs="Times New Roman" w:eastAsia="Times New Roman" w:hAnsi="Times New Roman"/>
          <w:b/>
          <w:bCs/>
          <w:sz w:val="22"/>
          <w:szCs w:val="22"/>
        </w:rPr>
        <w:t xml:space="preserve">Scenario 3: authorised doctor access (validates RQ4).</w:t>
      </w:r>
      <w:r>
        <w:rPr>
          <w:rFonts w:ascii="Times New Roman" w:cs="Times New Roman" w:eastAsia="Times New Roman" w:hAnsi="Times New Roman"/>
          <w:sz w:val="22"/>
          <w:szCs w:val="22"/>
        </w:rPr>
        <w:t xml:space="preserve"> The Doctor interface retrieves a consent, evaluates its state, allows a requested scope to be selected from the consent scope, generates a proof, checks the requested scope, and invokes the authorisation function before returning data. As shown in Figure 17, the decision matrix enables validation results to be traced from the final decision back to the individual authorisation conditions that produced that decision. A request is permitted only when the consent purpose is a supported healthcare use and the requested data scope is non-empty and contained within the authorised scope. Consequently, a valid identity and sufficient multi-party approval are necessary but not sufficient conditions for access. Here, the system generates or verifies the evidence supporting the access decision as a Groth16 zero-knowledge proof. Because the prover and the verifier run on the same server, the proof demonstrates the integration of the zero-knowledge toolchain rather than an additional privacy guarantee. As shown in Figure 18, once the request has been successfully authorised, the system retrieves only the healthcare data satisfying the authorised scope and displays them per EMR module. This rule prevents a legitimate participant from obtaining data outside the patient’s authorised scope.</w:t>
      </w:r>
    </w:p>
    <w:p>
      <w:pPr>
        <w:keepNext/>
        <w:spacing w:after="60" w:before="160"/>
        <w:jc w:val="center"/>
      </w:pPr>
      <w:r>
        <w:drawing>
          <wp:inline distT="0" distB="0" distL="0" distR="0">
            <wp:extent cx="4476750" cy="3457575"/>
            <wp:effectExtent t="0" r="0" b="0" l="0"/>
            <wp:docPr id="1" name="F27.png" descr="Doctor subsystem for the evaluated consent f050c29a with requester jurisdiction AU: all five checks pass" title="Doctor subsystem for the evaluated consent f050c29a with requester jurisdiction AU: all five checks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34575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17: </w:t>
      </w:r>
      <w:r>
        <w:rPr>
          <w:rFonts w:ascii="Times New Roman" w:cs="Times New Roman" w:eastAsia="Times New Roman" w:hAnsi="Times New Roman"/>
          <w:color w:val="00B0F0"/>
          <w:sz w:val="18"/>
          <w:szCs w:val="18"/>
        </w:rPr>
        <w:t xml:space="preserve">Doctor subsystem for the evaluated consent f050c29a with requester jurisdiction AU: all five checks pass</w:t>
      </w:r>
      <w:r>
        <w:rPr>
          <w:rFonts w:ascii="Times New Roman" w:cs="Times New Roman" w:eastAsia="Times New Roman" w:hAnsi="Times New Roman"/>
          <w:sz w:val="18"/>
          <w:szCs w:val="18"/>
        </w:rPr>
        <w:t xml:space="preserve">.</w:t>
      </w:r>
    </w:p>
    <w:p>
      <w:pPr>
        <w:keepNext/>
        <w:spacing w:after="60" w:before="160"/>
        <w:jc w:val="center"/>
      </w:pPr>
      <w:r>
        <w:drawing>
          <wp:inline distT="0" distB="0" distL="0" distR="0">
            <wp:extent cx="3352800" cy="3810000"/>
            <wp:effectExtent t="0" r="0" b="0" l="0"/>
            <wp:docPr id="1" name="F29.png" descr="Doctor subsystem after verification for consent 04da25f5 (two captures joined): access granted and records displayed per EMR module" title="Doctor subsystem after verification for consent 04da25f5 (two captures joined):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352800" cy="3810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18: </w:t>
      </w:r>
      <w:r>
        <w:rPr>
          <w:rFonts w:ascii="Times New Roman" w:cs="Times New Roman" w:eastAsia="Times New Roman" w:hAnsi="Times New Roman"/>
          <w:color w:val="00B0F0"/>
          <w:sz w:val="18"/>
          <w:szCs w:val="18"/>
        </w:rPr>
        <w:t xml:space="preserve">Doctor subsystem after verification for consent 04da25f5 (two captures joined): access granted and records displayed per EMR module</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4: jurisdiction violation (validates RQ4).</w:t>
      </w:r>
      <w:r>
        <w:rPr>
          <w:rFonts w:ascii="Times New Roman" w:cs="Times New Roman" w:eastAsia="Times New Roman" w:hAnsi="Times New Roman"/>
          <w:sz w:val="22"/>
          <w:szCs w:val="22"/>
        </w:rPr>
        <w:t xml:space="preserve"> A valid identity and sufficient approval do not necessarily imply that every requested operation is permitted. The same doctor repeated the request for the evaluated consent, which remained ACTIVE, while declaring the requester jurisdiction as SA, whereas the consent was issued for AU, and all checks except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passed. Here,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 FAIL and ALLOW = FAIL reflect a conjunctive trust model in which the failure of any required condition prevents the final authorisation decision. If any required condition is violated, the framework should produce a denial decision and preserve sufficient evidence to explain the reason for that decision, as the refusal in Figure 19 shows. Therefore, a consent object does not automatically imply that every subsequent request is authorised. Instead, the object provides the conditions against which a request can be evaluated.</w:t>
      </w:r>
    </w:p>
    <w:p>
      <w:pPr>
        <w:keepNext/>
        <w:spacing w:after="60" w:before="160"/>
        <w:jc w:val="center"/>
      </w:pPr>
      <w:r>
        <w:drawing>
          <wp:inline distT="0" distB="0" distL="0" distR="0">
            <wp:extent cx="4476750" cy="2209800"/>
            <wp:effectExtent t="0" r="0" b="0" l="0"/>
            <wp:docPr id="1" name="F32.png" descr="Refused request naming VL as the failed check" title="Refused request naming VL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19: </w:t>
      </w:r>
      <w:r>
        <w:rPr>
          <w:rFonts w:ascii="Times New Roman" w:cs="Times New Roman" w:eastAsia="Times New Roman" w:hAnsi="Times New Roman"/>
          <w:sz w:val="18"/>
          <w:szCs w:val="18"/>
        </w:rPr>
        <w:t xml:space="preserve">Refused request naming V</w:t>
      </w:r>
      <w:r>
        <w:rPr>
          <w:rFonts w:ascii="Times New Roman" w:cs="Times New Roman" w:eastAsia="Times New Roman" w:hAnsi="Times New Roman"/>
          <w:sz w:val="18"/>
          <w:szCs w:val="18"/>
          <w:vertAlign w:val="subscript"/>
        </w:rPr>
        <w:t xml:space="preserve">L</w:t>
      </w:r>
      <w:r>
        <w:rPr>
          <w:rFonts w:ascii="Times New Roman" w:cs="Times New Roman" w:eastAsia="Times New Roman" w:hAnsi="Times New Roman"/>
          <w:sz w:val="18"/>
          <w:szCs w:val="18"/>
        </w:rPr>
        <w:t xml:space="preserve"> as the failed check.</w:t>
      </w:r>
    </w:p>
    <w:p>
      <w:pPr>
        <w:spacing w:after="110" w:line="264"/>
        <w:jc w:val="both"/>
      </w:pPr>
      <w:r>
        <w:rPr>
          <w:rFonts w:ascii="Times New Roman" w:cs="Times New Roman" w:eastAsia="Times New Roman" w:hAnsi="Times New Roman"/>
          <w:b/>
          <w:bCs/>
          <w:sz w:val="22"/>
          <w:szCs w:val="22"/>
        </w:rPr>
        <w:t xml:space="preserve">Scenario 5: revocation followed by refusal (validates the revocation control of RQ5).</w:t>
      </w:r>
      <w:r>
        <w:rPr>
          <w:rFonts w:ascii="Times New Roman" w:cs="Times New Roman" w:eastAsia="Times New Roman" w:hAnsi="Times New Roman"/>
          <w:sz w:val="22"/>
          <w:szCs w:val="22"/>
        </w:rPr>
        <w:t xml:space="preserve"> Revocation should invalidate a previously established consent rather than merely create a new record indicating that the consent has changed. The patient revokes the evaluated consent, the system submits a revoke transaction to the contract, and the consent is displayed as REVOKED with its token number. A subsequent request by the doctor fails at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because the system verifies that the consent has not been revoked or otherwise transitioned into an inactive state. Revocation represents a deliberate termination of the previously granted consent and must therefore override an otherwise valid temporal interval. The revocation control allows the framework to distinguish between a consent that was previously valid and a consent that remains valid at the time of a particular access request, and Figure 20 shows the publicly verifiable revocation transaction in block 11,771,307. The doctor subsystem does not read the chain, so this refusal follows from the revocation flag in the local store, while the on-chain state corroborates it separately.</w:t>
      </w:r>
    </w:p>
    <w:p>
      <w:pPr>
        <w:keepNext/>
        <w:spacing w:after="60" w:before="160"/>
        <w:jc w:val="center"/>
      </w:pPr>
      <w:r>
        <w:drawing>
          <wp:inline distT="0" distB="0" distL="0" distR="0">
            <wp:extent cx="5715000" cy="5153025"/>
            <wp:effectExtent t="0" r="0" b="0" l="0"/>
            <wp:docPr id="1" name="F37.png" descr="Revocation transaction on Sepolia Etherscan, block 11,771,307" title="Revocation transaction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5153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20: </w:t>
      </w:r>
      <w:r>
        <w:rPr>
          <w:rFonts w:ascii="Times New Roman" w:cs="Times New Roman" w:eastAsia="Times New Roman" w:hAnsi="Times New Roman"/>
          <w:color w:val="00B0F0"/>
          <w:sz w:val="18"/>
          <w:szCs w:val="18"/>
        </w:rPr>
        <w:t xml:space="preserve">Revocation transaction on Sepolia Etherscan, block 11,771,307</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6: audit and independent verification (supports RQ1 to RQ4).</w:t>
      </w:r>
      <w:r>
        <w:rPr>
          <w:rFonts w:ascii="Times New Roman" w:cs="Times New Roman" w:eastAsia="Times New Roman" w:hAnsi="Times New Roman"/>
          <w:sz w:val="22"/>
          <w:szCs w:val="22"/>
        </w:rPr>
        <w:t xml:space="preserve"> An auditor can examine not only whether access occurred, but also whether the requester possessed a valid identity, whether the required authorisation threshold was satisfied, whether the requested data complied with the authorised scope, and which conditions produced the final decision. As shown in Figure 21, the auditor subsystem provides an auditable record that can be used to reconstruct and verify the consent lifecycle. For the evaluated consent, audit records are generated throughout the workflow to provide evidence of consent creation, participant verification, approval events, authorisation-state evaluation, data-access decisions, and relevant lifecycle transitions, including the on-chain mint and the revocation. However, the blockchain itself is not treated as the source of trust. Its role is to strengthen integrity, non-repudiation, and auditability of the evidence generated by the authorisation process. Because an application ledger could in principle contain fabricated entries, an independent verification tool fetches the receipt of every recorded transaction from Sepolia and </w:t>
      </w:r>
      <w:r>
        <w:rPr>
          <w:rFonts w:ascii="Times New Roman" w:cs="Times New Roman" w:eastAsia="Times New Roman" w:hAnsi="Times New Roman"/>
          <w:color w:val="00B0F0"/>
          <w:sz w:val="22"/>
          <w:szCs w:val="22"/>
        </w:rPr>
        <w:t xml:space="preserve">compares the on-chain record and revocation state of tokens #1 and #2 on the current contract with the local state, with the result shown in Figure 22. Token #8 of the earlier deployment is skipped by the tool.</w:t>
      </w:r>
    </w:p>
    <w:p>
      <w:pPr>
        <w:keepNext/>
        <w:spacing w:after="60" w:before="160"/>
        <w:jc w:val="center"/>
      </w:pPr>
      <w:r>
        <w:drawing>
          <wp:inline distT="0" distB="0" distL="0" distR="0">
            <wp:extent cx="5715000" cy="3067050"/>
            <wp:effectExtent t="0" r="0" b="0" l="0"/>
            <wp:docPr id="1" name="F39.png" descr="Auditor subsystem (two captures joined): aggregate indicators and the audit ledger rows of the evaluated consent" title="Auditor subsystem (two captures joined):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0670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21: </w:t>
      </w:r>
      <w:r>
        <w:rPr>
          <w:rFonts w:ascii="Times New Roman" w:cs="Times New Roman" w:eastAsia="Times New Roman" w:hAnsi="Times New Roman"/>
          <w:sz w:val="18"/>
          <w:szCs w:val="18"/>
        </w:rPr>
        <w:t xml:space="preserve">Auditor subsystem </w:t>
      </w:r>
      <w:r>
        <w:rPr>
          <w:rFonts w:ascii="Times New Roman" w:cs="Times New Roman" w:eastAsia="Times New Roman" w:hAnsi="Times New Roman"/>
          <w:color w:val="00B0F0"/>
          <w:sz w:val="18"/>
          <w:szCs w:val="18"/>
        </w:rPr>
        <w:t xml:space="preserve">(two captures joined)</w:t>
      </w:r>
      <w:r>
        <w:rPr>
          <w:rFonts w:ascii="Times New Roman" w:cs="Times New Roman" w:eastAsia="Times New Roman" w:hAnsi="Times New Roman"/>
          <w:sz w:val="18"/>
          <w:szCs w:val="18"/>
        </w:rPr>
        <w:t xml:space="preserve">: aggregate indicators and the audit ledger rows of the evaluated consent.</w:t>
      </w:r>
    </w:p>
    <w:p>
      <w:pPr>
        <w:keepNext/>
        <w:spacing w:after="60" w:before="160"/>
        <w:jc w:val="center"/>
      </w:pPr>
      <w:r>
        <w:drawing>
          <wp:inline distT="0" distB="0" distL="0" distR="0">
            <wp:extent cx="5715000" cy="3295650"/>
            <wp:effectExtent t="0" r="0" b="0" l="0"/>
            <wp:docPr id="1" name="F40.png" descr="Independent verification against Sepolia, abridged (hashes and addresses shortened, the notes on the earlier deployment added, and the lines for unanchored consents and the skipped token #8 omitted): RESULT: ALL CHECKS PASSED" title="Independent verification against Sepolia, abridged (hashes and addresses shortened, the notes on the earlier deployment added, and the lines for unanchored consents and the skipped token #8 omitted):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2956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22: </w:t>
      </w:r>
      <w:r>
        <w:rPr>
          <w:rFonts w:ascii="Times New Roman" w:cs="Times New Roman" w:eastAsia="Times New Roman" w:hAnsi="Times New Roman"/>
          <w:color w:val="00B0F0"/>
          <w:sz w:val="18"/>
          <w:szCs w:val="18"/>
        </w:rPr>
        <w:t xml:space="preserve">Independent verification against Sepolia, abridged (hashes and addresses shortened, the notes on the earlier deployment added, and the lines for unanchored consents and the skipped token #8 omitted): RESULT: ALL CHECKS PASSED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Table 7 maps the framework components, each corresponding to a distinct responsibility within the trust-oriented authorisation process, to the HALAH subsystems. The mapping shows that the subsystems cooperate through a controlled authorisation sequence rather than through unrestricted direct communication. The subsystems represent different interaction responsibilities but share the same architectural principle: none of them independently determines whether access should be granted.</w:t>
      </w:r>
    </w:p>
    <w:p>
      <w:pPr>
        <w:keepNext/>
        <w:spacing w:after="80" w:before="200"/>
        <w:jc w:val="center"/>
      </w:pPr>
      <w:r>
        <w:rPr>
          <w:rFonts w:ascii="Times New Roman" w:cs="Times New Roman" w:eastAsia="Times New Roman" w:hAnsi="Times New Roman"/>
          <w:b/>
          <w:bCs/>
          <w:sz w:val="18"/>
          <w:szCs w:val="18"/>
        </w:rPr>
        <w:t xml:space="preserve">Table 7: </w:t>
      </w:r>
      <w:r>
        <w:rPr>
          <w:rFonts w:ascii="Times New Roman" w:cs="Times New Roman" w:eastAsia="Times New Roman" w:hAnsi="Times New Roman"/>
          <w:sz w:val="18"/>
          <w:szCs w:val="18"/>
        </w:rPr>
        <w:t xml:space="preserve">Correspondence between the HALAH framework components and the implemented subsystems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828"/>
        <w:gridCol w:w="2828"/>
        <w:gridCol w:w="3472"/>
      </w:tblGrid>
      <w:tr>
        <w:trPr>
          <w:cantSplit/>
          <w:tblHeader/>
        </w:trPr>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HALAH Framework Component</w:t>
            </w:r>
          </w:p>
        </w:tc>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Implementation Subsystem</w:t>
            </w:r>
          </w:p>
        </w:tc>
        <w:tc>
          <w:tcPr>
            <w:tcW w:type="dxa" w:w="34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Main Function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Object Construction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Create Smart Consent Contract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Defines patient, authorised doctor, data scope, guardians, jurisdiction and temporal validity</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Identity &amp; Authorisation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color w:val="00B0F0"/>
                <w:sz w:val="17"/>
                <w:szCs w:val="17"/>
              </w:rPr>
              <w:t xml:space="preserve">Checks the guardian DID format and verifies the EIP-712 signatures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Multi-party Consent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Implements the 2-of-2 approval condition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Activation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Mints the SBT on Sepolia and marks the consent as fully activated</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Consent-State Management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whether the consent is ACTIVE</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Scope Enforcement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Restricts access to authorised EMR modules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Cryptographic Access Control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Verifies the request, including a Groth16 proof, before granting data</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Jurisdictional Constraint (L)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Refuses requests whose declared jurisdiction differs from the consent</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Healthcare Data Access</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the authorised Observation, Medication, Condition and Procedure records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Authorisation Evidence / Revocation (E)</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My Consents (Patient)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Revokes the consent locally and on-chain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Lifecycle Traceability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Blockchain Audit &amp; Consent Lifecycle</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Reconstructs the chronological consent process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Accountability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Detailed Audit Records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event-level evidence with transaction hashes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Ledger Integrity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Complete Ledger + independent verification</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Confirms the anchored part of the recorded history against Sepolia</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11.3  Measured Results</w:t>
      </w:r>
    </w:p>
    <w:p>
      <w:pPr>
        <w:spacing w:after="110" w:line="264"/>
        <w:jc w:val="both"/>
      </w:pPr>
      <w:r>
        <w:rPr>
          <w:rFonts w:ascii="Times New Roman" w:cs="Times New Roman" w:eastAsia="Times New Roman" w:hAnsi="Times New Roman"/>
          <w:sz w:val="22"/>
          <w:szCs w:val="22"/>
        </w:rPr>
        <w:t xml:space="preserve">The measurements are not intended as a high-throughput performance benchmark. The measurements are taken from the exported 60-event audit ledger, the receipts of the five anchored transactions, and repeated runs on 1 October 2026 in the development container used for the demonstration. Table 8 presents the on-chain cost and the submit-to-confirmation latency of the five anchored transactions. The submit-to-confirmation time is the interval between the ledger timestamps of the local and on-chain events, so it includes signing and submission as well as the wait for the receipt.</w:t>
      </w:r>
    </w:p>
    <w:p>
      <w:pPr>
        <w:keepNext/>
        <w:spacing w:after="80" w:before="200"/>
        <w:jc w:val="center"/>
      </w:pPr>
      <w:r>
        <w:rPr>
          <w:rFonts w:ascii="Times New Roman" w:cs="Times New Roman" w:eastAsia="Times New Roman" w:hAnsi="Times New Roman"/>
          <w:b/>
          <w:bCs/>
          <w:sz w:val="18"/>
          <w:szCs w:val="18"/>
        </w:rPr>
        <w:t xml:space="preserve">Table 8: </w:t>
      </w:r>
      <w:r>
        <w:rPr>
          <w:rFonts w:ascii="Times New Roman" w:cs="Times New Roman" w:eastAsia="Times New Roman" w:hAnsi="Times New Roman"/>
          <w:sz w:val="18"/>
          <w:szCs w:val="18"/>
        </w:rPr>
        <w:t xml:space="preserve">On-chain cost and submit-to-confirmation latency of the five anchored Sepolia transactions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657"/>
        <w:gridCol w:w="1365"/>
        <w:gridCol w:w="1170"/>
        <w:gridCol w:w="1033"/>
        <w:gridCol w:w="1033"/>
        <w:gridCol w:w="1170"/>
        <w:gridCol w:w="1700"/>
      </w:tblGrid>
      <w:tr>
        <w:trPr>
          <w:cantSplit/>
          <w:tblHeader/>
        </w:trPr>
        <w:tc>
          <w:tcPr>
            <w:tcW w:type="dxa" w:w="165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Transaction</w:t>
            </w:r>
          </w:p>
        </w:tc>
        <w:tc>
          <w:tcPr>
            <w:tcW w:type="dxa" w:w="136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 and token</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Block</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used</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price (gwei)</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Fee (ETH)</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Submit-to-confirmation (s)</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11,757,272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156,589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1.07</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0.000167</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11,757,344</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46,226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1.10</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0.000051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11,771,243</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196,406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1.06</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0.000209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11,771,307</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32,980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0.000034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 token #2</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11,771,581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179,306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0.000189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23, on the current contract the revocation of token #1 used about one sixth of the gas of its mint, because a mint creates a token and writes a complete consent record, while a revocation changes only a single flag. No fee exceeded 0.00021 ETH, but Sepolia ether has no monetary value, so the portable measure of cost is the gas used rather than the fee.</w:t>
      </w:r>
    </w:p>
    <w:p>
      <w:pPr>
        <w:keepNext/>
        <w:spacing w:after="60" w:before="160"/>
        <w:jc w:val="center"/>
      </w:pPr>
      <w:r>
        <w:drawing>
          <wp:inline distT="0" distB="0" distL="0" distR="0">
            <wp:extent cx="5715000" cy="3181350"/>
            <wp:effectExtent t="0" r="0" b="0" l="0"/>
            <wp:docPr id="1"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1813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23: </w:t>
      </w:r>
      <w:r>
        <w:rPr>
          <w:rFonts w:ascii="Times New Roman" w:cs="Times New Roman" w:eastAsia="Times New Roman" w:hAnsi="Times New Roman"/>
          <w:sz w:val="18"/>
          <w:szCs w:val="18"/>
        </w:rPr>
        <w:t xml:space="preserve">Gas used by the five anchored Sepolia transactions.</w:t>
      </w:r>
    </w:p>
    <w:p>
      <w:pPr>
        <w:spacing w:after="110" w:line="264"/>
        <w:jc w:val="both"/>
      </w:pPr>
      <w:r>
        <w:rPr>
          <w:rFonts w:ascii="Times New Roman" w:cs="Times New Roman" w:eastAsia="Times New Roman" w:hAnsi="Times New Roman"/>
          <w:sz w:val="22"/>
          <w:szCs w:val="22"/>
        </w:rPr>
        <w:t xml:space="preserve">Table 9 shows how the validation procedure provides traceability between the final access decision and its supporting evidence. The ledger row of the single logged DENY, the jurisdiction scenario, records the proof check as passed and the scope as valid, so the refusal was produced by the decision matrix alone. In each of the six logged evaluations, the recorded audit evidence is consistent with the actual authorisation decision. Consequently, validation does not merely determine whether the final output is ALLOW or DENY</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it also determines whether the underlying evidence is consistent with the decision. In the logged decisions, the implementation consistently produces an ALLOW decision only when the required trust conditions are satisfied and produces a DENY decision when one or more required conditions are violated. The three earlier grants of 22 September 2026 predate the logging of the matrix and of the proof mode. Similarly, the refusal after revocation has no ledger row, because the doctor subsystem stops the request before it can be submitted.</w:t>
      </w:r>
    </w:p>
    <w:p>
      <w:pPr>
        <w:keepNext/>
        <w:spacing w:after="80" w:before="200"/>
        <w:jc w:val="center"/>
      </w:pPr>
      <w:r>
        <w:rPr>
          <w:rFonts w:ascii="Times New Roman" w:cs="Times New Roman" w:eastAsia="Times New Roman" w:hAnsi="Times New Roman"/>
          <w:b/>
          <w:bCs/>
          <w:sz w:val="18"/>
          <w:szCs w:val="18"/>
        </w:rPr>
        <w:t xml:space="preserve">Table 9: </w:t>
      </w:r>
      <w:r>
        <w:rPr>
          <w:rFonts w:ascii="Times New Roman" w:cs="Times New Roman" w:eastAsia="Times New Roman" w:hAnsi="Times New Roman"/>
          <w:color w:val="00B0F0"/>
          <w:sz w:val="18"/>
          <w:szCs w:val="18"/>
        </w:rPr>
        <w:t xml:space="preserve">Access decisions recorded in the audit ledger, with the decision matrix of each logged evaluation and the access result that followed. Rows are the index numbers of the exported ledger, counted from 0, and n/l means not logged</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682"/>
        <w:gridCol w:w="975"/>
        <w:gridCol w:w="1033"/>
        <w:gridCol w:w="682"/>
        <w:gridCol w:w="682"/>
        <w:gridCol w:w="682"/>
        <w:gridCol w:w="682"/>
        <w:gridCol w:w="682"/>
        <w:gridCol w:w="975"/>
        <w:gridCol w:w="1072"/>
        <w:gridCol w:w="981"/>
      </w:tblGrid>
      <w:tr>
        <w:trPr>
          <w:cantSplit/>
          <w:tblHeader/>
        </w:trPr>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Rows</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Date and time</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I</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A</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P</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L</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Decision</w:t>
            </w:r>
          </w:p>
        </w:tc>
        <w:tc>
          <w:tcPr>
            <w:tcW w:type="dxa" w:w="10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Access result</w:t>
            </w:r>
          </w:p>
        </w:tc>
        <w:tc>
          <w:tcPr>
            <w:tcW w:type="dxa" w:w="9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Proof mode</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41, 42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43, 44</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45, 46</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10:02:50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FAIL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DENY</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DENIED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54, 55</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11:02:52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56, 57</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11:04:16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58, 59</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8, 21, 32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 Sep 10:07 to 10:21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f5a8ad89, cd9a24bd, 011bbb21</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 (3)</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bl>
    <w:p>
      <w:pPr>
        <w:spacing w:after="160"/>
      </w:pPr>
    </w:p>
    <w:p>
      <w:pPr>
        <w:spacing w:after="110" w:line="264"/>
        <w:jc w:val="both"/>
      </w:pPr>
      <w:r>
        <w:rPr>
          <w:rFonts w:ascii="Times New Roman" w:cs="Times New Roman" w:eastAsia="Times New Roman" w:hAnsi="Times New Roman"/>
          <w:sz w:val="22"/>
          <w:szCs w:val="22"/>
        </w:rPr>
        <w:t xml:space="preserve">Table 10 summarises the processing time of the decision components, with the decision rule timed over 1,000 evaluations of the five predicates on a loaded consent object without signature recovery.</w:t>
      </w:r>
    </w:p>
    <w:p>
      <w:pPr>
        <w:keepNext/>
        <w:spacing w:after="80" w:before="200"/>
        <w:jc w:val="center"/>
      </w:pPr>
      <w:r>
        <w:rPr>
          <w:rFonts w:ascii="Times New Roman" w:cs="Times New Roman" w:eastAsia="Times New Roman" w:hAnsi="Times New Roman"/>
          <w:b/>
          <w:bCs/>
          <w:sz w:val="18"/>
          <w:szCs w:val="18"/>
        </w:rPr>
        <w:t xml:space="preserve">Table 10: </w:t>
      </w:r>
      <w:r>
        <w:rPr>
          <w:rFonts w:ascii="Times New Roman" w:cs="Times New Roman" w:eastAsia="Times New Roman" w:hAnsi="Times New Roman"/>
          <w:color w:val="00B0F0"/>
          <w:sz w:val="18"/>
          <w:szCs w:val="18"/>
        </w:rPr>
        <w:t xml:space="preserve">Processing time of the decision components and of the on-chain reads of the verification tool, measured in the development container</w:t>
      </w:r>
      <w:r>
        <w:rPr>
          <w:rFonts w:ascii="Times New Roman" w:cs="Times New Roman" w:eastAsia="Times New Roman" w:hAnsi="Times New Roman"/>
          <w:sz w:val="18"/>
          <w:szCs w:val="18"/>
        </w:rPr>
        <w:t xml:space="preserve"> used for the demonstration, with the anchoring confirmation taken from Table 8</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81"/>
        <w:gridCol w:w="1209"/>
        <w:gridCol w:w="1209"/>
        <w:gridCol w:w="1209"/>
        <w:gridCol w:w="1209"/>
        <w:gridCol w:w="1211"/>
      </w:tblGrid>
      <w:tr>
        <w:trPr>
          <w:cantSplit/>
          <w:tblHeader/>
        </w:trPr>
        <w:tc>
          <w:tcPr>
            <w:tcW w:type="dxa" w:w="30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Component</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Median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Minimum</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Maximum</w:t>
            </w:r>
          </w:p>
        </w:tc>
        <w:tc>
          <w:tcPr>
            <w:tcW w:type="dxa" w:w="121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n</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Decision rule, five predicates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2.37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2.60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2.32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31.59 µs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1,000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EIP-712 signature recovery, one signature</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10.93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11.67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15.64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generation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1,401.1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1,597.0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1,342.8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5,349.6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verification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465.3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472.5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441.0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525.1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573.5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587.4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715.5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checkValidAt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574.6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592.7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745.6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Anchoring confirmation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12.5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 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24, the time taken to evaluate the decision rule is negligible, and signature recovery takes about 11 ms per guardian, whereas the Groth16 proof dominates the interactive path of an access request. The proof times include process start-up as well as cryptographic work, and at the median the proof takes more than 98 per cent of the roughly 1.9 s of one access request. Anchoring confirmation is the slowest step, but it runs in the background, so it delays neither the guardians nor the doctor.</w:t>
      </w:r>
    </w:p>
    <w:p>
      <w:pPr>
        <w:keepNext/>
        <w:spacing w:after="60" w:before="160"/>
        <w:jc w:val="center"/>
      </w:pPr>
      <w:r>
        <w:drawing>
          <wp:inline distT="0" distB="0" distL="0" distR="0">
            <wp:extent cx="5715000" cy="2876550"/>
            <wp:effectExtent t="0" r="0" b="0" l="0"/>
            <wp:docPr id="1" name="F42.png" descr="Processing time of the decision components on a logarithmic axis (median and minimum to maximum). The checkValid read of Table 10 is not plotted, as its values are close to those of the checkValidAt read" title="Processing time of the decision components on a logarithmic axis (median and minimum to maximum). The checkValid read of Table 10 is not plotted, as its values are close to those of the checkValidAt 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8765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24: </w:t>
      </w:r>
      <w:r>
        <w:rPr>
          <w:rFonts w:ascii="Times New Roman" w:cs="Times New Roman" w:eastAsia="Times New Roman" w:hAnsi="Times New Roman"/>
          <w:color w:val="00B0F0"/>
          <w:sz w:val="18"/>
          <w:szCs w:val="18"/>
        </w:rPr>
        <w:t xml:space="preserve">Processing time of the decision components on a logarithmic axis (median and minimum to maximum). The checkValid read of Table 10 is not plotted, as its values are close to those of the checkValidAt read</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11.4  Unit-Level Adversarial Tests</w:t>
      </w:r>
    </w:p>
    <w:p>
      <w:pPr>
        <w:spacing w:after="110" w:line="264"/>
        <w:jc w:val="both"/>
      </w:pPr>
      <w:r>
        <w:rPr>
          <w:rFonts w:ascii="Times New Roman" w:cs="Times New Roman" w:eastAsia="Times New Roman" w:hAnsi="Times New Roman"/>
          <w:sz w:val="22"/>
          <w:szCs w:val="22"/>
        </w:rPr>
        <w:t xml:space="preserve">The adversarial test set is particularly important because a framework should not only demonstrate that legitimate requests succeed, but also demonstrate resilience against foreseeable attempts to bypass its security controls. The adversarial tests assume honest infrastructure and exercise the decision functions, the proof verifier, the audit digest function, and the contract at unit level, never the running application, its data store, or the Sepolia deployment. The adversary, whether an outside requester or a participant of the consent, tries to obtain or keep access without satisfying a condition of C, or to alter the anchored consent or the recorded evidence of a decision. It can supply crafted inputs to the decision functions, alter the bits of a Groth16 proof or its public signals, and send transactions to the contract from an account that is not its owner. Several capabilities are outside the scope of this evaluation because the prototype does not defend against them, for example, the interface authenticates no role and guardian signing keys derive from the public guardian DIDs. The adversary is also assumed to have no write access to the stores, apart from rewriting an audit event, and no control of the server clock.</w:t>
      </w:r>
    </w:p>
    <w:p>
      <w:pPr>
        <w:spacing w:after="110" w:line="264"/>
        <w:jc w:val="both"/>
      </w:pPr>
      <w:r>
        <w:rPr>
          <w:rFonts w:ascii="Times New Roman" w:cs="Times New Roman" w:eastAsia="Times New Roman" w:hAnsi="Times New Roman"/>
          <w:sz w:val="22"/>
          <w:szCs w:val="22"/>
        </w:rPr>
        <w:t xml:space="preserve">The twelve scenarios A1 to A12 include replayed approvals, duplicate approvals, unauthorised participants attempting to satisfy a threshold, attempts to access data outside the authorised scope, and attempts to use a revoked or expired consent object. Each scenario is associated with an expected authorisation outcome and the security properties that it is intended to evaluate. A scenario is counted as refused when the targeted predicate fails and the decision is DENY, or when the scope check, the Groth16 prover or verifier, or the contract rejects the input.</w:t>
      </w:r>
    </w:p>
    <w:p>
      <w:pPr>
        <w:spacing w:after="110" w:line="264"/>
        <w:jc w:val="both"/>
      </w:pPr>
      <w:r>
        <w:rPr>
          <w:rFonts w:ascii="Times New Roman" w:cs="Times New Roman" w:eastAsia="Times New Roman" w:hAnsi="Times New Roman"/>
          <w:sz w:val="22"/>
          <w:szCs w:val="22"/>
        </w:rPr>
        <w:t xml:space="preserve">Table 11 and Figure 25 record whether each scenario has passed or failed. Before the hardening, three attacks, A1, A3, and A5, were accepted when the service functions were called directly. This confirms that a system may be conceptually correct but incorrectly implemented, or may pass functional tests while failing under invalid or adversarial conditions. Any failed scenario is analysed to determine the source and significance of the failure. The purpose of this analysis is not to conceal unsuccessful cases but to determine whether observed failures represent violations of the intended security properties or limitations that should be addressed in future work. None of the three was reachable through the interface as used in the demonstration of 24 September 2026, so they represent a gap in defence in depth rather than a demonstrated breach of the deployed system. Accordingly, in the service layer, invalid, unauthorised, or duplicate approval attempts are rejected and do not contribute to the valid approval count, and an empty request is refused. This ensures that the threshold cannot be artificially satisfied by repeated or illegitimate approval submissions. After this hardening, eleven of the twelve scenarios are refused and the full suite of 36 tests passes, while in the twelfth, A11, a rewritten audit event changes its digest, which no component of the prototype compares.</w:t>
      </w:r>
    </w:p>
    <w:p>
      <w:pPr>
        <w:keepNext/>
        <w:spacing w:after="80" w:before="200"/>
        <w:jc w:val="center"/>
      </w:pPr>
      <w:r>
        <w:rPr>
          <w:rFonts w:ascii="Times New Roman" w:cs="Times New Roman" w:eastAsia="Times New Roman" w:hAnsi="Times New Roman"/>
          <w:b/>
          <w:bCs/>
          <w:sz w:val="18"/>
          <w:szCs w:val="18"/>
        </w:rPr>
        <w:t xml:space="preserve">Table 11: </w:t>
      </w:r>
      <w:r>
        <w:rPr>
          <w:rFonts w:ascii="Times New Roman" w:cs="Times New Roman" w:eastAsia="Times New Roman" w:hAnsi="Times New Roman"/>
          <w:sz w:val="18"/>
          <w:szCs w:val="18"/>
        </w:rPr>
        <w:t xml:space="preserve">Unit-level adversarial tests A1 to A12, their targeted component and their outcome before the hardening (commit b1468b7) and after the hardening of 1 October 2026</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585"/>
        <w:gridCol w:w="1560"/>
        <w:gridCol w:w="877"/>
        <w:gridCol w:w="1033"/>
        <w:gridCol w:w="1209"/>
        <w:gridCol w:w="1150"/>
        <w:gridCol w:w="2714"/>
      </w:tblGrid>
      <w:tr>
        <w:trPr>
          <w:cantSplit/>
          <w:tblHeader/>
        </w:trPr>
        <w:tc>
          <w:tcPr>
            <w:tcW w:type="dxa" w:w="58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ID</w:t>
            </w:r>
          </w:p>
        </w:tc>
        <w:tc>
          <w:tcPr>
            <w:tcW w:type="dxa" w:w="156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Attack</w:t>
            </w:r>
          </w:p>
        </w:tc>
        <w:tc>
          <w:tcPr>
            <w:tcW w:type="dxa" w:w="87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Before hardening</w:t>
            </w:r>
          </w:p>
        </w:tc>
        <w:tc>
          <w:tcPr>
            <w:tcW w:type="dxa" w:w="11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After hardening</w:t>
            </w:r>
          </w:p>
        </w:tc>
        <w:tc>
          <w:tcPr>
            <w:tcW w:type="dxa" w:w="271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Evidence</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Approval signed by a signer outside G</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test_​A1_​signer_​outside_​G_​is_​not_​counted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Guardian signature replayed from another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test_​A2_​replayed_​signature_​is_​rejected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A3</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Same guardian approves twice to reach 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test_​A3_​duplicate_​approval_​does_​not_​reach_​threshold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A4</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Requested scope exceeds the authorised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test_​A4_​over_​scope_​request_​is_​rejected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A5</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with an empty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test_​A5_​empty_​scope_​is_​rejected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A6</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before notBefore or after expiry</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test_​A6_​outside_​validity_​interval_​is_​denied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A7</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Requester declares a different jurisdiction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test_​A7_​jurisdiction_​mismatch_​is_​denied. Live application decision, 24 Sep: Figure 19</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A8</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Access after revocation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 (via VA)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test_​A8_​revoked_​consent_​is_​denied (local flag). Separate on-chain revocation, Sepolia block 11,771,307, 24 Sep</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A9</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Tampered Groth16 proof or public signal</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test_​A9_​tampered_​proof_​fails_​verification</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A10</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Honest proof generation for an expired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test_​A10_​honest_​prover_​cannot_​prove_​expired_​consent (honest prover only)</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Result field of a recorded audit event rewritten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test_​A11_​rewritten_​event_​changes_​its_​digest (no component compares the digest)</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or revoke by a non-owner, or token transfer</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Contract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test_​A12_​non_​owner_​cannot_​mint_​or_​revoke (in-memory EVM, not Sepolia)</w:t>
            </w:r>
          </w:p>
        </w:tc>
      </w:tr>
    </w:tbl>
    <w:p>
      <w:pPr>
        <w:spacing w:after="160"/>
      </w:pPr>
    </w:p>
    <w:p>
      <w:pPr>
        <w:keepNext/>
        <w:spacing w:after="60" w:before="160"/>
        <w:jc w:val="center"/>
      </w:pPr>
      <w:r>
        <w:drawing>
          <wp:inline distT="0" distB="0" distL="0" distR="0">
            <wp:extent cx="5715000" cy="4181475"/>
            <wp:effectExtent t="0" r="0" b="0" l="0"/>
            <wp:docPr id="1" name="F43.png" descr="Adversarial evaluation matrix for scenarios A1 to A12 before and after the hardening of 1 October 2026" title="Adversarial evaluation matrix for scenarios A1 to A12 before and after the hardening of 1 Octo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1814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25: </w:t>
      </w:r>
      <w:r>
        <w:rPr>
          <w:rFonts w:ascii="Times New Roman" w:cs="Times New Roman" w:eastAsia="Times New Roman" w:hAnsi="Times New Roman"/>
          <w:sz w:val="18"/>
          <w:szCs w:val="18"/>
        </w:rPr>
        <w:t xml:space="preserve">Adversarial evaluation matrix for scenarios A1 to A12 before and after the hardening of 1 October 2026.</w:t>
      </w:r>
    </w:p>
    <w:p>
      <w:pPr>
        <w:spacing w:after="110" w:line="264"/>
        <w:jc w:val="both"/>
      </w:pPr>
      <w:r>
        <w:rPr>
          <w:rFonts w:ascii="Times New Roman" w:cs="Times New Roman" w:eastAsia="Times New Roman" w:hAnsi="Times New Roman"/>
          <w:sz w:val="22"/>
          <w:szCs w:val="22"/>
        </w:rPr>
        <w:t xml:space="preserve">The analysis distinguishes between implementation defects, policy-definition errors, integration problems, incomplete security controls, and limitations of the experimental environment. The evaluation has six limitations. First, A12 runs the contract source on an in-memory Ethereum virtual machine, so it does not show the behaviour of the deployed bytecode. Second, the SHA-256 digest of the audit ledger is neither keyed nor chained, so the ledger is not tamper-evident against a party with write access to the store. Third, the signed guardian message covers only the consent identifier, the guardian, and the network, so a change of scope, purpose, requester, expiry, or jurisdiction after approval is not detected. Fourth, A6 relies on the server clock, A7 on the jurisdiction declared by the requester, and A8 on the revocation flag of the local store. Fifth, the Groth16 result holds under a single-party development trusted setup, with the prover and the verifier on the same server. Sixth, the measurements come from a single container and five transactions, so they are indicative only.</w:t>
      </w:r>
    </w:p>
    <w:p>
      <w:pPr>
        <w:pStyle w:val="Heading2"/>
        <w:keepNext/>
        <w:spacing w:after="120" w:before="240"/>
      </w:pPr>
      <w:r>
        <w:rPr>
          <w:rFonts w:ascii="Times New Roman" w:cs="Times New Roman" w:eastAsia="Times New Roman" w:hAnsi="Times New Roman"/>
          <w:b/>
          <w:bCs/>
          <w:sz w:val="26"/>
          <w:szCs w:val="26"/>
        </w:rPr>
        <w:t xml:space="preserve">11.5  Remaining Work for the Next Stage</w:t>
      </w:r>
    </w:p>
    <w:p>
      <w:pPr>
        <w:spacing w:after="110" w:line="264"/>
        <w:jc w:val="both"/>
      </w:pPr>
      <w:r>
        <w:rPr>
          <w:rFonts w:ascii="Times New Roman" w:cs="Times New Roman" w:eastAsia="Times New Roman" w:hAnsi="Times New Roman"/>
          <w:sz w:val="22"/>
          <w:szCs w:val="22"/>
        </w:rPr>
        <w:t xml:space="preserve">The remaining security assurance and comprehensive empirical evaluation </w:t>
      </w:r>
      <w:r>
        <w:rPr>
          <w:rFonts w:ascii="Times New Roman" w:cs="Times New Roman" w:eastAsia="Times New Roman" w:hAnsi="Times New Roman"/>
          <w:color w:val="FF0000"/>
          <w:sz w:val="22"/>
          <w:szCs w:val="22"/>
        </w:rPr>
        <w:t xml:space="preserve">will be conducted in the next stage and consist</w:t>
      </w:r>
      <w:r>
        <w:rPr>
          <w:rFonts w:ascii="Times New Roman" w:cs="Times New Roman" w:eastAsia="Times New Roman" w:hAnsi="Times New Roman"/>
          <w:sz w:val="22"/>
          <w:szCs w:val="22"/>
        </w:rPr>
        <w:t xml:space="preserve"> of three parts.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assurance.</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 The soundness property Decision(C, R, t) = ALLOW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and the lifecycle invariant of Section 10 will be verified by model checking of the state machine or by proof over the predicate definitions. Formal analysis will be used to reason about whether unauthorised entities or invalid authorisation conditions can produce an apparently valid access decision under defined assumptions, and every property must be either verified or refuted by an explicit counterexample.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Full performance and scalability study.</w:t>
      </w:r>
      <w:r>
        <w:rPr>
          <w:rFonts w:ascii="Times New Roman" w:cs="Times New Roman" w:eastAsia="Times New Roman" w:hAnsi="Times New Roman"/>
          <w:sz w:val="22"/>
          <w:szCs w:val="22"/>
        </w:rPr>
        <w:t xml:space="preserve"> The preliminary measurements will be repeated over a larger number of consents, guardians, and access requests, and the end-to-end decision latency will be measured under concurrent load.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Extended adversarial evaluation.</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FF0000"/>
          <w:sz w:val="22"/>
          <w:szCs w:val="22"/>
        </w:rPr>
        <w:t xml:space="preserve">The next stage will extend</w:t>
      </w:r>
      <w:r>
        <w:rPr>
          <w:rFonts w:ascii="Times New Roman" w:cs="Times New Roman" w:eastAsia="Times New Roman" w:hAnsi="Times New Roman"/>
          <w:sz w:val="22"/>
          <w:szCs w:val="22"/>
        </w:rPr>
        <w:t xml:space="preserve"> the current prototype-based evaluation to include both successful and adversarial access requests. The twelve attack scenarios will be extended to larger sets of positive, negative, and adversarial scenarios, and enforcement accuracy will be reported over this extended set. Particular attention will be given to the relationship between the formal security model and the observed behaviour of the implemented system.</w:t>
      </w:r>
    </w:p>
    <w:p>
      <w:pPr>
        <w:spacing w:after="110" w:line="264"/>
        <w:jc w:val="both"/>
      </w:pPr>
      <w:r>
        <w:rPr>
          <w:rFonts w:ascii="Times New Roman" w:cs="Times New Roman" w:eastAsia="Times New Roman" w:hAnsi="Times New Roman"/>
          <w:color w:val="FF0000"/>
          <w:sz w:val="22"/>
          <w:szCs w:val="22"/>
        </w:rPr>
        <w:t xml:space="preserve">The next stage will address</w:t>
      </w:r>
      <w:r>
        <w:rPr>
          <w:rFonts w:ascii="Times New Roman" w:cs="Times New Roman" w:eastAsia="Times New Roman" w:hAnsi="Times New Roman"/>
          <w:sz w:val="22"/>
          <w:szCs w:val="22"/>
        </w:rPr>
        <w:t xml:space="preserve"> the prototype limitations that the evaluation has exposed, which include the N-of-N approval rule, the server-derived guardian keys, the unauthenticated requester role, the absence of cryptographic DID resolution and VC validation, the missing lifecycle transition check, and the unkeyed and unchained audit digest. The purpose of this work is not merely to demonstrate that the prototype works under normal conditions, but to establish explicit security properties and determine whether the proposed authorisation model provides the expected protection when relevant security conditions are violated, and Section 13 sets out its schedule.</w:t>
      </w:r>
    </w:p>
    <w:p>
      <w:pPr>
        <w:pStyle w:val="Heading1"/>
        <w:pageBreakBefore/>
        <w:spacing w:after="200" w:before="120"/>
      </w:pPr>
      <w:r>
        <w:rPr>
          <w:rFonts w:ascii="Times New Roman" w:cs="Times New Roman" w:eastAsia="Times New Roman" w:hAnsi="Times New Roman"/>
          <w:b/>
          <w:bCs/>
          <w:sz w:val="32"/>
          <w:szCs w:val="32"/>
        </w:rPr>
        <w:t xml:space="preserve">12.  Publications Summary</w:t>
      </w:r>
    </w:p>
    <w:p>
      <w:pPr>
        <w:spacing w:after="110" w:line="264"/>
        <w:jc w:val="both"/>
      </w:pPr>
      <w:r>
        <w:rPr>
          <w:rFonts w:ascii="Times New Roman" w:cs="Times New Roman" w:eastAsia="Times New Roman" w:hAnsi="Times New Roman"/>
          <w:sz w:val="22"/>
          <w:szCs w:val="22"/>
        </w:rPr>
        <w:t xml:space="preserve">The publication activities associated with this research are summarised in Table 12 according to their current development status and their structural contribution to the thesis chapters and research questions.</w:t>
      </w:r>
    </w:p>
    <w:p>
      <w:pPr>
        <w:keepNext/>
        <w:spacing w:after="80" w:before="200"/>
        <w:jc w:val="center"/>
      </w:pPr>
      <w:r>
        <w:rPr>
          <w:rFonts w:ascii="Times New Roman" w:cs="Times New Roman" w:eastAsia="Times New Roman" w:hAnsi="Times New Roman"/>
          <w:b/>
          <w:bCs/>
          <w:sz w:val="18"/>
          <w:szCs w:val="18"/>
        </w:rPr>
        <w:t xml:space="preserve">Table 12: </w:t>
      </w:r>
      <w:r>
        <w:rPr>
          <w:rFonts w:ascii="Times New Roman" w:cs="Times New Roman" w:eastAsia="Times New Roman" w:hAnsi="Times New Roman"/>
          <w:sz w:val="18"/>
          <w:szCs w:val="18"/>
        </w:rPr>
        <w:t xml:space="preserve">Publications of the research and their current status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21"/>
        <w:gridCol w:w="3042"/>
        <w:gridCol w:w="1419"/>
        <w:gridCol w:w="1217"/>
        <w:gridCol w:w="1929"/>
      </w:tblGrid>
      <w:tr>
        <w:trPr>
          <w:cantSplit/>
          <w:tblHeader/>
        </w:trPr>
        <w:tc>
          <w:tcPr>
            <w:tcW w:type="dxa" w:w="152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Publication</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output</w:t>
            </w:r>
          </w:p>
        </w:tc>
        <w:tc>
          <w:tcPr>
            <w:tcW w:type="dxa" w:w="141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 venue</w:t>
            </w:r>
          </w:p>
        </w:tc>
        <w:tc>
          <w:tcPr>
            <w:tcW w:type="dxa" w:w="121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Related RQs</w:t>
            </w:r>
          </w:p>
        </w:tc>
        <w:tc>
          <w:tcPr>
            <w:tcW w:type="dxa" w:w="192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Trust-centric multi-party consent framework and the HALAH prototype on the Sepolia testnet</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BWCCA 2026</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RQ1 to RQ4</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Submitted (September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Systematic literature review of blockchain-based multi-party patient consent (25 primary studies)</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Section 2</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In Progress (October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lifecycle trust and the complete evaluation of the HALAH framework</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RQ5 and RQ6</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Planned (December 2026)</w:t>
            </w:r>
          </w:p>
        </w:tc>
      </w:tr>
    </w:tbl>
    <w:p>
      <w:pPr>
        <w:spacing w:after="160"/>
      </w:pPr>
    </w:p>
    <w:p>
      <w:pPr>
        <w:spacing w:after="110" w:line="264"/>
        <w:jc w:val="both"/>
      </w:pPr>
      <w:r>
        <w:rPr>
          <w:rFonts w:ascii="Times New Roman" w:cs="Times New Roman" w:eastAsia="Times New Roman" w:hAnsi="Times New Roman"/>
          <w:sz w:val="22"/>
          <w:szCs w:val="22"/>
        </w:rPr>
        <w:t xml:space="preserve">The publication strategy is aligned with the progression of the research. The current stage work establishes the conceptual and technical foundation, while the next stage work will strengthen the framework through formal analysis and comprehensive empirical validation. The second publication extends Section 2 into a stand-alone review, and the third publication completes the work that Sections 10 and 11 </w:t>
      </w:r>
      <w:r>
        <w:rPr>
          <w:rFonts w:ascii="Times New Roman" w:cs="Times New Roman" w:eastAsia="Times New Roman" w:hAnsi="Times New Roman"/>
          <w:color w:val="FF0000"/>
          <w:sz w:val="22"/>
          <w:szCs w:val="22"/>
        </w:rPr>
        <w:t xml:space="preserve">identify as remaining for the next stage.</w:t>
      </w:r>
      <w:r>
        <w:rPr>
          <w:rFonts w:ascii="Times New Roman" w:cs="Times New Roman" w:eastAsia="Times New Roman" w:hAnsi="Times New Roman"/>
          <w:sz w:val="22"/>
          <w:szCs w:val="22"/>
        </w:rPr>
        <w:t xml:space="preserve"> RO5 and RO6 constitute </w:t>
      </w:r>
      <w:r>
        <w:rPr>
          <w:rFonts w:ascii="Times New Roman" w:cs="Times New Roman" w:eastAsia="Times New Roman" w:hAnsi="Times New Roman"/>
          <w:color w:val="FF0000"/>
          <w:sz w:val="22"/>
          <w:szCs w:val="22"/>
        </w:rPr>
        <w:t xml:space="preserve">the principal research agenda for the next stage.</w:t>
      </w:r>
      <w:r>
        <w:rPr>
          <w:rFonts w:ascii="Times New Roman" w:cs="Times New Roman" w:eastAsia="Times New Roman" w:hAnsi="Times New Roman"/>
          <w:sz w:val="22"/>
          <w:szCs w:val="22"/>
        </w:rPr>
        <w:t xml:space="preserve"> RO5 extends the authorisation model with temporal and lifecycle trust, while RO6 provides formal security assurance and comprehensive empirical validation.</w:t>
      </w:r>
    </w:p>
    <w:p>
      <w:pPr>
        <w:pStyle w:val="Heading1"/>
        <w:pageBreakBefore/>
        <w:spacing w:after="200" w:before="120"/>
      </w:pPr>
      <w:r>
        <w:rPr>
          <w:rFonts w:ascii="Times New Roman" w:cs="Times New Roman" w:eastAsia="Times New Roman" w:hAnsi="Times New Roman"/>
          <w:b/>
          <w:bCs/>
          <w:sz w:val="32"/>
          <w:szCs w:val="32"/>
        </w:rPr>
        <w:t xml:space="preserve">13.  Research Plan</w:t>
      </w:r>
    </w:p>
    <w:p>
      <w:pPr>
        <w:spacing w:after="110" w:line="264"/>
        <w:jc w:val="both"/>
      </w:pPr>
      <w:r>
        <w:rPr>
          <w:rFonts w:ascii="Times New Roman" w:cs="Times New Roman" w:eastAsia="Times New Roman" w:hAnsi="Times New Roman"/>
          <w:sz w:val="22"/>
          <w:szCs w:val="22"/>
        </w:rPr>
        <w:t xml:space="preserve">The research plan is divided into two major stages corresponding to current and next stage, and Table 13 lists their tasks, target dates and status.</w:t>
      </w:r>
    </w:p>
    <w:p>
      <w:pPr>
        <w:keepNext/>
        <w:spacing w:after="80" w:before="200"/>
        <w:jc w:val="center"/>
      </w:pPr>
      <w:r>
        <w:rPr>
          <w:rFonts w:ascii="Times New Roman" w:cs="Times New Roman" w:eastAsia="Times New Roman" w:hAnsi="Times New Roman"/>
          <w:b/>
          <w:bCs/>
          <w:sz w:val="18"/>
          <w:szCs w:val="18"/>
        </w:rPr>
        <w:t xml:space="preserve">Table 13: </w:t>
      </w:r>
      <w:r>
        <w:rPr>
          <w:rFonts w:ascii="Times New Roman" w:cs="Times New Roman" w:eastAsia="Times New Roman" w:hAnsi="Times New Roman"/>
          <w:color w:val="00B0F0"/>
          <w:sz w:val="18"/>
          <w:szCs w:val="18"/>
        </w:rPr>
        <w:t xml:space="preserve">Research plan: thesis chapters, publications and assessments in chronological order</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006"/>
        <w:gridCol w:w="3912"/>
        <w:gridCol w:w="1504"/>
        <w:gridCol w:w="1706"/>
      </w:tblGrid>
      <w:tr>
        <w:trPr>
          <w:cantSplit/>
          <w:tblHeader/>
        </w:trPr>
        <w:tc>
          <w:tcPr>
            <w:tcW w:type="dxa" w:w="20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Task</w:t>
            </w:r>
          </w:p>
        </w:tc>
        <w:tc>
          <w:tcPr>
            <w:tcW w:type="dxa" w:w="391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Description</w:t>
            </w:r>
          </w:p>
        </w:tc>
        <w:tc>
          <w:tcPr>
            <w:tcW w:type="dxa" w:w="150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Target date</w:t>
            </w:r>
          </w:p>
        </w:tc>
        <w:tc>
          <w:tcPr>
            <w:tcW w:type="dxa" w:w="17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Status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Chapters 1–4</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Introduction, SLR, Research Questions and Objectives, Research Methodology</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Completed</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5</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Research Architecture (MVC) and framework design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May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6</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Proposed solution for RQ1 to RQ4 and the HALAH prototype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Jul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Paper conference submission, BWCCA 2026: "A Trusted Multi-Party Consent Governance Framework for Decentralized Multi-Stakeholder Data Sharing"</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Sep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SLR paper journal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In Progress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7</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prototype evaluation and integrated results</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Nov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Journal paper on formal security assurance, lifecycle trust and the evaluation of HALAH</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8</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Conclusion and future work</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Final Assessment</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Final candidature assessment defence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Jan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Thesis submission</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thesis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Mar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26, the current stage focuses on establishing the foundational trust-oriented authorisation framework. The main activities are the development of the trust-centric consent model, decentralised identity and authority verification, multi-party authorisation, and policy-aware access control. The progression is RO1, RO2, RO3 and then RO4, which have been implemented and initially validated through the HALAH prototype. The next stage, which concentrates on RO5 and RO6, will build upon the foundational trust-oriented authorisation framework established during current stage and extend the research towards dynamic consent governance, formal security assurance, and comprehensive empirical validation. Consent modification, delegation, and guardian-set changes extend the lifecycle trust of Section 10, while the formal security assurance and the full performance, scalability, and adversarial evaluation complete the work of Section 11.</w:t>
      </w:r>
    </w:p>
    <w:p>
      <w:pPr>
        <w:keepNext/>
        <w:spacing w:after="60" w:before="160"/>
        <w:jc w:val="center"/>
      </w:pPr>
      <w:r>
        <w:drawing>
          <wp:inline distT="0" distB="0" distL="0" distR="0">
            <wp:extent cx="5715000" cy="2514600"/>
            <wp:effectExtent t="0" r="0" b="0" l="0"/>
            <wp:docPr id="1"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5146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26: </w:t>
      </w:r>
      <w:r>
        <w:rPr>
          <w:rFonts w:ascii="Times New Roman" w:cs="Times New Roman" w:eastAsia="Times New Roman" w:hAnsi="Times New Roman"/>
          <w:color w:val="00B0F0"/>
          <w:sz w:val="18"/>
          <w:szCs w:val="18"/>
        </w:rPr>
        <w:t xml:space="preserve">Research timeline: completed milestones, work in progress and the planned stages up to thesis submission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major next stage activities and their expected outcomes are summarised in Table 14.</w:t>
      </w:r>
    </w:p>
    <w:p>
      <w:pPr>
        <w:keepNext/>
        <w:spacing w:after="80" w:before="200"/>
        <w:jc w:val="center"/>
      </w:pPr>
      <w:r>
        <w:rPr>
          <w:rFonts w:ascii="Times New Roman" w:cs="Times New Roman" w:eastAsia="Times New Roman" w:hAnsi="Times New Roman"/>
          <w:b/>
          <w:bCs/>
          <w:sz w:val="18"/>
          <w:szCs w:val="18"/>
        </w:rPr>
        <w:t xml:space="preserve">Table 14: </w:t>
      </w:r>
      <w:r>
        <w:rPr>
          <w:rFonts w:ascii="Times New Roman" w:cs="Times New Roman" w:eastAsia="Times New Roman" w:hAnsi="Times New Roman"/>
          <w:color w:val="00B0F0"/>
          <w:sz w:val="18"/>
          <w:szCs w:val="18"/>
        </w:rPr>
        <w:t xml:space="preserve">Next stage research activities and their expected outcomes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42"/>
        <w:gridCol w:w="3042"/>
        <w:gridCol w:w="3044"/>
      </w:tblGrid>
      <w:tr>
        <w:trPr>
          <w:cantSplit/>
          <w:tblHeader/>
        </w:trPr>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Focus</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Planned Activities</w:t>
            </w:r>
          </w:p>
        </w:tc>
        <w:tc>
          <w:tcPr>
            <w:tcW w:type="dxa" w:w="304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 Outcome</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Modification, Delegation and Lifecycle Extensions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Extend the implemented lifecycle mechanism to support consent modification, delegation and guardian-set changes, and formalise the state-transition model so that unauthorised transitions are excluded by construction. Evaluate access decisions under varying temporal and consent-state constraints.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dynamic consent management mechanism capable of validating whether an authorisation remains active at the precise point of access.</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(Properties &amp; Verification)</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rigorous formal security model and verification proof establishing explicit security guarantees for the trust-oriented authorisation framework.</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Validation (HALAH Prototype Scenarios)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evidence and benchmark datasets demonstrating that the implementation consistently and efficiently enforces the proposed authorisation model.</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Integrated Framework Evaluation (Synthesis &amp; End-to-End)</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 temporal, lifecycle, formal verification, and empirical modules into a unified, cohesive framework. Evaluate cross-component interactions, scalability bottlenecks, and end-to-end feasibility in real-world settings.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fully integrated, validated trust-oriented authorisation framework providing secure, multi-party patient consent and decentralised healthcare data sharing.</w:t>
            </w:r>
          </w:p>
        </w:tc>
      </w:tr>
    </w:tbl>
    <w:p>
      <w:pPr>
        <w:spacing w:after="160"/>
      </w:pPr>
    </w:p>
    <w:p>
      <w:pPr>
        <w:pStyle w:val="Heading1"/>
        <w:pageBreakBefore/>
        <w:spacing w:after="200"/>
      </w:pPr>
      <w:r>
        <w:rPr>
          <w:rFonts w:ascii="Times New Roman" w:cs="Times New Roman" w:eastAsia="Times New Roman" w:hAnsi="Times New Roman"/>
          <w:b/>
          <w:bCs/>
          <w:sz w:val="32"/>
          <w:szCs w:val="32"/>
        </w:rPr>
        <w:t xml:space="preserve">References</w:t>
      </w:r>
    </w:p>
    <w:p>
      <w:pPr>
        <w:tabs>
          <w:tab w:val="left" w:pos="560"/>
        </w:tabs>
        <w:spacing w:after="50" w:line="240"/>
        <w:ind w:left="560" w:hanging="560"/>
        <w:jc w:val="left"/>
      </w:pPr>
      <w:r>
        <w:rPr>
          <w:rFonts w:ascii="Times New Roman" w:cs="Times New Roman" w:eastAsia="Times New Roman" w:hAnsi="Times New Roman"/>
          <w:sz w:val="18"/>
          <w:szCs w:val="18"/>
        </w:rPr>
        <w:t xml:space="preserve">[1]	</w:t>
      </w:r>
      <w:r>
        <w:rPr>
          <w:rFonts w:ascii="Times New Roman" w:cs="Times New Roman" w:eastAsia="Times New Roman" w:hAnsi="Times New Roman"/>
          <w:sz w:val="18"/>
          <w:szCs w:val="18"/>
        </w:rPr>
        <w:t xml:space="preserve">A. Ghafoor, I. Symeonidis, A. Rydberg, C. Lindahl, and A. Q. Abbasi. Towards empowering stakeholders through decentralized trust and secure livestock data sharing. Cryptography, 9(3):52, 2025. doi:10.3390/cryptography9030052</w:t>
      </w:r>
    </w:p>
    <w:p>
      <w:pPr>
        <w:tabs>
          <w:tab w:val="left" w:pos="560"/>
        </w:tabs>
        <w:spacing w:after="50" w:line="240"/>
        <w:ind w:left="560" w:hanging="560"/>
        <w:jc w:val="left"/>
      </w:pPr>
      <w:r>
        <w:rPr>
          <w:rFonts w:ascii="Times New Roman" w:cs="Times New Roman" w:eastAsia="Times New Roman" w:hAnsi="Times New Roman"/>
          <w:sz w:val="18"/>
          <w:szCs w:val="18"/>
        </w:rPr>
        <w:t xml:space="preserve">[2]	</w:t>
      </w:r>
      <w:r>
        <w:rPr>
          <w:rFonts w:ascii="Times New Roman" w:cs="Times New Roman" w:eastAsia="Times New Roman" w:hAnsi="Times New Roman"/>
          <w:sz w:val="18"/>
          <w:szCs w:val="18"/>
        </w:rPr>
        <w:t xml:space="preserve">R. K. Lomotey, S. Kumi, and R. Deters. Data trusts as a service: Providing a platform for multi-party data sharing. International Journal of Information Management Data Insights, 2(1):100075, 2022. doi:10.1016/j.jjimei.2022.100075</w:t>
      </w:r>
    </w:p>
    <w:p>
      <w:pPr>
        <w:tabs>
          <w:tab w:val="left" w:pos="560"/>
        </w:tabs>
        <w:spacing w:after="50" w:line="240"/>
        <w:ind w:left="560" w:hanging="560"/>
        <w:jc w:val="left"/>
      </w:pPr>
      <w:r>
        <w:rPr>
          <w:rFonts w:ascii="Times New Roman" w:cs="Times New Roman" w:eastAsia="Times New Roman" w:hAnsi="Times New Roman"/>
          <w:sz w:val="18"/>
          <w:szCs w:val="18"/>
        </w:rPr>
        <w:t xml:space="preserve">[3]	</w:t>
      </w:r>
      <w:r>
        <w:rPr>
          <w:rFonts w:ascii="Times New Roman" w:cs="Times New Roman" w:eastAsia="Times New Roman" w:hAnsi="Times New Roman"/>
          <w:color w:val="00B0F0"/>
          <w:sz w:val="18"/>
          <w:szCs w:val="18"/>
        </w:rPr>
        <w:t xml:space="preserve">T. L. Nguyen, L. Nguyen, T. Hoang, D. Bandara, Q. Wang, Q. Lu, et al. Blockchain-empowered trustworthy data sharing: Fundamentals, applications, and challenges. ACM Computing Surveys, 57(8):195, 2025. doi:10.1145/3718082</w:t>
      </w:r>
    </w:p>
    <w:p>
      <w:pPr>
        <w:tabs>
          <w:tab w:val="left" w:pos="560"/>
        </w:tabs>
        <w:spacing w:after="50" w:line="240"/>
        <w:ind w:left="560" w:hanging="560"/>
        <w:jc w:val="left"/>
      </w:pPr>
      <w:r>
        <w:rPr>
          <w:rFonts w:ascii="Times New Roman" w:cs="Times New Roman" w:eastAsia="Times New Roman" w:hAnsi="Times New Roman"/>
          <w:sz w:val="18"/>
          <w:szCs w:val="18"/>
        </w:rPr>
        <w:t xml:space="preserve">[4]	</w:t>
      </w:r>
      <w:r>
        <w:rPr>
          <w:rFonts w:ascii="Times New Roman" w:cs="Times New Roman" w:eastAsia="Times New Roman" w:hAnsi="Times New Roman"/>
          <w:sz w:val="18"/>
          <w:szCs w:val="18"/>
        </w:rPr>
        <w:t xml:space="preserve">E. C. Webber, D. Brick, J. P. Scibilia, P. Dehnel, Council on Clinical Information Technology, et al. Electronic communication of the health record and information with pediatric patients and their guardians. Pediatrics, 144(1):e20191359, 2019. doi:10.1542/peds.2019-1359</w:t>
      </w:r>
    </w:p>
    <w:p>
      <w:pPr>
        <w:tabs>
          <w:tab w:val="left" w:pos="560"/>
        </w:tabs>
        <w:spacing w:after="50" w:line="240"/>
        <w:ind w:left="560" w:hanging="560"/>
        <w:jc w:val="left"/>
      </w:pPr>
      <w:r>
        <w:rPr>
          <w:rFonts w:ascii="Times New Roman" w:cs="Times New Roman" w:eastAsia="Times New Roman" w:hAnsi="Times New Roman"/>
          <w:sz w:val="18"/>
          <w:szCs w:val="18"/>
        </w:rPr>
        <w:t xml:space="preserve">[5]	</w:t>
      </w:r>
      <w:r>
        <w:rPr>
          <w:rFonts w:ascii="Times New Roman" w:cs="Times New Roman" w:eastAsia="Times New Roman" w:hAnsi="Times New Roman"/>
          <w:sz w:val="18"/>
          <w:szCs w:val="18"/>
        </w:rPr>
        <w:t xml:space="preserve">C. Welzel, M. Ostermann, H. L. Smith, T. Minssen, T. Kirsten, and S. Gilbert. Enabling secure and self determined health data sharing and consent management. npj Digital Medicine, 8(1):560, 2025. doi:10.1038/s41746-025-01945-z</w:t>
      </w:r>
    </w:p>
    <w:p>
      <w:pPr>
        <w:tabs>
          <w:tab w:val="left" w:pos="560"/>
        </w:tabs>
        <w:spacing w:after="50" w:line="240"/>
        <w:ind w:left="560" w:hanging="560"/>
        <w:jc w:val="left"/>
      </w:pPr>
      <w:r>
        <w:rPr>
          <w:rFonts w:ascii="Times New Roman" w:cs="Times New Roman" w:eastAsia="Times New Roman" w:hAnsi="Times New Roman"/>
          <w:sz w:val="18"/>
          <w:szCs w:val="18"/>
        </w:rPr>
        <w:t xml:space="preserve">[6]	</w:t>
      </w:r>
      <w:r>
        <w:rPr>
          <w:rFonts w:ascii="Times New Roman" w:cs="Times New Roman" w:eastAsia="Times New Roman" w:hAnsi="Times New Roman"/>
          <w:sz w:val="18"/>
          <w:szCs w:val="18"/>
        </w:rPr>
        <w:t xml:space="preserve">M. R. Narkhede, N. I. Wankhede, and A. M. Kamble. Enhancing patient autonomy in data ownership: Privacy models and consent frameworks for healthcare. Journal of Digital Health, 4(1):1–23, 2025. doi:10.55976/jdh.4202513361-23</w:t>
      </w:r>
    </w:p>
    <w:p>
      <w:pPr>
        <w:tabs>
          <w:tab w:val="left" w:pos="560"/>
        </w:tabs>
        <w:spacing w:after="50" w:line="240"/>
        <w:ind w:left="560" w:hanging="560"/>
        <w:jc w:val="left"/>
      </w:pPr>
      <w:r>
        <w:rPr>
          <w:rFonts w:ascii="Times New Roman" w:cs="Times New Roman" w:eastAsia="Times New Roman" w:hAnsi="Times New Roman"/>
          <w:sz w:val="18"/>
          <w:szCs w:val="18"/>
        </w:rPr>
        <w:t xml:space="preserve">[7]	</w:t>
      </w:r>
      <w:r>
        <w:rPr>
          <w:rFonts w:ascii="Times New Roman" w:cs="Times New Roman" w:eastAsia="Times New Roman" w:hAnsi="Times New Roman"/>
          <w:sz w:val="18"/>
          <w:szCs w:val="18"/>
        </w:rPr>
        <w:t xml:space="preserve">R. McClelland and C. M. Harper. Information privacy in healthcare — the vital role of informed consent. European Journal of Health Law, 30(4):469–480, 2023. doi:10.1163/15718093-bja10097</w:t>
      </w:r>
    </w:p>
    <w:p>
      <w:pPr>
        <w:tabs>
          <w:tab w:val="left" w:pos="560"/>
        </w:tabs>
        <w:spacing w:after="50" w:line="240"/>
        <w:ind w:left="560" w:hanging="560"/>
        <w:jc w:val="left"/>
      </w:pPr>
      <w:r>
        <w:rPr>
          <w:rFonts w:ascii="Times New Roman" w:cs="Times New Roman" w:eastAsia="Times New Roman" w:hAnsi="Times New Roman"/>
          <w:sz w:val="18"/>
          <w:szCs w:val="18"/>
        </w:rPr>
        <w:t xml:space="preserve">[8]	</w:t>
      </w:r>
      <w:r>
        <w:rPr>
          <w:rFonts w:ascii="Times New Roman" w:cs="Times New Roman" w:eastAsia="Times New Roman" w:hAnsi="Times New Roman"/>
          <w:sz w:val="18"/>
          <w:szCs w:val="18"/>
        </w:rPr>
        <w:t xml:space="preserve">K. Kaplow, M. Downey, D. Stewart, A. B. Massie, J. D. Motter, L. Taylor, et al. Data professionals’ attitudes on data privacy, sharing, and consent in healthcare and research. Digital Health, 10:20552076241290964, 2024. doi:10.1177/20552076241290964</w:t>
      </w:r>
    </w:p>
    <w:p>
      <w:pPr>
        <w:tabs>
          <w:tab w:val="left" w:pos="560"/>
        </w:tabs>
        <w:spacing w:after="50" w:line="240"/>
        <w:ind w:left="560" w:hanging="560"/>
        <w:jc w:val="left"/>
      </w:pPr>
      <w:r>
        <w:rPr>
          <w:rFonts w:ascii="Times New Roman" w:cs="Times New Roman" w:eastAsia="Times New Roman" w:hAnsi="Times New Roman"/>
          <w:sz w:val="18"/>
          <w:szCs w:val="18"/>
        </w:rPr>
        <w:t xml:space="preserve">[9]	</w:t>
      </w:r>
      <w:r>
        <w:rPr>
          <w:rFonts w:ascii="Times New Roman" w:cs="Times New Roman" w:eastAsia="Times New Roman" w:hAnsi="Times New Roman"/>
          <w:sz w:val="18"/>
          <w:szCs w:val="18"/>
        </w:rPr>
        <w:t xml:space="preserve">A. Nazir, M. H. Rehmani, B. Butler, and D. O’Shea. Access control in healthcare IoT: A comprehensive survey. Engineering Reports, 8(4):e70766, 2026. doi:10.1002/eng2.70766</w:t>
      </w:r>
    </w:p>
    <w:p>
      <w:pPr>
        <w:tabs>
          <w:tab w:val="left" w:pos="560"/>
        </w:tabs>
        <w:spacing w:after="50" w:line="240"/>
        <w:ind w:left="560" w:hanging="560"/>
        <w:jc w:val="left"/>
      </w:pPr>
      <w:r>
        <w:rPr>
          <w:rFonts w:ascii="Times New Roman" w:cs="Times New Roman" w:eastAsia="Times New Roman" w:hAnsi="Times New Roman"/>
          <w:sz w:val="18"/>
          <w:szCs w:val="18"/>
        </w:rPr>
        <w:t xml:space="preserve">[10]	</w:t>
      </w:r>
      <w:r>
        <w:rPr>
          <w:rFonts w:ascii="Times New Roman" w:cs="Times New Roman" w:eastAsia="Times New Roman" w:hAnsi="Times New Roman"/>
          <w:color w:val="00B0F0"/>
          <w:sz w:val="18"/>
          <w:szCs w:val="18"/>
        </w:rPr>
        <w:t xml:space="preserve">A. M. Tawfik, A. Al-Ahwal, A. S. Tag Eldien, and H. H. Zayed. Blockchain-based access control and privacy preservation in healthcare: A comprehensive survey. Cluster Computing, 28:529, 2025. doi:10.1007/s10586-025-05308-x</w:t>
      </w:r>
    </w:p>
    <w:p>
      <w:pPr>
        <w:tabs>
          <w:tab w:val="left" w:pos="560"/>
        </w:tabs>
        <w:spacing w:after="50" w:line="240"/>
        <w:ind w:left="560" w:hanging="560"/>
        <w:jc w:val="left"/>
      </w:pPr>
      <w:r>
        <w:rPr>
          <w:rFonts w:ascii="Times New Roman" w:cs="Times New Roman" w:eastAsia="Times New Roman" w:hAnsi="Times New Roman"/>
          <w:sz w:val="18"/>
          <w:szCs w:val="18"/>
        </w:rPr>
        <w:t xml:space="preserve">[11]	</w:t>
      </w:r>
      <w:r>
        <w:rPr>
          <w:rFonts w:ascii="Times New Roman" w:cs="Times New Roman" w:eastAsia="Times New Roman" w:hAnsi="Times New Roman"/>
          <w:color w:val="00B0F0"/>
          <w:sz w:val="18"/>
          <w:szCs w:val="18"/>
        </w:rPr>
        <w:t xml:space="preserve">A. M. Ibrahim, H. R. Abdel-Aziz, H. A. H. Mohamed, D. E. F. Zaghamir, N. M. I. Wahba, G. A. Hassan, et al. Balancing confidentiality and care coordination: Challenges in patient privacy. BMC Nursing, 23(1):564, 2024. doi:10.1186/s12912-024-02231-1</w:t>
      </w:r>
    </w:p>
    <w:p>
      <w:pPr>
        <w:tabs>
          <w:tab w:val="left" w:pos="560"/>
        </w:tabs>
        <w:spacing w:after="50" w:line="240"/>
        <w:ind w:left="560" w:hanging="560"/>
        <w:jc w:val="left"/>
      </w:pPr>
      <w:r>
        <w:rPr>
          <w:rFonts w:ascii="Times New Roman" w:cs="Times New Roman" w:eastAsia="Times New Roman" w:hAnsi="Times New Roman"/>
          <w:sz w:val="18"/>
          <w:szCs w:val="18"/>
        </w:rPr>
        <w:t xml:space="preserve">[12]	</w:t>
      </w:r>
      <w:r>
        <w:rPr>
          <w:rFonts w:ascii="Times New Roman" w:cs="Times New Roman" w:eastAsia="Times New Roman" w:hAnsi="Times New Roman"/>
          <w:sz w:val="18"/>
          <w:szCs w:val="18"/>
        </w:rPr>
        <w:t xml:space="preserve">L. Theodorakopoulos, A. Theodoropoulou, and C. Halkiopoulos. Enhancing decentralized decision-making with big data and blockchain technology: A comprehensive review. Applied Sciences, 14(16):7007, 2024. doi:10.3390/app14167007</w:t>
      </w:r>
    </w:p>
    <w:p>
      <w:pPr>
        <w:tabs>
          <w:tab w:val="left" w:pos="560"/>
        </w:tabs>
        <w:spacing w:after="50" w:line="240"/>
        <w:ind w:left="560" w:hanging="560"/>
        <w:jc w:val="left"/>
      </w:pPr>
      <w:r>
        <w:rPr>
          <w:rFonts w:ascii="Times New Roman" w:cs="Times New Roman" w:eastAsia="Times New Roman" w:hAnsi="Times New Roman"/>
          <w:sz w:val="18"/>
          <w:szCs w:val="18"/>
        </w:rPr>
        <w:t xml:space="preserve">[13]	</w:t>
      </w:r>
      <w:r>
        <w:rPr>
          <w:rFonts w:ascii="Times New Roman" w:cs="Times New Roman" w:eastAsia="Times New Roman" w:hAnsi="Times New Roman"/>
          <w:sz w:val="18"/>
          <w:szCs w:val="18"/>
        </w:rPr>
        <w:t xml:space="preserve">A. Al Mamun, S. Azam, and C. Gritti. Blockchain-based electronic health records management: A comprehensive review and future research direction. IEEE Access, 10:5768–5789, 2022. doi:10.1109/ACCESS.2022.3141079</w:t>
      </w:r>
    </w:p>
    <w:p>
      <w:pPr>
        <w:tabs>
          <w:tab w:val="left" w:pos="560"/>
        </w:tabs>
        <w:spacing w:after="50" w:line="240"/>
        <w:ind w:left="560" w:hanging="560"/>
        <w:jc w:val="left"/>
      </w:pPr>
      <w:r>
        <w:rPr>
          <w:rFonts w:ascii="Times New Roman" w:cs="Times New Roman" w:eastAsia="Times New Roman" w:hAnsi="Times New Roman"/>
          <w:sz w:val="18"/>
          <w:szCs w:val="18"/>
        </w:rPr>
        <w:t xml:space="preserve">[14]	</w:t>
      </w:r>
      <w:r>
        <w:rPr>
          <w:rFonts w:ascii="Times New Roman" w:cs="Times New Roman" w:eastAsia="Times New Roman" w:hAnsi="Times New Roman"/>
          <w:sz w:val="18"/>
          <w:szCs w:val="18"/>
        </w:rPr>
        <w:t xml:space="preserve">R. Hellstern, D. C. Park, V. Lemieux, and G. Salimjan. Leveraging blockchain-based archival solutions for sensitive documentation: A Xinjiang case study. Digital Society, 1(1):4, 2022. doi:10.1007/s44206-022-00007-1</w:t>
      </w:r>
    </w:p>
    <w:p>
      <w:pPr>
        <w:tabs>
          <w:tab w:val="left" w:pos="560"/>
        </w:tabs>
        <w:spacing w:after="50" w:line="240"/>
        <w:ind w:left="560" w:hanging="560"/>
        <w:jc w:val="left"/>
      </w:pPr>
      <w:r>
        <w:rPr>
          <w:rFonts w:ascii="Times New Roman" w:cs="Times New Roman" w:eastAsia="Times New Roman" w:hAnsi="Times New Roman"/>
          <w:sz w:val="18"/>
          <w:szCs w:val="18"/>
        </w:rPr>
        <w:t xml:space="preserve">[15]	</w:t>
      </w:r>
      <w:r>
        <w:rPr>
          <w:rFonts w:ascii="Times New Roman" w:cs="Times New Roman" w:eastAsia="Times New Roman" w:hAnsi="Times New Roman"/>
          <w:sz w:val="18"/>
          <w:szCs w:val="18"/>
        </w:rPr>
        <w:t xml:space="preserve">L. Li, C. Z. Liu, and S. Shrestha. Analytical entropy approach for measuring blockchain immutability and tamper-resilient trust. Entropy, 28(6):690, 2026. doi:10.3390/e28060690</w:t>
      </w:r>
    </w:p>
    <w:p>
      <w:pPr>
        <w:tabs>
          <w:tab w:val="left" w:pos="560"/>
        </w:tabs>
        <w:spacing w:after="50" w:line="240"/>
        <w:ind w:left="560" w:hanging="560"/>
        <w:jc w:val="left"/>
      </w:pPr>
      <w:r>
        <w:rPr>
          <w:rFonts w:ascii="Times New Roman" w:cs="Times New Roman" w:eastAsia="Times New Roman" w:hAnsi="Times New Roman"/>
          <w:sz w:val="18"/>
          <w:szCs w:val="18"/>
        </w:rPr>
        <w:t xml:space="preserve">[16]	</w:t>
      </w:r>
      <w:r>
        <w:rPr>
          <w:rFonts w:ascii="Times New Roman" w:cs="Times New Roman" w:eastAsia="Times New Roman" w:hAnsi="Times New Roman"/>
          <w:sz w:val="18"/>
          <w:szCs w:val="18"/>
        </w:rPr>
        <w:t xml:space="preserve">C. Mazzocca, A. Acar, A. S. Uluagac, R. Montanari, P. Bellavista, and M. Conti. A survey on decentralized identifiers and verifiable credentials. IEEE Communications Surveys &amp; Tutorials, 27(6):3641–3671, 2025. doi:10.1109/COMST.2025.3543197</w:t>
      </w:r>
    </w:p>
    <w:p>
      <w:pPr>
        <w:tabs>
          <w:tab w:val="left" w:pos="560"/>
        </w:tabs>
        <w:spacing w:after="50" w:line="240"/>
        <w:ind w:left="560" w:hanging="560"/>
        <w:jc w:val="left"/>
      </w:pPr>
      <w:r>
        <w:rPr>
          <w:rFonts w:ascii="Times New Roman" w:cs="Times New Roman" w:eastAsia="Times New Roman" w:hAnsi="Times New Roman"/>
          <w:sz w:val="18"/>
          <w:szCs w:val="18"/>
        </w:rPr>
        <w:t xml:space="preserve">[17]	</w:t>
      </w:r>
      <w:r>
        <w:rPr>
          <w:rFonts w:ascii="Times New Roman" w:cs="Times New Roman" w:eastAsia="Times New Roman" w:hAnsi="Times New Roman"/>
          <w:sz w:val="18"/>
          <w:szCs w:val="18"/>
        </w:rPr>
        <w:t xml:space="preserve">A. Flamini, G. Sciarretta, M. Scuro, A. Sharif, A. Tomasi, and S. Ranise. On cryptographic mechanisms for the selective disclosure of verifiable credentials. Journal of Information Security and Applications, 83:103789, 2024. doi:10.1016/j.jisa.2024.103789</w:t>
      </w:r>
    </w:p>
    <w:p>
      <w:pPr>
        <w:tabs>
          <w:tab w:val="left" w:pos="560"/>
        </w:tabs>
        <w:spacing w:after="50" w:line="240"/>
        <w:ind w:left="560" w:hanging="560"/>
        <w:jc w:val="left"/>
      </w:pPr>
      <w:r>
        <w:rPr>
          <w:rFonts w:ascii="Times New Roman" w:cs="Times New Roman" w:eastAsia="Times New Roman" w:hAnsi="Times New Roman"/>
          <w:sz w:val="18"/>
          <w:szCs w:val="18"/>
        </w:rPr>
        <w:t xml:space="preserve">[18]	</w:t>
      </w:r>
      <w:r>
        <w:rPr>
          <w:rFonts w:ascii="Times New Roman" w:cs="Times New Roman" w:eastAsia="Times New Roman" w:hAnsi="Times New Roman"/>
          <w:sz w:val="18"/>
          <w:szCs w:val="18"/>
        </w:rPr>
        <w:t xml:space="preserve">J. Andrew, D. P. Isravel, K. M. Sagayam, B. Bhushan, Y. Sei, and J. Eunice. Blockchain for healthcare systems: Architecture, security challenges, trends and future directions. Journal of Network and Computer Applications, 215:103633, 2023. doi:10.1016/j.jnca.2023.103633</w:t>
      </w:r>
    </w:p>
    <w:p>
      <w:pPr>
        <w:tabs>
          <w:tab w:val="left" w:pos="560"/>
        </w:tabs>
        <w:spacing w:after="50" w:line="240"/>
        <w:ind w:left="560" w:hanging="560"/>
        <w:jc w:val="left"/>
      </w:pPr>
      <w:r>
        <w:rPr>
          <w:rFonts w:ascii="Times New Roman" w:cs="Times New Roman" w:eastAsia="Times New Roman" w:hAnsi="Times New Roman"/>
          <w:sz w:val="18"/>
          <w:szCs w:val="18"/>
        </w:rPr>
        <w:t xml:space="preserve">[19]	</w:t>
      </w:r>
      <w:r>
        <w:rPr>
          <w:rFonts w:ascii="Times New Roman" w:cs="Times New Roman" w:eastAsia="Times New Roman" w:hAnsi="Times New Roman"/>
          <w:color w:val="00B0F0"/>
          <w:sz w:val="18"/>
          <w:szCs w:val="18"/>
        </w:rPr>
        <w:t xml:space="preserve">M. I. Khalid, M. Ahmed, M. Helfert, and J. Kim. Privacy-first paradigm for dynamic consent management systems: Empowering data subjects through decentralized data controllers and privacy-preserving techniques. Electronics, 12(24):4973, 2023. doi:10.3390/electronics12244973</w:t>
      </w:r>
    </w:p>
    <w:p>
      <w:pPr>
        <w:tabs>
          <w:tab w:val="left" w:pos="560"/>
        </w:tabs>
        <w:spacing w:after="50" w:line="240"/>
        <w:ind w:left="560" w:hanging="560"/>
        <w:jc w:val="left"/>
      </w:pPr>
      <w:r>
        <w:rPr>
          <w:rFonts w:ascii="Times New Roman" w:cs="Times New Roman" w:eastAsia="Times New Roman" w:hAnsi="Times New Roman"/>
          <w:sz w:val="18"/>
          <w:szCs w:val="18"/>
        </w:rPr>
        <w:t xml:space="preserve">[20]	</w:t>
      </w:r>
      <w:r>
        <w:rPr>
          <w:rFonts w:ascii="Times New Roman" w:cs="Times New Roman" w:eastAsia="Times New Roman" w:hAnsi="Times New Roman"/>
          <w:sz w:val="18"/>
          <w:szCs w:val="18"/>
        </w:rPr>
        <w:t xml:space="preserve">V. Jesus and H. J. Pandit. Consent receipts for a usable and auditable web of personal data. IEEE Access, 10:28545–28563, 2022. doi:10.1109/ACCESS.2022.3157850</w:t>
      </w:r>
    </w:p>
    <w:p>
      <w:pPr>
        <w:tabs>
          <w:tab w:val="left" w:pos="560"/>
        </w:tabs>
        <w:spacing w:after="50" w:line="240"/>
        <w:ind w:left="560" w:hanging="560"/>
        <w:jc w:val="left"/>
      </w:pPr>
      <w:r>
        <w:rPr>
          <w:rFonts w:ascii="Times New Roman" w:cs="Times New Roman" w:eastAsia="Times New Roman" w:hAnsi="Times New Roman"/>
          <w:sz w:val="18"/>
          <w:szCs w:val="18"/>
        </w:rPr>
        <w:t xml:space="preserve">[21]	</w:t>
      </w:r>
      <w:r>
        <w:rPr>
          <w:rFonts w:ascii="Times New Roman" w:cs="Times New Roman" w:eastAsia="Times New Roman" w:hAnsi="Times New Roman"/>
          <w:sz w:val="18"/>
          <w:szCs w:val="18"/>
        </w:rPr>
        <w:t xml:space="preserve">S. Phuyal, M. Bhandari, R. Bista, and J. C. Ferreira. Enabling cross-institution health data sharing in Norway: EUDI wallets, on-chain consent, and openEHR↔FHIR translation. IEEE Access, 14:20309–20327, 2026. doi:10.1109/ACCESS.2026.3661642</w:t>
      </w:r>
    </w:p>
    <w:p>
      <w:pPr>
        <w:tabs>
          <w:tab w:val="left" w:pos="560"/>
        </w:tabs>
        <w:spacing w:after="50" w:line="240"/>
        <w:ind w:left="560" w:hanging="560"/>
        <w:jc w:val="left"/>
      </w:pPr>
      <w:r>
        <w:rPr>
          <w:rFonts w:ascii="Times New Roman" w:cs="Times New Roman" w:eastAsia="Times New Roman" w:hAnsi="Times New Roman"/>
          <w:sz w:val="18"/>
          <w:szCs w:val="18"/>
        </w:rPr>
        <w:t xml:space="preserve">[22]	</w:t>
      </w:r>
      <w:r>
        <w:rPr>
          <w:rFonts w:ascii="Times New Roman" w:cs="Times New Roman" w:eastAsia="Times New Roman" w:hAnsi="Times New Roman"/>
          <w:sz w:val="18"/>
          <w:szCs w:val="18"/>
        </w:rPr>
        <w:t xml:space="preserve">Z. Wu and D. Zhang. HealthDID: An efficient and authorizable multi-party privacy-preserving EMR sharing system based on DID. Computer Standards &amp; Interfaces, 93:103967, 2025. doi:10.1016/j.csi.2024.103967</w:t>
      </w:r>
    </w:p>
    <w:p>
      <w:pPr>
        <w:tabs>
          <w:tab w:val="left" w:pos="560"/>
        </w:tabs>
        <w:spacing w:after="50" w:line="240"/>
        <w:ind w:left="560" w:hanging="560"/>
        <w:jc w:val="left"/>
      </w:pPr>
      <w:r>
        <w:rPr>
          <w:rFonts w:ascii="Times New Roman" w:cs="Times New Roman" w:eastAsia="Times New Roman" w:hAnsi="Times New Roman"/>
          <w:sz w:val="18"/>
          <w:szCs w:val="18"/>
        </w:rPr>
        <w:t xml:space="preserve">[23]	</w:t>
      </w:r>
      <w:r>
        <w:rPr>
          <w:rFonts w:ascii="Times New Roman" w:cs="Times New Roman" w:eastAsia="Times New Roman" w:hAnsi="Times New Roman"/>
          <w:sz w:val="18"/>
          <w:szCs w:val="18"/>
        </w:rPr>
        <w:t xml:space="preserve">M. M. Madine, K. Salah, R. Jayaraman, I. Yaqoob, Y. Al-Hammadi, S. Ellahham, et al. Fully decentralized multi-party consent management for secure sharing of patient health records. IEEE Access, 8:225777–225791, 2020. doi:10.1109/ACCESS.2020.3045048</w:t>
      </w:r>
    </w:p>
    <w:p>
      <w:pPr>
        <w:tabs>
          <w:tab w:val="left" w:pos="560"/>
        </w:tabs>
        <w:spacing w:after="50" w:line="240"/>
        <w:ind w:left="560" w:hanging="560"/>
        <w:jc w:val="left"/>
      </w:pPr>
      <w:r>
        <w:rPr>
          <w:rFonts w:ascii="Times New Roman" w:cs="Times New Roman" w:eastAsia="Times New Roman" w:hAnsi="Times New Roman"/>
          <w:sz w:val="18"/>
          <w:szCs w:val="18"/>
        </w:rPr>
        <w:t xml:space="preserve">[24]	</w:t>
      </w:r>
      <w:r>
        <w:rPr>
          <w:rFonts w:ascii="Times New Roman" w:cs="Times New Roman" w:eastAsia="Times New Roman" w:hAnsi="Times New Roman"/>
          <w:sz w:val="18"/>
          <w:szCs w:val="18"/>
        </w:rPr>
        <w:t xml:space="preserve">D. Tith, J.-S. Lee, H. Suzuki, W. M. A. B. Wijesundara, N. Taira, T. Obi, et al. Patient consent management by a purpose-based consent model for electronic health record based on blockchain technology. Healthcare Informatics Research, 26(4):265–273, 2020. doi:10.4258/hir.2020.26.4.265</w:t>
      </w:r>
    </w:p>
    <w:p>
      <w:pPr>
        <w:tabs>
          <w:tab w:val="left" w:pos="560"/>
        </w:tabs>
        <w:spacing w:after="50" w:line="240"/>
        <w:ind w:left="560" w:hanging="560"/>
        <w:jc w:val="left"/>
      </w:pPr>
      <w:r>
        <w:rPr>
          <w:rFonts w:ascii="Times New Roman" w:cs="Times New Roman" w:eastAsia="Times New Roman" w:hAnsi="Times New Roman"/>
          <w:sz w:val="18"/>
          <w:szCs w:val="18"/>
        </w:rPr>
        <w:t xml:space="preserve">[25]	</w:t>
      </w:r>
      <w:r>
        <w:rPr>
          <w:rFonts w:ascii="Times New Roman" w:cs="Times New Roman" w:eastAsia="Times New Roman" w:hAnsi="Times New Roman"/>
          <w:color w:val="00B0F0"/>
          <w:sz w:val="18"/>
          <w:szCs w:val="18"/>
        </w:rPr>
        <w:t xml:space="preserve">A. Punia, P. Gulia, N. S. Gill, D. Kaushik, N. Alduaiji, P. K. Shukla, et al. An access control system for cloud-based healthcare systems driven by blockchain. Journal of Cloud Computing, 14(1):78, 2025. doi:10.1186/s13677-025-00831-z</w:t>
      </w:r>
    </w:p>
    <w:p>
      <w:pPr>
        <w:tabs>
          <w:tab w:val="left" w:pos="560"/>
        </w:tabs>
        <w:spacing w:after="50" w:line="240"/>
        <w:ind w:left="560" w:hanging="560"/>
        <w:jc w:val="left"/>
      </w:pPr>
      <w:r>
        <w:rPr>
          <w:rFonts w:ascii="Times New Roman" w:cs="Times New Roman" w:eastAsia="Times New Roman" w:hAnsi="Times New Roman"/>
          <w:sz w:val="18"/>
          <w:szCs w:val="18"/>
        </w:rPr>
        <w:t xml:space="preserve">[26]	</w:t>
      </w:r>
      <w:r>
        <w:rPr>
          <w:rFonts w:ascii="Times New Roman" w:cs="Times New Roman" w:eastAsia="Times New Roman" w:hAnsi="Times New Roman"/>
          <w:sz w:val="18"/>
          <w:szCs w:val="18"/>
        </w:rPr>
        <w:t xml:space="preserve">K.-L. Tan, C.-H. Chi, and K.-Y. Lam. Secure and privacy-preserving sharing of personal health records with multi-party pre-authorization verification. Wireless Networks, 30(4):4773–4795, 2024. doi:10.1007/s11276-022-03114-6</w:t>
      </w:r>
    </w:p>
    <w:p>
      <w:pPr>
        <w:tabs>
          <w:tab w:val="left" w:pos="560"/>
        </w:tabs>
        <w:spacing w:after="50" w:line="240"/>
        <w:ind w:left="560" w:hanging="560"/>
        <w:jc w:val="left"/>
      </w:pPr>
      <w:r>
        <w:rPr>
          <w:rFonts w:ascii="Times New Roman" w:cs="Times New Roman" w:eastAsia="Times New Roman" w:hAnsi="Times New Roman"/>
          <w:sz w:val="18"/>
          <w:szCs w:val="18"/>
        </w:rPr>
        <w:t xml:space="preserve">[27]	</w:t>
      </w:r>
      <w:r>
        <w:rPr>
          <w:rFonts w:ascii="Times New Roman" w:cs="Times New Roman" w:eastAsia="Times New Roman" w:hAnsi="Times New Roman"/>
          <w:color w:val="00B0F0"/>
          <w:sz w:val="18"/>
          <w:szCs w:val="18"/>
        </w:rPr>
        <w:t xml:space="preserve">K. Ekholm, A. Augustinsson, J. Sundström, C. Johansen, M. Storgärds, L. Ljöstad, et al. Implementing electronic informed consent in rare disease genomics. Scientific Reports, 15(1):44419, 2025. doi:10.1038/s41598-025-32740-1</w:t>
      </w:r>
    </w:p>
    <w:p>
      <w:pPr>
        <w:tabs>
          <w:tab w:val="left" w:pos="560"/>
        </w:tabs>
        <w:spacing w:after="50" w:line="240"/>
        <w:ind w:left="560" w:hanging="560"/>
        <w:jc w:val="left"/>
      </w:pPr>
      <w:r>
        <w:rPr>
          <w:rFonts w:ascii="Times New Roman" w:cs="Times New Roman" w:eastAsia="Times New Roman" w:hAnsi="Times New Roman"/>
          <w:sz w:val="18"/>
          <w:szCs w:val="18"/>
        </w:rPr>
        <w:t xml:space="preserve">[28]	</w:t>
      </w:r>
      <w:r>
        <w:rPr>
          <w:rFonts w:ascii="Times New Roman" w:cs="Times New Roman" w:eastAsia="Times New Roman" w:hAnsi="Times New Roman"/>
          <w:sz w:val="18"/>
          <w:szCs w:val="18"/>
        </w:rPr>
        <w:t xml:space="preserve">A. U. Eneh, L. A. C. Ahakonye, J. M. Lee, and D.-S. Kim. Demo: EdgeConsent: On-chain attribute-based access control for data consent management. In 2026 IEEE International Conference on Blockchain and Cryptocurrency (ICBC), 2026. doi:10.1109/ICBC67748.2026.11575534</w:t>
      </w:r>
    </w:p>
    <w:p>
      <w:pPr>
        <w:tabs>
          <w:tab w:val="left" w:pos="560"/>
        </w:tabs>
        <w:spacing w:after="50" w:line="240"/>
        <w:ind w:left="560" w:hanging="560"/>
        <w:jc w:val="left"/>
      </w:pPr>
      <w:r>
        <w:rPr>
          <w:rFonts w:ascii="Times New Roman" w:cs="Times New Roman" w:eastAsia="Times New Roman" w:hAnsi="Times New Roman"/>
          <w:sz w:val="18"/>
          <w:szCs w:val="18"/>
        </w:rPr>
        <w:t xml:space="preserve">[29]	</w:t>
      </w:r>
      <w:r>
        <w:rPr>
          <w:rFonts w:ascii="Times New Roman" w:cs="Times New Roman" w:eastAsia="Times New Roman" w:hAnsi="Times New Roman"/>
          <w:sz w:val="18"/>
          <w:szCs w:val="18"/>
        </w:rPr>
        <w:t xml:space="preserve">D. P. Panagoulias, A. I. Damian, C. Stamate, V. Toderian, P. Butusina, A. De Franceschi, et al. Blockchain-enabled trust and compliance for clinical AI: Decentralized governance without decentralized data storage. Electronics, 15(14):3046, 2026. doi:10.3390/electronics15143046</w:t>
      </w:r>
    </w:p>
    <w:p>
      <w:pPr>
        <w:tabs>
          <w:tab w:val="left" w:pos="560"/>
        </w:tabs>
        <w:spacing w:after="50" w:line="240"/>
        <w:ind w:left="560" w:hanging="560"/>
        <w:jc w:val="left"/>
      </w:pPr>
      <w:r>
        <w:rPr>
          <w:rFonts w:ascii="Times New Roman" w:cs="Times New Roman" w:eastAsia="Times New Roman" w:hAnsi="Times New Roman"/>
          <w:sz w:val="18"/>
          <w:szCs w:val="18"/>
        </w:rPr>
        <w:t xml:space="preserve">[30]	</w:t>
      </w:r>
      <w:r>
        <w:rPr>
          <w:rFonts w:ascii="Times New Roman" w:cs="Times New Roman" w:eastAsia="Times New Roman" w:hAnsi="Times New Roman"/>
          <w:sz w:val="18"/>
          <w:szCs w:val="18"/>
        </w:rPr>
        <w:t xml:space="preserve">I. Román-Martínez, J. Calvillo-Arbizu, V. J. Mayor-Gallego, G. Madinabeitia-Luque, A. J. Estepa-Alonso, and R. M. Estepa-Alonso. Blockchain-based service-oriented architecture for consent management, access control, and auditing. IEEE Access, 11:12727–12741, 2023. doi:10.1109/ACCESS.2023.3242605</w:t>
      </w:r>
    </w:p>
    <w:p>
      <w:pPr>
        <w:tabs>
          <w:tab w:val="left" w:pos="560"/>
        </w:tabs>
        <w:spacing w:after="50" w:line="240"/>
        <w:ind w:left="560" w:hanging="560"/>
        <w:jc w:val="left"/>
      </w:pPr>
      <w:r>
        <w:rPr>
          <w:rFonts w:ascii="Times New Roman" w:cs="Times New Roman" w:eastAsia="Times New Roman" w:hAnsi="Times New Roman"/>
          <w:sz w:val="18"/>
          <w:szCs w:val="18"/>
        </w:rPr>
        <w:t xml:space="preserve">[31]	</w:t>
      </w:r>
      <w:r>
        <w:rPr>
          <w:rFonts w:ascii="Times New Roman" w:cs="Times New Roman" w:eastAsia="Times New Roman" w:hAnsi="Times New Roman"/>
          <w:sz w:val="18"/>
          <w:szCs w:val="18"/>
        </w:rPr>
        <w:t xml:space="preserve">B. Khayer, S. Mirzaei, H. Alavizadeh, and A. Salehi Shahraki. Blockchain for secure IoT: A review of identity management, access control, and trust mechanisms. IoT, 6(4):65, 2025. doi:10.3390/iot6040065</w:t>
      </w:r>
    </w:p>
    <w:p>
      <w:pPr>
        <w:tabs>
          <w:tab w:val="left" w:pos="560"/>
        </w:tabs>
        <w:spacing w:after="50" w:line="240"/>
        <w:ind w:left="560" w:hanging="560"/>
        <w:jc w:val="left"/>
      </w:pPr>
      <w:r>
        <w:rPr>
          <w:rFonts w:ascii="Times New Roman" w:cs="Times New Roman" w:eastAsia="Times New Roman" w:hAnsi="Times New Roman"/>
          <w:sz w:val="18"/>
          <w:szCs w:val="18"/>
        </w:rPr>
        <w:t xml:space="preserve">[32]	</w:t>
      </w:r>
      <w:r>
        <w:rPr>
          <w:rFonts w:ascii="Times New Roman" w:cs="Times New Roman" w:eastAsia="Times New Roman" w:hAnsi="Times New Roman"/>
          <w:sz w:val="18"/>
          <w:szCs w:val="18"/>
        </w:rPr>
        <w:t xml:space="preserve">J. C. Ferreira, R. Correia, L. Rosário, and A. Vila. Blockchain integration for trust and consent management in MCP-enabled FHIR systems. In 2025 IEEE International Conference on Distributed Ledger Technologies (ICDLT), pages 1–10, 2025. doi:10.1109/ICDLT66400.2025.11466653</w:t>
      </w:r>
    </w:p>
    <w:p>
      <w:pPr>
        <w:tabs>
          <w:tab w:val="left" w:pos="560"/>
        </w:tabs>
        <w:spacing w:after="50" w:line="240"/>
        <w:ind w:left="560" w:hanging="560"/>
        <w:jc w:val="left"/>
      </w:pPr>
      <w:r>
        <w:rPr>
          <w:rFonts w:ascii="Times New Roman" w:cs="Times New Roman" w:eastAsia="Times New Roman" w:hAnsi="Times New Roman"/>
          <w:sz w:val="18"/>
          <w:szCs w:val="18"/>
        </w:rPr>
        <w:t xml:space="preserve">[33]	</w:t>
      </w:r>
      <w:r>
        <w:rPr>
          <w:rFonts w:ascii="Times New Roman" w:cs="Times New Roman" w:eastAsia="Times New Roman" w:hAnsi="Times New Roman"/>
          <w:color w:val="00B0F0"/>
          <w:sz w:val="18"/>
          <w:szCs w:val="18"/>
        </w:rPr>
        <w:t xml:space="preserve">J. Ménétrey, C. Göttel, A. Khurshid, M. Pasin, P. Felber, V. Schiavoni, et al. Attestation mechanisms for trusted execution environments demystified. In IFIP International Conference on Distributed Applications and Interoperable Systems (DAIS 2022), LNCS, vol. 13272, pages 95–113. Springer, 2022. doi:10.1007/978-3-031-16092-9_7</w:t>
      </w:r>
    </w:p>
    <w:p>
      <w:pPr>
        <w:tabs>
          <w:tab w:val="left" w:pos="560"/>
        </w:tabs>
        <w:spacing w:after="50" w:line="240"/>
        <w:ind w:left="560" w:hanging="560"/>
        <w:jc w:val="left"/>
      </w:pPr>
      <w:r>
        <w:rPr>
          <w:rFonts w:ascii="Times New Roman" w:cs="Times New Roman" w:eastAsia="Times New Roman" w:hAnsi="Times New Roman"/>
          <w:sz w:val="18"/>
          <w:szCs w:val="18"/>
        </w:rPr>
        <w:t xml:space="preserve">[34]	</w:t>
      </w:r>
      <w:r>
        <w:rPr>
          <w:rFonts w:ascii="Times New Roman" w:cs="Times New Roman" w:eastAsia="Times New Roman" w:hAnsi="Times New Roman"/>
          <w:sz w:val="18"/>
          <w:szCs w:val="18"/>
        </w:rPr>
        <w:t xml:space="preserve">L. Li, C. Z. Liu, K. Huang, R. Deng, M. A. Alrowaily, M. Alghamdi, et al. Trust-aware environmental state consensus for smart agriculture with TEE-enabled sensing and Byzantine-resilient blockchain coordination. Sensors, 26(14):4577, 2026. doi:10.3390/s26144577</w:t>
      </w:r>
    </w:p>
    <w:p>
      <w:pPr>
        <w:tabs>
          <w:tab w:val="left" w:pos="560"/>
        </w:tabs>
        <w:spacing w:after="50" w:line="240"/>
        <w:ind w:left="560" w:hanging="560"/>
        <w:jc w:val="left"/>
      </w:pPr>
      <w:r>
        <w:rPr>
          <w:rFonts w:ascii="Times New Roman" w:cs="Times New Roman" w:eastAsia="Times New Roman" w:hAnsi="Times New Roman"/>
          <w:sz w:val="18"/>
          <w:szCs w:val="18"/>
        </w:rPr>
        <w:t xml:space="preserve">[35]	</w:t>
      </w:r>
      <w:r>
        <w:rPr>
          <w:rFonts w:ascii="Times New Roman" w:cs="Times New Roman" w:eastAsia="Times New Roman" w:hAnsi="Times New Roman"/>
          <w:sz w:val="18"/>
          <w:szCs w:val="18"/>
        </w:rPr>
        <w:t xml:space="preserve">J. Walonoski, M. Kramer, J. Nichols, A. Quina, C. Moesel, D. Hall, et al. Synthea: An approach, method, and software mechanism for generating synthetic patients and the synthetic electronic health care record. Journal of the American Medical Informatics Association, 25(3):230–238, 2018. doi:10.1093/jamia/ocx079</w:t>
      </w:r>
    </w:p>
    <w:p>
      <w:pPr>
        <w:tabs>
          <w:tab w:val="left" w:pos="560"/>
        </w:tabs>
        <w:spacing w:after="50" w:line="240"/>
        <w:ind w:left="560" w:hanging="560"/>
        <w:jc w:val="left"/>
      </w:pPr>
      <w:r>
        <w:rPr>
          <w:rFonts w:ascii="Times New Roman" w:cs="Times New Roman" w:eastAsia="Times New Roman" w:hAnsi="Times New Roman"/>
          <w:sz w:val="18"/>
          <w:szCs w:val="18"/>
        </w:rPr>
        <w:t xml:space="preserve">[36]	</w:t>
      </w:r>
      <w:r>
        <w:rPr>
          <w:rFonts w:ascii="Times New Roman" w:cs="Times New Roman" w:eastAsia="Times New Roman" w:hAnsi="Times New Roman"/>
          <w:color w:val="00B0F0"/>
          <w:sz w:val="18"/>
          <w:szCs w:val="18"/>
        </w:rPr>
        <w:t xml:space="preserve">A. Kharlamov, R. Hohmann, and G. Parry. Data sharing decisions: Perceptions and intentions in healthcare. Strategic Change, 32(6):223–237, 2023. doi:10.1002/jsc.2558</w:t>
      </w:r>
    </w:p>
    <w:p>
      <w:pPr>
        <w:tabs>
          <w:tab w:val="left" w:pos="560"/>
        </w:tabs>
        <w:spacing w:after="50" w:line="240"/>
        <w:ind w:left="560" w:hanging="560"/>
        <w:jc w:val="left"/>
      </w:pPr>
      <w:r>
        <w:rPr>
          <w:rFonts w:ascii="Times New Roman" w:cs="Times New Roman" w:eastAsia="Times New Roman" w:hAnsi="Times New Roman"/>
          <w:sz w:val="18"/>
          <w:szCs w:val="18"/>
        </w:rPr>
        <w:t xml:space="preserve">[37]	</w:t>
      </w:r>
      <w:r>
        <w:rPr>
          <w:rFonts w:ascii="Times New Roman" w:cs="Times New Roman" w:eastAsia="Times New Roman" w:hAnsi="Times New Roman"/>
          <w:sz w:val="18"/>
          <w:szCs w:val="18"/>
        </w:rPr>
        <w:t xml:space="preserve">P. K. Ghosh, A. Chakraborty, M. Hasan, K. Rashid, and A. H. Siddique. Blockchain application in healthcare systems: A review. Systems, 11(1):38, 2023. doi:10.3390/systems11010038</w:t>
      </w:r>
    </w:p>
    <w:p>
      <w:pPr>
        <w:tabs>
          <w:tab w:val="left" w:pos="560"/>
        </w:tabs>
        <w:spacing w:after="50" w:line="240"/>
        <w:ind w:left="560" w:hanging="560"/>
        <w:jc w:val="left"/>
      </w:pPr>
      <w:r>
        <w:rPr>
          <w:rFonts w:ascii="Times New Roman" w:cs="Times New Roman" w:eastAsia="Times New Roman" w:hAnsi="Times New Roman"/>
          <w:sz w:val="18"/>
          <w:szCs w:val="18"/>
        </w:rPr>
        <w:t xml:space="preserve">[38]	</w:t>
      </w:r>
      <w:r>
        <w:rPr>
          <w:rFonts w:ascii="Times New Roman" w:cs="Times New Roman" w:eastAsia="Times New Roman" w:hAnsi="Times New Roman"/>
          <w:sz w:val="18"/>
          <w:szCs w:val="18"/>
        </w:rPr>
        <w:t xml:space="preserve">M. S. Arbabi, C. Lal, N. R. Veeraragavan, D. Marijan, J. F. Nygård, and R. Vitenberg. A survey on blockchain for healthcare: Challenges, benefits, and future directions. IEEE Communications Surveys &amp; Tutorials, 25(1):386–424, 2023. doi:10.1109/COMST.2022.3224644</w:t>
      </w:r>
    </w:p>
    <w:p>
      <w:pPr>
        <w:tabs>
          <w:tab w:val="left" w:pos="560"/>
        </w:tabs>
        <w:spacing w:after="50" w:line="240"/>
        <w:ind w:left="560" w:hanging="560"/>
        <w:jc w:val="left"/>
      </w:pPr>
      <w:r>
        <w:rPr>
          <w:rFonts w:ascii="Times New Roman" w:cs="Times New Roman" w:eastAsia="Times New Roman" w:hAnsi="Times New Roman"/>
          <w:sz w:val="18"/>
          <w:szCs w:val="18"/>
        </w:rPr>
        <w:t xml:space="preserve">[39]	</w:t>
      </w:r>
      <w:r>
        <w:rPr>
          <w:rFonts w:ascii="Times New Roman" w:cs="Times New Roman" w:eastAsia="Times New Roman" w:hAnsi="Times New Roman"/>
          <w:sz w:val="18"/>
          <w:szCs w:val="18"/>
        </w:rPr>
        <w:t xml:space="preserve">M. N. Turan, I. A. Hashimzai, and M. Q. Qiam. A blockchain-based framework for secure and transparent environmental data sharing in smart cities: Enhancing trust, integrity, and interoperability in urban sustainability systems. Nata Palemahan: Journal of Environmental Engineering Innovations, 2(2):70–79, 2025. doi:10.38043/natapalemahan.v2i2.6996</w:t>
      </w:r>
    </w:p>
    <w:p>
      <w:pPr>
        <w:tabs>
          <w:tab w:val="left" w:pos="560"/>
        </w:tabs>
        <w:spacing w:after="50" w:line="240"/>
        <w:ind w:left="560" w:hanging="560"/>
        <w:jc w:val="left"/>
      </w:pPr>
      <w:r>
        <w:rPr>
          <w:rFonts w:ascii="Times New Roman" w:cs="Times New Roman" w:eastAsia="Times New Roman" w:hAnsi="Times New Roman"/>
          <w:sz w:val="18"/>
          <w:szCs w:val="18"/>
        </w:rPr>
        <w:t xml:space="preserve">[40]	</w:t>
      </w:r>
      <w:r>
        <w:rPr>
          <w:rFonts w:ascii="Times New Roman" w:cs="Times New Roman" w:eastAsia="Times New Roman" w:hAnsi="Times New Roman"/>
          <w:sz w:val="18"/>
          <w:szCs w:val="18"/>
        </w:rPr>
        <w:t xml:space="preserve">J. Yin, Y. Xiao, Q. Chen, Y. Z. Lim, X. Liu, Q. Pei, et al. DP-DID: A dynamic and proactive decentralized identity system. IEEE Transactions on Information Forensics and Security, 20:4999–5014, 2025. doi:10.1109/TIFS.2025.3561662</w:t>
      </w:r>
    </w:p>
    <w:p>
      <w:pPr>
        <w:tabs>
          <w:tab w:val="left" w:pos="560"/>
        </w:tabs>
        <w:spacing w:after="50" w:line="240"/>
        <w:ind w:left="560" w:hanging="560"/>
        <w:jc w:val="left"/>
      </w:pPr>
      <w:r>
        <w:rPr>
          <w:rFonts w:ascii="Times New Roman" w:cs="Times New Roman" w:eastAsia="Times New Roman" w:hAnsi="Times New Roman"/>
          <w:sz w:val="18"/>
          <w:szCs w:val="18"/>
        </w:rPr>
        <w:t xml:space="preserve">[41]	</w:t>
      </w:r>
      <w:r>
        <w:rPr>
          <w:rFonts w:ascii="Times New Roman" w:cs="Times New Roman" w:eastAsia="Times New Roman" w:hAnsi="Times New Roman"/>
          <w:sz w:val="18"/>
          <w:szCs w:val="18"/>
        </w:rPr>
        <w:t xml:space="preserve">H. Deng, J. Liang, C. Zhang, X. Liu, L. Zhu, and S. Guo. FutureDID: A fully decentralized identity system with multi-party verification. IEEE Transactions on Computers, 73(8):2051–2065, 2024. doi:10.1109/TC.2024.3398509</w:t>
      </w:r>
    </w:p>
    <w:p>
      <w:pPr>
        <w:tabs>
          <w:tab w:val="left" w:pos="560"/>
        </w:tabs>
        <w:spacing w:after="50" w:line="240"/>
        <w:ind w:left="560" w:hanging="560"/>
        <w:jc w:val="left"/>
      </w:pPr>
      <w:r>
        <w:rPr>
          <w:rFonts w:ascii="Times New Roman" w:cs="Times New Roman" w:eastAsia="Times New Roman" w:hAnsi="Times New Roman"/>
          <w:sz w:val="18"/>
          <w:szCs w:val="18"/>
        </w:rPr>
        <w:t xml:space="preserve">[42]	</w:t>
      </w:r>
      <w:r>
        <w:rPr>
          <w:rFonts w:ascii="Times New Roman" w:cs="Times New Roman" w:eastAsia="Times New Roman" w:hAnsi="Times New Roman"/>
          <w:sz w:val="18"/>
          <w:szCs w:val="18"/>
        </w:rPr>
        <w:t xml:space="preserve">C. D. Nassar Kyriakidou, A. M. Papathanasiou, and G. C. Polyzos. Decentralized identity with applications to security and privacy for the internet of things. Computer Networks and Communications, 1(2):244–271, 2023. doi:10.37256/cnc.1220233048</w:t>
      </w:r>
    </w:p>
    <w:p>
      <w:pPr>
        <w:tabs>
          <w:tab w:val="left" w:pos="560"/>
        </w:tabs>
        <w:spacing w:after="50" w:line="240"/>
        <w:ind w:left="560" w:hanging="560"/>
        <w:jc w:val="left"/>
      </w:pPr>
      <w:r>
        <w:rPr>
          <w:rFonts w:ascii="Times New Roman" w:cs="Times New Roman" w:eastAsia="Times New Roman" w:hAnsi="Times New Roman"/>
          <w:sz w:val="18"/>
          <w:szCs w:val="18"/>
        </w:rPr>
        <w:t xml:space="preserve">[43]	</w:t>
      </w:r>
      <w:r>
        <w:rPr>
          <w:rFonts w:ascii="Times New Roman" w:cs="Times New Roman" w:eastAsia="Times New Roman" w:hAnsi="Times New Roman"/>
          <w:sz w:val="18"/>
          <w:szCs w:val="18"/>
        </w:rPr>
        <w:t xml:space="preserve">R. P. Parameswarath, P. Gope, and B. Sikdar. User-empowered privacy-preserving authentication protocol for electric vehicle charging based on decentralized identity and verifiable credential. ACM Transactions on Management Information Systems, 13(4):44, 2022. doi:10.1145/3532869</w:t>
      </w:r>
    </w:p>
    <w:p>
      <w:pPr>
        <w:tabs>
          <w:tab w:val="left" w:pos="560"/>
        </w:tabs>
        <w:spacing w:after="50" w:line="240"/>
        <w:ind w:left="560" w:hanging="560"/>
        <w:jc w:val="left"/>
      </w:pPr>
      <w:r>
        <w:rPr>
          <w:rFonts w:ascii="Times New Roman" w:cs="Times New Roman" w:eastAsia="Times New Roman" w:hAnsi="Times New Roman"/>
          <w:sz w:val="18"/>
          <w:szCs w:val="18"/>
        </w:rPr>
        <w:t xml:space="preserve">[44]	</w:t>
      </w:r>
      <w:r>
        <w:rPr>
          <w:rFonts w:ascii="Times New Roman" w:cs="Times New Roman" w:eastAsia="Times New Roman" w:hAnsi="Times New Roman"/>
          <w:sz w:val="18"/>
          <w:szCs w:val="18"/>
        </w:rPr>
        <w:t xml:space="preserve">H. Yin, Y. Zhao, L. Zhang, B. Qiao, W. Chen, and H. Wang. Attribute-based searchable encryption with decentralized key management for healthcare data sharing. Journal of Systems Architecture, 148:103081, 2024. doi:10.1016/j.sysarc.2024.103081</w:t>
      </w:r>
    </w:p>
    <w:p>
      <w:pPr>
        <w:tabs>
          <w:tab w:val="left" w:pos="560"/>
        </w:tabs>
        <w:spacing w:after="50" w:line="240"/>
        <w:ind w:left="560" w:hanging="560"/>
        <w:jc w:val="left"/>
      </w:pPr>
      <w:r>
        <w:rPr>
          <w:rFonts w:ascii="Times New Roman" w:cs="Times New Roman" w:eastAsia="Times New Roman" w:hAnsi="Times New Roman"/>
          <w:sz w:val="18"/>
          <w:szCs w:val="18"/>
        </w:rPr>
        <w:t xml:space="preserve">[45]	</w:t>
      </w:r>
      <w:r>
        <w:rPr>
          <w:rFonts w:ascii="Times New Roman" w:cs="Times New Roman" w:eastAsia="Times New Roman" w:hAnsi="Times New Roman"/>
          <w:sz w:val="18"/>
          <w:szCs w:val="18"/>
        </w:rPr>
        <w:t xml:space="preserve">R. Jiang, X. Chen, Y. Yu, Y. Zhang, and W. Ding. Risk and UCON-based access control model for healthcare big data. Journal of Big Data, 10(1):104, 2023. doi:10.1186/s40537-023-00783-8</w:t>
      </w:r>
    </w:p>
    <w:p>
      <w:pPr>
        <w:tabs>
          <w:tab w:val="left" w:pos="560"/>
        </w:tabs>
        <w:spacing w:after="50" w:line="240"/>
        <w:ind w:left="560" w:hanging="560"/>
        <w:jc w:val="left"/>
      </w:pPr>
      <w:r>
        <w:rPr>
          <w:rFonts w:ascii="Times New Roman" w:cs="Times New Roman" w:eastAsia="Times New Roman" w:hAnsi="Times New Roman"/>
          <w:sz w:val="18"/>
          <w:szCs w:val="18"/>
        </w:rPr>
        <w:t xml:space="preserve">[46]	</w:t>
      </w:r>
      <w:r>
        <w:rPr>
          <w:rFonts w:ascii="Times New Roman" w:cs="Times New Roman" w:eastAsia="Times New Roman" w:hAnsi="Times New Roman"/>
          <w:color w:val="00B0F0"/>
          <w:sz w:val="18"/>
          <w:szCs w:val="18"/>
        </w:rPr>
        <w:t xml:space="preserve">M. J. Page, J. E. McKenzie, P. M. Bossuyt, I. Boutron, T. C. Hoffmann, C. D. Mulrow, et al. The PRISMA 2020 statement: An updated guideline for reporting systematic reviews. BMJ, 372:n71, 2021. doi:10.1136/bmj.n71</w:t>
      </w:r>
    </w:p>
    <w:p>
      <w:pPr>
        <w:tabs>
          <w:tab w:val="left" w:pos="560"/>
        </w:tabs>
        <w:spacing w:after="50" w:line="240"/>
        <w:ind w:left="560" w:hanging="560"/>
        <w:jc w:val="left"/>
      </w:pPr>
      <w:r>
        <w:rPr>
          <w:rFonts w:ascii="Times New Roman" w:cs="Times New Roman" w:eastAsia="Times New Roman" w:hAnsi="Times New Roman"/>
          <w:sz w:val="18"/>
          <w:szCs w:val="18"/>
        </w:rPr>
        <w:t xml:space="preserve">[47]	</w:t>
      </w:r>
      <w:r>
        <w:rPr>
          <w:rFonts w:ascii="Times New Roman" w:cs="Times New Roman" w:eastAsia="Times New Roman" w:hAnsi="Times New Roman"/>
          <w:sz w:val="18"/>
          <w:szCs w:val="18"/>
        </w:rPr>
        <w:t xml:space="preserve">V. Jaiman and V. Urovi. A consent model for blockchain-based health data sharing platforms. IEEE Access, 8:143734–143745, 2020. doi:10.1109/ACCESS.2020.3014565</w:t>
      </w:r>
    </w:p>
    <w:p>
      <w:pPr>
        <w:tabs>
          <w:tab w:val="left" w:pos="560"/>
        </w:tabs>
        <w:spacing w:after="50" w:line="240"/>
        <w:ind w:left="560" w:hanging="560"/>
        <w:jc w:val="left"/>
      </w:pPr>
      <w:r>
        <w:rPr>
          <w:rFonts w:ascii="Times New Roman" w:cs="Times New Roman" w:eastAsia="Times New Roman" w:hAnsi="Times New Roman"/>
          <w:sz w:val="18"/>
          <w:szCs w:val="18"/>
        </w:rPr>
        <w:t xml:space="preserve">[48]	</w:t>
      </w:r>
      <w:r>
        <w:rPr>
          <w:rFonts w:ascii="Times New Roman" w:cs="Times New Roman" w:eastAsia="Times New Roman" w:hAnsi="Times New Roman"/>
          <w:sz w:val="18"/>
          <w:szCs w:val="18"/>
        </w:rPr>
        <w:t xml:space="preserve">F. Albalwy, A. Brass, and A. Davies. A blockchain-based dynamic consent architecture to support clinical genomic data sharing (ConsentChain): Proof-of-concept study. JMIR Medical Informatics, 9(11):e27816, 2021. doi:10.2196/27816</w:t>
      </w:r>
    </w:p>
    <w:p>
      <w:pPr>
        <w:tabs>
          <w:tab w:val="left" w:pos="560"/>
        </w:tabs>
        <w:spacing w:after="50" w:line="240"/>
        <w:ind w:left="560" w:hanging="560"/>
        <w:jc w:val="left"/>
      </w:pPr>
      <w:r>
        <w:rPr>
          <w:rFonts w:ascii="Times New Roman" w:cs="Times New Roman" w:eastAsia="Times New Roman" w:hAnsi="Times New Roman"/>
          <w:sz w:val="18"/>
          <w:szCs w:val="18"/>
        </w:rPr>
        <w:t xml:space="preserve">[49]	</w:t>
      </w:r>
      <w:r>
        <w:rPr>
          <w:rFonts w:ascii="Times New Roman" w:cs="Times New Roman" w:eastAsia="Times New Roman" w:hAnsi="Times New Roman"/>
          <w:sz w:val="18"/>
          <w:szCs w:val="18"/>
        </w:rPr>
        <w:t xml:space="preserve">H. Li, D. Li, G. Lv, N. Crespi, R. Minerva, W. Shao, et al. Privacy-preserving fine-grained EMR access control for IoMT: A hybrid RBAC-smart contract scheme with attribute-based authorization. IEEE Internet of Things Journal, 13(2):2970–2987, 2026. doi:10.1109/JIOT.2025.3633504</w:t>
      </w:r>
    </w:p>
    <w:p>
      <w:pPr>
        <w:tabs>
          <w:tab w:val="left" w:pos="560"/>
        </w:tabs>
        <w:spacing w:after="50" w:line="240"/>
        <w:ind w:left="560" w:hanging="560"/>
        <w:jc w:val="left"/>
      </w:pPr>
      <w:r>
        <w:rPr>
          <w:rFonts w:ascii="Times New Roman" w:cs="Times New Roman" w:eastAsia="Times New Roman" w:hAnsi="Times New Roman"/>
          <w:sz w:val="18"/>
          <w:szCs w:val="18"/>
        </w:rPr>
        <w:t xml:space="preserve">[50]	</w:t>
      </w:r>
      <w:r>
        <w:rPr>
          <w:rFonts w:ascii="Times New Roman" w:cs="Times New Roman" w:eastAsia="Times New Roman" w:hAnsi="Times New Roman"/>
          <w:sz w:val="18"/>
          <w:szCs w:val="18"/>
        </w:rPr>
        <w:t xml:space="preserve">A. Abbasi, M. N. Humeidi, and Q. Wang. Nexa: Enabling secure, scalable, and decentralized management of electronic health records using threshold cryptography and public blockchains. IEEE Access, 14:50791–50810, 2026. doi:10.1109/ACCESS.2026.3677499</w:t>
      </w:r>
    </w:p>
    <w:p>
      <w:pPr>
        <w:tabs>
          <w:tab w:val="left" w:pos="560"/>
        </w:tabs>
        <w:spacing w:after="50" w:line="240"/>
        <w:ind w:left="560" w:hanging="560"/>
        <w:jc w:val="left"/>
      </w:pPr>
      <w:r>
        <w:rPr>
          <w:rFonts w:ascii="Times New Roman" w:cs="Times New Roman" w:eastAsia="Times New Roman" w:hAnsi="Times New Roman"/>
          <w:sz w:val="18"/>
          <w:szCs w:val="18"/>
        </w:rPr>
        <w:t xml:space="preserve">[51]	</w:t>
      </w:r>
      <w:r>
        <w:rPr>
          <w:rFonts w:ascii="Times New Roman" w:cs="Times New Roman" w:eastAsia="Times New Roman" w:hAnsi="Times New Roman"/>
          <w:sz w:val="18"/>
          <w:szCs w:val="18"/>
        </w:rPr>
        <w:t xml:space="preserve">M. Al Amin, A. Altarawneh, and I. Ray. Informed consent as patient driven policy for clinical diagnosis and treatment: A smart contract based approach. In Proceedings of the 20th International Conference on Security and Cryptography (SECRYPT 2023), pages 159–170. SciTePress, 2023. doi:10.5220/0012090600003555</w:t>
      </w:r>
    </w:p>
    <w:p>
      <w:pPr>
        <w:tabs>
          <w:tab w:val="left" w:pos="560"/>
        </w:tabs>
        <w:spacing w:after="50" w:line="240"/>
        <w:ind w:left="560" w:hanging="560"/>
        <w:jc w:val="left"/>
      </w:pPr>
      <w:r>
        <w:rPr>
          <w:rFonts w:ascii="Times New Roman" w:cs="Times New Roman" w:eastAsia="Times New Roman" w:hAnsi="Times New Roman"/>
          <w:sz w:val="18"/>
          <w:szCs w:val="18"/>
        </w:rPr>
        <w:t xml:space="preserve">[52]	</w:t>
      </w:r>
      <w:r>
        <w:rPr>
          <w:rFonts w:ascii="Times New Roman" w:cs="Times New Roman" w:eastAsia="Times New Roman" w:hAnsi="Times New Roman"/>
          <w:sz w:val="18"/>
          <w:szCs w:val="18"/>
        </w:rPr>
        <w:t xml:space="preserve">J. Hagström, M. Hägglund, M. Holmroos, P. Lähteenmäki, and I. Hörhammer. Minors’ and guardian access to and use of a national patient portal: A retrospective comparative case study of Sweden and Finland. International Journal of Medical Informatics, 187:105465, 2024. doi:10.1016/j.ijmedinf.2024.105465</w:t>
      </w:r>
    </w:p>
    <w:p>
      <w:pPr>
        <w:tabs>
          <w:tab w:val="left" w:pos="560"/>
        </w:tabs>
        <w:spacing w:after="50" w:line="240"/>
        <w:ind w:left="560" w:hanging="560"/>
        <w:jc w:val="left"/>
      </w:pPr>
      <w:r>
        <w:rPr>
          <w:rFonts w:ascii="Times New Roman" w:cs="Times New Roman" w:eastAsia="Times New Roman" w:hAnsi="Times New Roman"/>
          <w:sz w:val="18"/>
          <w:szCs w:val="18"/>
        </w:rPr>
        <w:t xml:space="preserve">[53]	</w:t>
      </w:r>
      <w:r>
        <w:rPr>
          <w:rFonts w:ascii="Times New Roman" w:cs="Times New Roman" w:eastAsia="Times New Roman" w:hAnsi="Times New Roman"/>
          <w:sz w:val="18"/>
          <w:szCs w:val="18"/>
        </w:rPr>
        <w:t xml:space="preserve">J. Zhao and Q. Su. A threshold traceable delegation authorization scheme for data sharing in healthcare. Computers &amp; Security, 139:103686, 2024. doi:10.1016/j.cose.2023.103686</w:t>
      </w:r>
    </w:p>
    <w:p>
      <w:pPr>
        <w:tabs>
          <w:tab w:val="left" w:pos="560"/>
        </w:tabs>
        <w:spacing w:after="50" w:line="240"/>
        <w:ind w:left="560" w:hanging="560"/>
        <w:jc w:val="left"/>
      </w:pPr>
      <w:r>
        <w:rPr>
          <w:rFonts w:ascii="Times New Roman" w:cs="Times New Roman" w:eastAsia="Times New Roman" w:hAnsi="Times New Roman"/>
          <w:sz w:val="18"/>
          <w:szCs w:val="18"/>
        </w:rPr>
        <w:t xml:space="preserve">[54]	</w:t>
      </w:r>
      <w:r>
        <w:rPr>
          <w:rFonts w:ascii="Times New Roman" w:cs="Times New Roman" w:eastAsia="Times New Roman" w:hAnsi="Times New Roman"/>
          <w:sz w:val="18"/>
          <w:szCs w:val="18"/>
        </w:rPr>
        <w:t xml:space="preserve">V. Maruthi and K. Singh. Enhancing security and privacy of IoMT data for unconscious patient with blockchain. IEEE Transactions on Network and Service Management, 22(6):5223–5238, 2025. doi:10.1109/TNSM.2025.3602117</w:t>
      </w:r>
    </w:p>
    <w:p>
      <w:pPr>
        <w:tabs>
          <w:tab w:val="left" w:pos="560"/>
        </w:tabs>
        <w:spacing w:after="50" w:line="240"/>
        <w:ind w:left="560" w:hanging="560"/>
        <w:jc w:val="left"/>
      </w:pPr>
      <w:r>
        <w:rPr>
          <w:rFonts w:ascii="Times New Roman" w:cs="Times New Roman" w:eastAsia="Times New Roman" w:hAnsi="Times New Roman"/>
          <w:sz w:val="18"/>
          <w:szCs w:val="18"/>
        </w:rPr>
        <w:t xml:space="preserve">[55]	</w:t>
      </w:r>
      <w:r>
        <w:rPr>
          <w:rFonts w:ascii="Times New Roman" w:cs="Times New Roman" w:eastAsia="Times New Roman" w:hAnsi="Times New Roman"/>
          <w:sz w:val="18"/>
          <w:szCs w:val="18"/>
        </w:rPr>
        <w:t xml:space="preserve">L. Mei, K. Huang, X. Li, H. Wang, and X. Zhang. Efficient dual-revocation CP-ABE for secure and fine-grained data sharing in IoMT. IEEE Internet of Things Journal, 13(14):30933–30940, 2026. doi:10.1109/JIOT.2026.3685269</w:t>
      </w:r>
    </w:p>
    <w:p>
      <w:pPr>
        <w:tabs>
          <w:tab w:val="left" w:pos="560"/>
        </w:tabs>
        <w:spacing w:after="50" w:line="240"/>
        <w:ind w:left="560" w:hanging="560"/>
        <w:jc w:val="left"/>
      </w:pPr>
      <w:r>
        <w:rPr>
          <w:rFonts w:ascii="Times New Roman" w:cs="Times New Roman" w:eastAsia="Times New Roman" w:hAnsi="Times New Roman"/>
          <w:sz w:val="18"/>
          <w:szCs w:val="18"/>
        </w:rPr>
        <w:t xml:space="preserve">[56]	</w:t>
      </w:r>
      <w:r>
        <w:rPr>
          <w:rFonts w:ascii="Times New Roman" w:cs="Times New Roman" w:eastAsia="Times New Roman" w:hAnsi="Times New Roman"/>
          <w:color w:val="00B0F0"/>
          <w:sz w:val="18"/>
          <w:szCs w:val="18"/>
        </w:rPr>
        <w:t xml:space="preserve">S. Phuyal, M. Bhandari, R. Bista, and J. C. Ferreira. A blockchain-based architecture for dynamic and auditable patient consent in secondary use of health data. Blockchain in Healthcare Today, 9(1), 2026. doi:10.30953/bhty.v9.491</w:t>
      </w:r>
    </w:p>
    <w:p>
      <w:pPr>
        <w:tabs>
          <w:tab w:val="left" w:pos="560"/>
        </w:tabs>
        <w:spacing w:after="50" w:line="240"/>
        <w:ind w:left="560" w:hanging="560"/>
        <w:jc w:val="left"/>
      </w:pPr>
      <w:r>
        <w:rPr>
          <w:rFonts w:ascii="Times New Roman" w:cs="Times New Roman" w:eastAsia="Times New Roman" w:hAnsi="Times New Roman"/>
          <w:sz w:val="18"/>
          <w:szCs w:val="18"/>
        </w:rPr>
        <w:t xml:space="preserve">[57]	</w:t>
      </w:r>
      <w:r>
        <w:rPr>
          <w:rFonts w:ascii="Times New Roman" w:cs="Times New Roman" w:eastAsia="Times New Roman" w:hAnsi="Times New Roman"/>
          <w:sz w:val="18"/>
          <w:szCs w:val="18"/>
        </w:rPr>
        <w:t xml:space="preserve">S. Hema, G. B. S. Reddy, and R. Shalini. Patient centric cryptographic protection of cloud electronic health records. In 2026 6th International Conference on Expert Clouds and Applications (ICOECA), pages 293–300, 2026. doi:10.1109/ICOECA68095.2026.11485301</w:t>
      </w:r>
    </w:p>
    <w:p>
      <w:pPr>
        <w:tabs>
          <w:tab w:val="left" w:pos="560"/>
        </w:tabs>
        <w:spacing w:after="50" w:line="240"/>
        <w:ind w:left="560" w:hanging="560"/>
        <w:jc w:val="left"/>
      </w:pPr>
      <w:r>
        <w:rPr>
          <w:rFonts w:ascii="Times New Roman" w:cs="Times New Roman" w:eastAsia="Times New Roman" w:hAnsi="Times New Roman"/>
          <w:sz w:val="18"/>
          <w:szCs w:val="18"/>
        </w:rPr>
        <w:t xml:space="preserve">[58]	</w:t>
      </w:r>
      <w:r>
        <w:rPr>
          <w:rFonts w:ascii="Times New Roman" w:cs="Times New Roman" w:eastAsia="Times New Roman" w:hAnsi="Times New Roman"/>
          <w:color w:val="00B0F0"/>
          <w:sz w:val="18"/>
          <w:szCs w:val="18"/>
        </w:rPr>
        <w:t xml:space="preserve">S. L. SooHoo, M. S. Keller, Y. Chen, D. Hu, S.-C. Huang, T.-T. Kuo, et al. Development of the authentication and authorization processes for the iAgree portal, a platform for patient-controlled data sharing across health systems. JAMIA Open, 9(3):ooag111, 2026. doi:10.1093/jamiaopen/ooag111</w:t>
      </w:r>
    </w:p>
    <w:p>
      <w:pPr>
        <w:tabs>
          <w:tab w:val="left" w:pos="560"/>
        </w:tabs>
        <w:spacing w:after="50" w:line="240"/>
        <w:ind w:left="560" w:hanging="560"/>
        <w:jc w:val="left"/>
      </w:pPr>
      <w:r>
        <w:rPr>
          <w:rFonts w:ascii="Times New Roman" w:cs="Times New Roman" w:eastAsia="Times New Roman" w:hAnsi="Times New Roman"/>
          <w:sz w:val="18"/>
          <w:szCs w:val="18"/>
        </w:rPr>
        <w:t xml:space="preserve">[59]	</w:t>
      </w:r>
      <w:r>
        <w:rPr>
          <w:rFonts w:ascii="Times New Roman" w:cs="Times New Roman" w:eastAsia="Times New Roman" w:hAnsi="Times New Roman"/>
          <w:sz w:val="18"/>
          <w:szCs w:val="18"/>
        </w:rPr>
        <w:t xml:space="preserve">G. Tremper, T. Brenner, M. Ben Amor, T. Kussel, and M. Lablans. Mainzelliste: Ten years of pseudonymization, record linkage, and informed consent management. Patterns, 7(1):101432, 2026. doi:10.1016/j.patter.2025.101432</w:t>
      </w:r>
    </w:p>
    <w:p>
      <w:pPr>
        <w:tabs>
          <w:tab w:val="left" w:pos="560"/>
        </w:tabs>
        <w:spacing w:after="50" w:line="240"/>
        <w:ind w:left="560" w:hanging="560"/>
        <w:jc w:val="left"/>
      </w:pPr>
      <w:r>
        <w:rPr>
          <w:rFonts w:ascii="Times New Roman" w:cs="Times New Roman" w:eastAsia="Times New Roman" w:hAnsi="Times New Roman"/>
          <w:sz w:val="18"/>
          <w:szCs w:val="18"/>
        </w:rPr>
        <w:t xml:space="preserve">[60]	</w:t>
      </w:r>
      <w:r>
        <w:rPr>
          <w:rFonts w:ascii="Times New Roman" w:cs="Times New Roman" w:eastAsia="Times New Roman" w:hAnsi="Times New Roman"/>
          <w:sz w:val="18"/>
          <w:szCs w:val="18"/>
        </w:rPr>
        <w:t xml:space="preserve">C.-H. Tseng, Y.-H. Hsieh, H.-Y. Lin, and S.-M. Yuan. EMR-Chain: Decentralized electronic medical record exchange system. Technologies, 13(10):446, 2025. doi:10.3390/technologies13100446</w:t>
      </w:r>
    </w:p>
    <w:p>
      <w:pPr>
        <w:tabs>
          <w:tab w:val="left" w:pos="560"/>
        </w:tabs>
        <w:spacing w:after="50" w:line="240"/>
        <w:ind w:left="560" w:hanging="560"/>
        <w:jc w:val="left"/>
      </w:pPr>
      <w:r>
        <w:rPr>
          <w:rFonts w:ascii="Times New Roman" w:cs="Times New Roman" w:eastAsia="Times New Roman" w:hAnsi="Times New Roman"/>
          <w:sz w:val="18"/>
          <w:szCs w:val="18"/>
        </w:rPr>
        <w:t xml:space="preserve">[61]	</w:t>
      </w:r>
      <w:r>
        <w:rPr>
          <w:rFonts w:ascii="Times New Roman" w:cs="Times New Roman" w:eastAsia="Times New Roman" w:hAnsi="Times New Roman"/>
          <w:color w:val="00B0F0"/>
          <w:sz w:val="18"/>
          <w:szCs w:val="18"/>
        </w:rPr>
        <w:t xml:space="preserve">Y. Wu, C. Liu, L. Sebald, P. Nguyen, and Y. Yesha. Apply trust computing and privacy preserving smart contracts to manage, share, and analyze multi-site clinical trial data. In Proceedings of the International Conference on Deep Learning, Big Data and Blockchain (DBB 2022), LNNS, vol. 541, pages 3–14. Springer, 2022. doi:10.1007/978-3-031-16035-6_1</w:t>
      </w:r>
    </w:p>
    <w:p>
      <w:pPr>
        <w:tabs>
          <w:tab w:val="left" w:pos="560"/>
        </w:tabs>
        <w:spacing w:after="50" w:line="240"/>
        <w:ind w:left="560" w:hanging="560"/>
        <w:jc w:val="left"/>
      </w:pPr>
      <w:r>
        <w:rPr>
          <w:rFonts w:ascii="Times New Roman" w:cs="Times New Roman" w:eastAsia="Times New Roman" w:hAnsi="Times New Roman"/>
          <w:sz w:val="18"/>
          <w:szCs w:val="18"/>
        </w:rPr>
        <w:t xml:space="preserve">[62]	</w:t>
      </w:r>
      <w:r>
        <w:rPr>
          <w:rFonts w:ascii="Times New Roman" w:cs="Times New Roman" w:eastAsia="Times New Roman" w:hAnsi="Times New Roman"/>
          <w:sz w:val="18"/>
          <w:szCs w:val="18"/>
        </w:rPr>
        <w:t xml:space="preserve">S. Akter and T. F. Sanam. A blockchain framework for secure healthcare data management using role-based access control and smart contracts. In 2025 International Conference on Electrical, Computer and Communication Engineering (ECCE), pages 1–6, 2025. doi:10.1109/ECCE64574.2025.11013162</w:t>
      </w:r>
    </w:p>
    <w:p>
      <w:pPr>
        <w:tabs>
          <w:tab w:val="left" w:pos="560"/>
        </w:tabs>
        <w:spacing w:after="50" w:line="240"/>
        <w:ind w:left="560" w:hanging="560"/>
        <w:jc w:val="left"/>
      </w:pPr>
      <w:r>
        <w:rPr>
          <w:rFonts w:ascii="Times New Roman" w:cs="Times New Roman" w:eastAsia="Times New Roman" w:hAnsi="Times New Roman"/>
          <w:sz w:val="18"/>
          <w:szCs w:val="18"/>
        </w:rPr>
        <w:t xml:space="preserve">[63]	</w:t>
      </w:r>
      <w:r>
        <w:rPr>
          <w:rFonts w:ascii="Times New Roman" w:cs="Times New Roman" w:eastAsia="Times New Roman" w:hAnsi="Times New Roman"/>
          <w:sz w:val="18"/>
          <w:szCs w:val="18"/>
        </w:rPr>
        <w:t xml:space="preserve">M. S. Prashanth, R. Karnati, M. S. Velpuru, and H. Venkateshwara Reddy. Enhancing health record security and privacy with blockchain-based access management. In Pervasive Knowledge and Collective Intelligence on Web and Social Media (PerSOM 2023), LNICST, vol. 517, pages 182–202. Springer, 2024. doi:10.1007/978-3-031-66044-3_13</w:t>
      </w:r>
    </w:p>
    <w:p>
      <w:pPr>
        <w:tabs>
          <w:tab w:val="left" w:pos="560"/>
        </w:tabs>
        <w:spacing w:after="50" w:line="240"/>
        <w:ind w:left="560" w:hanging="560"/>
        <w:jc w:val="left"/>
      </w:pPr>
      <w:r>
        <w:rPr>
          <w:rFonts w:ascii="Times New Roman" w:cs="Times New Roman" w:eastAsia="Times New Roman" w:hAnsi="Times New Roman"/>
          <w:sz w:val="18"/>
          <w:szCs w:val="18"/>
        </w:rPr>
        <w:t xml:space="preserve">[64]	</w:t>
      </w:r>
      <w:r>
        <w:rPr>
          <w:rFonts w:ascii="Times New Roman" w:cs="Times New Roman" w:eastAsia="Times New Roman" w:hAnsi="Times New Roman"/>
          <w:sz w:val="18"/>
          <w:szCs w:val="18"/>
        </w:rPr>
        <w:t xml:space="preserve">L. Zhang, H. Kan, and H. Huang. Patient-centered cross-enterprise document sharing and dynamic consent framework using consortium blockchain and ciphertext-policy attribute-based encryption. In Proceedings of the 19th ACM International Conference on Computing Frontiers (CF ’22), pages 58–66, 2022. doi:10.1145/3528416.3530228</w:t>
      </w:r>
    </w:p>
    <w:p>
      <w:pPr>
        <w:tabs>
          <w:tab w:val="left" w:pos="560"/>
        </w:tabs>
        <w:spacing w:after="50" w:line="240"/>
        <w:ind w:left="560" w:hanging="560"/>
        <w:jc w:val="left"/>
      </w:pPr>
      <w:r>
        <w:rPr>
          <w:rFonts w:ascii="Times New Roman" w:cs="Times New Roman" w:eastAsia="Times New Roman" w:hAnsi="Times New Roman"/>
          <w:sz w:val="18"/>
          <w:szCs w:val="18"/>
        </w:rPr>
        <w:t xml:space="preserve">[65]	</w:t>
      </w:r>
      <w:r>
        <w:rPr>
          <w:rFonts w:ascii="Times New Roman" w:cs="Times New Roman" w:eastAsia="Times New Roman" w:hAnsi="Times New Roman"/>
          <w:sz w:val="18"/>
          <w:szCs w:val="18"/>
        </w:rPr>
        <w:t xml:space="preserve">A. Teeda and Y. V. Subba Rao. A patient-centric blockchain based electronic health records for data privacy and confidentiality. In International Conference on Smart Computing and Informatics, LNNS, vol. 1684, pages 179–192. Springer, 2026. doi:10.1007/978-3-032-08246-6_15</w:t>
      </w:r>
    </w:p>
    <w:p>
      <w:pPr>
        <w:tabs>
          <w:tab w:val="left" w:pos="560"/>
        </w:tabs>
        <w:spacing w:after="50" w:line="240"/>
        <w:ind w:left="560" w:hanging="560"/>
        <w:jc w:val="left"/>
      </w:pPr>
      <w:r>
        <w:rPr>
          <w:rFonts w:ascii="Times New Roman" w:cs="Times New Roman" w:eastAsia="Times New Roman" w:hAnsi="Times New Roman"/>
          <w:sz w:val="18"/>
          <w:szCs w:val="18"/>
        </w:rPr>
        <w:t xml:space="preserve">[66]	</w:t>
      </w:r>
      <w:r>
        <w:rPr>
          <w:rFonts w:ascii="Times New Roman" w:cs="Times New Roman" w:eastAsia="Times New Roman" w:hAnsi="Times New Roman"/>
          <w:color w:val="00B0F0"/>
          <w:sz w:val="18"/>
          <w:szCs w:val="18"/>
        </w:rPr>
        <w:t xml:space="preserve">R. Bloemen, L. Logvinov, and J. Evans. EIP-712: Typed structured data hashing and signing. Ethereum Improvement Proposals, no. 712, 2017.</w:t>
      </w:r>
    </w:p>
    <w:p>
      <w:pPr>
        <w:tabs>
          <w:tab w:val="left" w:pos="560"/>
        </w:tabs>
        <w:spacing w:after="50" w:line="240"/>
        <w:ind w:left="560" w:hanging="560"/>
        <w:jc w:val="left"/>
      </w:pPr>
      <w:r>
        <w:rPr>
          <w:rFonts w:ascii="Times New Roman" w:cs="Times New Roman" w:eastAsia="Times New Roman" w:hAnsi="Times New Roman"/>
          <w:sz w:val="18"/>
          <w:szCs w:val="18"/>
        </w:rPr>
        <w:t xml:space="preserve">[67]	</w:t>
      </w:r>
      <w:r>
        <w:rPr>
          <w:rFonts w:ascii="Times New Roman" w:cs="Times New Roman" w:eastAsia="Times New Roman" w:hAnsi="Times New Roman"/>
          <w:color w:val="00B0F0"/>
          <w:sz w:val="18"/>
          <w:szCs w:val="18"/>
        </w:rPr>
        <w:t xml:space="preserve">M. Shanmugham and C. Senthilkumar. Blockchain enabled self-sovereign identity and consent framework for secure healthcare data access. In 2026 3rd International Conference on Emerging Trends in Engineering and Medical Sciences (ICETEMS), pages 1–6, 2026. doi:10.1109/ICETEMS66917.2026.11469586</w:t>
      </w:r>
    </w:p>
    <w:p>
      <w:pPr>
        <w:tabs>
          <w:tab w:val="left" w:pos="560"/>
        </w:tabs>
        <w:spacing w:after="50" w:line="240"/>
        <w:ind w:left="560" w:hanging="560"/>
        <w:jc w:val="left"/>
      </w:pPr>
      <w:r>
        <w:rPr>
          <w:rFonts w:ascii="Times New Roman" w:cs="Times New Roman" w:eastAsia="Times New Roman" w:hAnsi="Times New Roman"/>
          <w:sz w:val="18"/>
          <w:szCs w:val="18"/>
        </w:rPr>
        <w:t xml:space="preserve">[68]	</w:t>
      </w:r>
      <w:r>
        <w:rPr>
          <w:rFonts w:ascii="Times New Roman" w:cs="Times New Roman" w:eastAsia="Times New Roman" w:hAnsi="Times New Roman"/>
          <w:color w:val="00B0F0"/>
          <w:sz w:val="18"/>
          <w:szCs w:val="18"/>
        </w:rPr>
        <w:t xml:space="preserve">N. M. Sawant and J. Gomes. A decentralized solution for smarter and safer healthcare systems with FabricMedChain. Iranian Journal of Science and Technology, Transactions of Electrical Engineering, 50:2843–2869, 2026. doi:10.1007/s40998-025-00994-0</w:t>
      </w:r>
    </w:p>
    <w:p>
      <w:pPr>
        <w:tabs>
          <w:tab w:val="left" w:pos="560"/>
        </w:tabs>
        <w:spacing w:after="50" w:line="240"/>
        <w:ind w:left="560" w:hanging="560"/>
        <w:jc w:val="left"/>
      </w:pPr>
      <w:r>
        <w:rPr>
          <w:rFonts w:ascii="Times New Roman" w:cs="Times New Roman" w:eastAsia="Times New Roman" w:hAnsi="Times New Roman"/>
          <w:sz w:val="18"/>
          <w:szCs w:val="18"/>
        </w:rPr>
        <w:t xml:space="preserve">[69]	</w:t>
      </w:r>
      <w:r>
        <w:rPr>
          <w:rFonts w:ascii="Times New Roman" w:cs="Times New Roman" w:eastAsia="Times New Roman" w:hAnsi="Times New Roman"/>
          <w:color w:val="00B0F0"/>
          <w:sz w:val="18"/>
          <w:szCs w:val="18"/>
        </w:rPr>
        <w:t xml:space="preserve">J. Groth. On the size of pairing-based non-interactive arguments. In Advances in Cryptology – EUROCRYPT 2016, LNCS, vol. 9666, pages 305–326. Springer, 2016. doi:10.1007/978-3-662-49896-5_11</w:t>
      </w:r>
    </w:p>
    <w:p>
      <w:pPr>
        <w:tabs>
          <w:tab w:val="left" w:pos="560"/>
        </w:tabs>
        <w:spacing w:after="50" w:line="240"/>
        <w:ind w:left="560" w:hanging="560"/>
        <w:jc w:val="left"/>
      </w:pPr>
      <w:r>
        <w:rPr>
          <w:rFonts w:ascii="Times New Roman" w:cs="Times New Roman" w:eastAsia="Times New Roman" w:hAnsi="Times New Roman"/>
          <w:sz w:val="18"/>
          <w:szCs w:val="18"/>
        </w:rPr>
        <w:t xml:space="preserve">[70]	</w:t>
      </w:r>
      <w:r>
        <w:rPr>
          <w:rFonts w:ascii="Times New Roman" w:cs="Times New Roman" w:eastAsia="Times New Roman" w:hAnsi="Times New Roman"/>
          <w:color w:val="00B0F0"/>
          <w:sz w:val="18"/>
          <w:szCs w:val="18"/>
        </w:rPr>
        <w:t xml:space="preserve">L. Grassi, D. Khovratovich, C. Rechberger, A. Roy, and M. Schofnegger. Poseidon: A new hash function for zero-knowledge proof systems. In Proceedings of the 30th USENIX Security Symposium, pages 519–535, 2021.</w:t>
      </w:r>
    </w:p>
    <w:p>
      <w:pPr>
        <w:tabs>
          <w:tab w:val="left" w:pos="560"/>
        </w:tabs>
        <w:spacing w:after="50" w:line="240"/>
        <w:ind w:left="560" w:hanging="560"/>
        <w:jc w:val="left"/>
      </w:pPr>
      <w:r>
        <w:rPr>
          <w:rFonts w:ascii="Times New Roman" w:cs="Times New Roman" w:eastAsia="Times New Roman" w:hAnsi="Times New Roman"/>
          <w:sz w:val="18"/>
          <w:szCs w:val="18"/>
        </w:rPr>
        <w:t xml:space="preserve">[71]	</w:t>
      </w:r>
      <w:r>
        <w:rPr>
          <w:rFonts w:ascii="Times New Roman" w:cs="Times New Roman" w:eastAsia="Times New Roman" w:hAnsi="Times New Roman"/>
          <w:color w:val="00B0F0"/>
          <w:sz w:val="18"/>
          <w:szCs w:val="18"/>
        </w:rPr>
        <w:t xml:space="preserve">W. Entriken, D. Shirley, J. Evans, and N. Sachs. ERC-721: Non-fungible token standard. Ethereum Improvement Proposals, no. 721, 2018.</w:t>
      </w:r>
    </w:p>
    <w:p>
      <w:pPr>
        <w:tabs>
          <w:tab w:val="left" w:pos="560"/>
        </w:tabs>
        <w:spacing w:after="50" w:line="240"/>
        <w:ind w:left="560" w:hanging="560"/>
        <w:jc w:val="left"/>
      </w:pPr>
      <w:r>
        <w:rPr>
          <w:rFonts w:ascii="Times New Roman" w:cs="Times New Roman" w:eastAsia="Times New Roman" w:hAnsi="Times New Roman"/>
          <w:sz w:val="18"/>
          <w:szCs w:val="18"/>
        </w:rPr>
        <w:t xml:space="preserve">[72]	</w:t>
      </w:r>
      <w:r>
        <w:rPr>
          <w:rFonts w:ascii="Times New Roman" w:cs="Times New Roman" w:eastAsia="Times New Roman" w:hAnsi="Times New Roman"/>
          <w:color w:val="00B0F0"/>
          <w:sz w:val="18"/>
          <w:szCs w:val="18"/>
        </w:rPr>
        <w:t xml:space="preserve">B. Cai. ERC-5484: Consensual soulbound tokens. Ethereum Improvement Proposals, no. 5484, 2022.</w:t>
      </w:r>
    </w:p>
    <w:sectPr>
      <w:footerReference w:type="default" r:id="rId7"/>
      <w:pgSz w:w="11906" w:h="16838" w:orient="portrait"/>
      <w:pgMar w:top="1389" w:right="1389" w:bottom="1389" w:left="138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1a0958c2363dc03715bc101c5da40c10138a3e8.png"/><Relationship Id="rId9" Type="http://schemas.openxmlformats.org/officeDocument/2006/relationships/image" Target="media/cea0445f382ef2e0d481b86ed671e148307169a5.png"/><Relationship Id="rId10" Type="http://schemas.openxmlformats.org/officeDocument/2006/relationships/image" Target="media/66abf0c8a394387ed0901e198f45b4df872df475.png"/><Relationship Id="rId11" Type="http://schemas.openxmlformats.org/officeDocument/2006/relationships/image" Target="media/cfb32433d885f04b3c4e277d1dadf69a2e711d57.png"/><Relationship Id="rId12" Type="http://schemas.openxmlformats.org/officeDocument/2006/relationships/image" Target="media/39225f74fe21ad7e7b7c1673918fe98415414719.png"/><Relationship Id="rId13" Type="http://schemas.openxmlformats.org/officeDocument/2006/relationships/image" Target="media/4f75743c835265daafdcbac66f2bdd6c1034f620.png"/><Relationship Id="rId14" Type="http://schemas.openxmlformats.org/officeDocument/2006/relationships/image" Target="media/03c920405551cc59ae0ad5edcc55300e0a8ed15e.png"/><Relationship Id="rId15" Type="http://schemas.openxmlformats.org/officeDocument/2006/relationships/image" Target="media/cc1f3f18db430dce93f3fb19f346c61fa4eb17dd.png"/><Relationship Id="rId16" Type="http://schemas.openxmlformats.org/officeDocument/2006/relationships/image" Target="media/11081a2422bebced6d030d22f0ebf13798832173.png"/><Relationship Id="rId17" Type="http://schemas.openxmlformats.org/officeDocument/2006/relationships/image" Target="media/fc5a6be7647fd964b300798307c832eee656672b.png"/><Relationship Id="rId18" Type="http://schemas.openxmlformats.org/officeDocument/2006/relationships/image" Target="media/7ce013ee8724e8dcb1576e7f068db7f8890e5be3.png"/><Relationship Id="rId19" Type="http://schemas.openxmlformats.org/officeDocument/2006/relationships/image" Target="media/f1f163df8a47e4df987495706c8e057d78128af6.png"/><Relationship Id="rId20" Type="http://schemas.openxmlformats.org/officeDocument/2006/relationships/image" Target="media/92573cd98c306213338e8eb3e9c4547f4ba94ff3.png"/><Relationship Id="rId21" Type="http://schemas.openxmlformats.org/officeDocument/2006/relationships/image" Target="media/2bdcc233d9d5ad41e4df5ec32cccb0f936be6fdd.png"/><Relationship Id="rId22" Type="http://schemas.openxmlformats.org/officeDocument/2006/relationships/image" Target="media/3b43f208c34e619a9b1fcd7a8da9990014f117c8.png"/><Relationship Id="rId23" Type="http://schemas.openxmlformats.org/officeDocument/2006/relationships/image" Target="media/00d6986401b6325763b2855292d411f63286ea76.png"/><Relationship Id="rId24" Type="http://schemas.openxmlformats.org/officeDocument/2006/relationships/image" Target="media/a5b9b3ccbbdd73d6bbf6c105cedc858a5966b7f9.png"/><Relationship Id="rId25" Type="http://schemas.openxmlformats.org/officeDocument/2006/relationships/image" Target="media/551744d4db41183fe0c9b4d913479007233462c1.png"/><Relationship Id="rId26" Type="http://schemas.openxmlformats.org/officeDocument/2006/relationships/image" Target="media/379af060121c595b8dab938b017503bf01d94543.png"/><Relationship Id="rId27" Type="http://schemas.openxmlformats.org/officeDocument/2006/relationships/image" Target="media/8b0dede8cf949138f1ca18f2a0be3b9f91a5a8b2.png"/><Relationship Id="rId28" Type="http://schemas.openxmlformats.org/officeDocument/2006/relationships/image" Target="media/f0af766d9de14575067307b6f7dccaf71ca25b88.png"/><Relationship Id="rId29" Type="http://schemas.openxmlformats.org/officeDocument/2006/relationships/image" Target="media/32a920cb8d148805391dcda55782af93c6edfd51.png"/><Relationship Id="rId30" Type="http://schemas.openxmlformats.org/officeDocument/2006/relationships/image" Target="media/06dd8d4f71199a2b46751bf3ced20974c9f60efc.png"/><Relationship Id="rId31" Type="http://schemas.openxmlformats.org/officeDocument/2006/relationships/image" Target="media/4315c9b43325fa22d4a470efde68b53ff388ded2.png"/><Relationship Id="rId32" Type="http://schemas.openxmlformats.org/officeDocument/2006/relationships/image" Target="media/8d37ec6dfd7b5ada41ed458b574790aaa33c10b0.png"/><Relationship Id="rId33" Type="http://schemas.openxmlformats.org/officeDocument/2006/relationships/image" Target="media/0a67ab0366ae1729f7207a8df5eb71a59d233df2.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CA2 Report: A Trusted Authorization Framework for Multi-Party Patient Consent in Healthcare Data Sharing</dc:title>
  <dc:creator>Yasir Dhaifallah O Alyoubi</dc:creator>
  <cp:lastModifiedBy>Un-named</cp:lastModifiedBy>
  <cp:revision>1</cp:revision>
  <dcterms:created xsi:type="dcterms:W3CDTF">2026-10-04T12:45:42.301Z</dcterms:created>
  <dcterms:modified xsi:type="dcterms:W3CDTF">2026-10-04T12:45:42.301Z</dcterms:modified>
</cp:coreProperties>
</file>

<file path=docProps/custom.xml><?xml version="1.0" encoding="utf-8"?>
<Properties xmlns="http://schemas.openxmlformats.org/officeDocument/2006/custom-properties" xmlns:vt="http://schemas.openxmlformats.org/officeDocument/2006/docPropsVTypes"/>
</file>