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headerReference w:type="default" r:id="rId40"/>
          <w:headerReference w:type="even" r:id="rId41"/>
          <w:footerReference w:type="default" r:id="rId34"/>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4 Research Methodology and Solution Overview</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 Introduction</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Key Definitions</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4.3 Selected Research Methodology</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4.4 Solution Overview</w:t>
        <w:tab/>
        <w:t>43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4.5 Overview of Solution for RQ1</w:t>
        <w:tab/>
        <w:t>45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4.6 Overview of Solution for RQ2</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4.7 Overview of Solution for RQ3</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4.8 Overview of Solution for RQ4</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4.9 Overview of Solution for RQ5</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4.10 Overview of Solution for RQ6</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4.10.1 Testing and Verification of the Solution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4.11 Conclusion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5 Research Architecture and Trust-Centric Consent Model</w:t>
        <w:tab/>
        <w:t>49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5.1 Introduction</w:t>
        <w:tab/>
        <w:t>49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Layered Architecture and Component Decomposition</w:t>
        <w:tab/>
        <w:t>49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Evaluation and Architectural Boundaries</w:t>
        <w:tab/>
        <w:t>52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MVC Architecture and the Research Objectives</w:t>
        <w:tab/>
        <w:t>55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Trust-Centric Consent Model</w:t>
        <w:tab/>
        <w:t>57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5.5.1 Consent Creation Workflow</w:t>
        <w:tab/>
        <w:t>58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5.5.2 Structure of the Consent Object</w:t>
        <w:tab/>
        <w:t>59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5.5.3 Trust-Aware Consent Creation Procedure and Algorithm</w:t>
        <w:tab/>
        <w:t>60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Prototype Implementation</w:t>
        <w:tab/>
        <w:t>62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5.6.1 Aims of Engineering the Prototype System</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5.6.2 Dataset Used for Validation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5.6.3 Steps in the Working of the Prototype for Consent Creation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Validation and Evaluation</w:t>
        <w:tab/>
        <w:t>64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5.7.1 Validation of Consent Creation</w:t>
        <w:tab/>
        <w:t>65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5.7.2 Evaluation of the Architecture against the Security Properties</w:t>
        <w:tab/>
        <w:t>66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Conclusion</w:t>
        <w:tab/>
        <w:t>67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42</w:t>
      </w:r>
    </w:p>
    <w:p xmlns:ns1="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End-to-end workflow of the trust-oriented consent authorisation framework.</w:t>
        <w:tab/>
        <w:t>44</w:t>
      </w:r>
    </w:p>
    <w:p xmlns:ns1="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5.1 Layered MVC architecture and component decomposition of the HALAH framework.</w:t>
        <w:tab/>
        <w:t>50</w:t>
      </w:r>
    </w:p>
    <w:p xmlns:ns1="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Functional decomposition of the MVC components.</w:t>
        <w:tab/>
        <w:t>51</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53</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55</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RO1 workflow for trust-centric consent creation.</w:t>
        <w:tab/>
        <w:t>59</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60</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64</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66</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5.1 Mapping between research objectives and MVC components</w:t>
        <w:tab/>
        <w:t>56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Traditional EHR access control compared with the HALAH framework</w:t>
        <w:tab/>
        <w:t>57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Security properties supported by the proposed MVC-based consent architecture</w:t>
        <w:tab/>
        <w:t>67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pgNumType w:fmt="lowerRoman" w:start="1"/>
          <w:cols w:space="720"/>
          <w:docGrid w:linePitch="360"/>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the aims of the prototype, the dataset it uses and the steps of consent creation.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pStyle w:val="3"/>
      </w:pPr>
      <w:r>
        <w:t>5.6.1 Aims of Engineering the Prototype System</w:t>
      </w:r>
    </w:p>
    <w:p>
      <w:pPr/>
      <w:r>
        <w:t>The prototype was engineered for three aims. The first is to show that the consent model can be built: a patient can create the object C = (I, A, P, T, L, E) through an interface, and the object carries every component that the later checks need. The second is to make the design testable: the same code that the interface calls is called by the automated tests, so a check that the interface enforces can also be attacked directly at the service level, which is how the gaps closed by the hardening of 1 October 2026 were found. The third is to produce evidence: every creation, approval, decision and revocation is written to the audit ledger with the result of each check, so the claims of this and the following chapters can be traced to recorded events rather than to screenshots alone. The prototype is not engineered for throughput or for a production deployment; its purpose is to validate the design.</w:t>
      </w:r>
    </w:p>
    <w:p>
      <w:pPr>
        <w:pStyle w:val="3"/>
      </w:pPr>
      <w:r>
        <w:t>5.6.2 Dataset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pStyle w:val="3"/>
      </w:pPr>
      <w:r>
        <w:t>5.6.3 Steps in the Working of the Prototype for Consent Creation</w:t>
      </w:r>
    </w:p>
    <w:p>
      <w:pPr/>
      <w:r>
        <w:t>The creation of a consent in the prototype follows the steps of Algorithm 1 as shown in Figure 5.7:</w:t>
      </w:r>
    </w:p>
    <w:p>
      <w:pPr/>
      <w:r>
        <w:t>1. The patient selects the role Patient and their own DID, which the prototype loads from the record set.</w:t>
      </w:r>
    </w:p>
    <w:p>
      <w:pPr/>
      <w:r>
        <w:t>2. The patient enters the DID of the authorised doctor and the DIDs of the guardians, separated by commas.</w:t>
      </w:r>
    </w:p>
    <w:p>
      <w:pPr/>
      <w:r>
        <w:t>3. The patient selects the data modules from Observation, Medication, Condition and Procedure, and sets the start and expiry times.</w:t>
      </w:r>
    </w:p>
    <w:p>
      <w:pPr/>
      <w:r>
        <w:t>4. The patient presses Initial Consent. The prototype checks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r>
        <w:t>5. If every check passes, the prototype assigns the consent identifier, stores the object in the state PENDING_SIGNATURE with N set to the number of guardians, writes the CREATE_CONSENT event to the audit ledger, and shows the identifier to the patient.</w:t>
      </w:r>
    </w:p>
    <w:p>
      <w:pPr/>
      <w: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sz w:val="20"/>
        </w:rPr>
        <w:t>Table 5.3: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