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keepNext/>
        <w:spacing w:before="360"/>
      </w:pPr>
      <w:r/>
      <w:r>
        <w:rPr>
          <w:color w:val="FFFFFF"/>
          <w:sz w:val="2"/>
        </w:rPr>
        <w:t xml:space="preserve">5. </w:t>
      </w:r>
      <w:r>
        <w:rPr>
          <w:smallCaps/>
        </w:rPr>
        <w:t>Research Architecture and Trust-Centric Consent Model</w:t>
      </w:r>
    </w:p>
    <w:p>
      <w:pPr>
        <w:pStyle w:val="2"/>
        <w:keepNext/>
      </w:pPr>
      <w:r>
        <w:t>5.1 Introduction</w:t>
      </w:r>
    </w:p>
    <w:p>
      <w:pPr/>
      <w:r>
        <w:rPr>
          <w:highlight w:val="yellow"/>
        </w:rPr>
        <w:t xml:space="preserve">This</w:t>
      </w:r>
      <w:r>
        <w:t xml:space="preserve"> chapter </w:t>
      </w:r>
      <w:r>
        <w:rPr>
          <w:highlight w:val="yellow"/>
        </w:rPr>
        <w:t xml:space="preserve">first presents</w:t>
      </w:r>
      <w:r>
        <w:t xml:space="preserve"> the research architecture on which the framework is built. There are three layers in the architecture, and </w:t>
      </w:r>
      <w:r>
        <w:rPr>
          <w:highlight w:val="yellow"/>
        </w:rPr>
        <w:t xml:space="preserve">we explain </w:t>
      </w:r>
      <w:r>
        <w:t xml:space="preserve">the role of each layer. </w:t>
      </w:r>
      <w:r>
        <w:rPr>
          <w:highlight w:val="yellow"/>
        </w:rPr>
        <w:t xml:space="preserve">We then propose</w:t>
      </w:r>
      <w:r>
        <w:t xml:space="preserve"> a model </w:t>
      </w:r>
      <w:r>
        <w:rPr>
          <w:highlight w:val="yellow"/>
        </w:rPr>
        <w:t xml:space="preserve">that</w:t>
      </w:r>
      <w:r>
        <w:t xml:space="preserve"> </w:t>
      </w:r>
      <w:r>
        <w:rPr>
          <w:highlight w:val="yellow"/>
        </w:rPr>
        <w:t xml:space="preserve">represents</w:t>
      </w:r>
      <w:r>
        <w:t xml:space="preserve"> patient consent as an evaluable authorisation object; </w:t>
      </w:r>
      <w:r>
        <w:rPr>
          <w:highlight w:val="yellow"/>
        </w:rPr>
        <w:t xml:space="preserve">it</w:t>
      </w:r>
      <w:r>
        <w:t xml:space="preserve"> </w:t>
      </w:r>
      <w:r>
        <w:rPr>
          <w:highlight w:val="yellow"/>
        </w:rPr>
        <w:t xml:space="preserve">addresses</w:t>
      </w:r>
      <w:r>
        <w:t xml:space="preserve"> research objective 1</w:t>
      </w:r>
      <w:r>
        <w:rPr>
          <w:highlight w:val="yellow"/>
        </w:rPr>
        <w:t xml:space="preserve"> at the conceptual and prototype level, and Section 5.9 gives the evidence</w:t>
      </w:r>
      <w:r>
        <w:t xml:space="preserve">. In this chapter, we also present the results of the validation of the proposed solution to research question one. To validate this research question, we built the HALAH prototype and used the following technologies to test the system:</w:t>
      </w:r>
    </w:p>
    <w:p>
      <w:pPr>
        <w:pStyle w:val="a4"/>
        <w:tabs>
          <w:tab w:pos="624" w:val="left"/>
        </w:tabs>
        <w:ind w:left="624" w:hanging="397"/>
      </w:pPr>
      <w:r>
        <w:t xml:space="preserve">1.	</w:t>
      </w:r>
      <w:r>
        <w:rPr>
          <w:b/>
        </w:rPr>
        <w:t xml:space="preserve">Blockchain: </w:t>
      </w:r>
      <w:r>
        <w:t xml:space="preserve">A blockchain is a decentralised</w:t>
      </w:r>
      <w:r>
        <w:rPr>
          <w:highlight w:val="yellow"/>
        </w:rPr>
        <w:t xml:space="preserve">,</w:t>
      </w:r>
      <w:r>
        <w:t xml:space="preserve"> distributed ledger</w:t>
      </w:r>
      <w:r>
        <w:rPr>
          <w:highlight w:val="yellow"/>
        </w:rPr>
        <w:t xml:space="preserve">:</w:t>
      </w:r>
      <w:r>
        <w:t xml:space="preserve"> </w:t>
      </w:r>
      <w:r>
        <w:rPr>
          <w:highlight w:val="yellow"/>
        </w:rPr>
        <w:t xml:space="preserve">an</w:t>
      </w:r>
      <w:r>
        <w:t xml:space="preserve"> </w:t>
      </w:r>
      <w:r>
        <w:rPr>
          <w:highlight w:val="yellow"/>
        </w:rPr>
        <w:t xml:space="preserve">entry,</w:t>
      </w:r>
      <w:r>
        <w:t xml:space="preserve"> </w:t>
      </w:r>
      <w:r>
        <w:rPr>
          <w:highlight w:val="yellow"/>
        </w:rPr>
        <w:t xml:space="preserve">once</w:t>
      </w:r>
      <w:r>
        <w:t xml:space="preserve"> recorded</w:t>
      </w:r>
      <w:r>
        <w:rPr>
          <w:highlight w:val="yellow"/>
        </w:rPr>
        <w:t xml:space="preserve">,</w:t>
      </w:r>
      <w:r>
        <w:t xml:space="preserve"> cannot be altered without altering </w:t>
      </w:r>
      <w:r>
        <w:rPr>
          <w:highlight w:val="yellow"/>
        </w:rPr>
        <w:t xml:space="preserve">every</w:t>
      </w:r>
      <w:r>
        <w:t xml:space="preserve"> </w:t>
      </w:r>
      <w:r>
        <w:rPr>
          <w:highlight w:val="yellow"/>
        </w:rPr>
        <w:t xml:space="preserve">block</w:t>
      </w:r>
      <w:r>
        <w:t xml:space="preserve"> </w:t>
      </w:r>
      <w:r>
        <w:rPr>
          <w:highlight w:val="yellow"/>
        </w:rPr>
        <w:t xml:space="preserve">after</w:t>
      </w:r>
      <w:r>
        <w:t xml:space="preserve"> it (Wood 2014). In HALAH the chain holds no medical content; it anchors only the state of an approved consent, as a soulbound token (Cai 2022) that cannot be transferred, and its revocation. The Ethereum test network Sepolia (Ethereum Foundation 2026b) was chosen because it runs the same virtual machine as the main network, so the contract </w:t>
      </w:r>
      <w:r>
        <w:rPr>
          <w:highlight w:val="yellow"/>
        </w:rPr>
        <w:t xml:space="preserve">executes</w:t>
      </w:r>
      <w:r>
        <w:t xml:space="preserve"> as it would </w:t>
      </w:r>
      <w:r>
        <w:rPr>
          <w:highlight w:val="yellow"/>
        </w:rPr>
        <w:t xml:space="preserve">on</w:t>
      </w:r>
      <w:r>
        <w:t xml:space="preserve"> </w:t>
      </w:r>
      <w:r>
        <w:rPr>
          <w:highlight w:val="yellow"/>
        </w:rPr>
        <w:t xml:space="preserve">the main network</w:t>
      </w:r>
      <w:r>
        <w:t xml:space="preserve">, while its ether has no monetary value. The contract was deployed through the MetaMask wallet (Consensys 2026), and every transaction is publicly visible on Etherscan.</w:t>
      </w:r>
    </w:p>
    <w:p>
      <w:pPr>
        <w:pStyle w:val="a4"/>
        <w:tabs>
          <w:tab w:pos="624" w:val="left"/>
        </w:tabs>
        <w:ind w:left="624" w:hanging="397"/>
      </w:pPr>
      <w:r>
        <w:t>2.</w:t>
        <w:tab/>
      </w:r>
      <w:r>
        <w:rPr>
          <w:b/>
        </w:rPr>
        <w:t xml:space="preserve">Solidity: </w:t>
      </w:r>
      <w:r>
        <w:t>The consent contract ConsentSBTv3 is written in Solidity, the contract language of Ethereum (Ethereum Foundation 2026a), on the OpenZeppelin implementation of the ERC-721 token standard (Entriken et al. 2018) with the ERC-5484 soulbound interface (Cai 2022), and was compiled in the Remix environment (Ethereum Foundation 2026c). The contract stores the start time, the expiry time and the revocation flag of each consent and reports whether the consent is valid at a given time, so the temporal and lifecycle conditions of Req 5 can be checked against the chain by any party, independently of the application.</w:t>
      </w:r>
    </w:p>
    <w:p>
      <w:pPr>
        <w:pStyle w:val="a4"/>
        <w:tabs>
          <w:tab w:pos="624" w:val="left"/>
        </w:tabs>
        <w:ind w:left="624" w:hanging="397"/>
      </w:pPr>
      <w:r>
        <w:t>3.</w:t>
        <w:tab/>
      </w:r>
      <w:r>
        <w:rPr>
          <w:b/>
        </w:rPr>
        <w:t xml:space="preserve">Python and Streamlit: </w:t>
      </w:r>
      <w:r>
        <w:t>The Controller and the four role interfaces of the prototype, for the patient, the guardian, the doctor and the auditor, are written in Python with the Streamlit library, and the application reaches Sepolia through the web3 library. Consents, approvals, decisions and the audit ledger are kept in a local SQLite database, so the auditor can query the evidence of every decision while nothing but the consent state goes to the chain.</w:t>
      </w:r>
    </w:p>
    <w:p>
      <w:pPr>
        <w:pStyle w:val="a4"/>
        <w:tabs>
          <w:tab w:pos="624" w:val="left"/>
        </w:tabs>
        <w:ind w:left="624" w:hanging="397"/>
      </w:pPr>
      <w:r>
        <w:t xml:space="preserve">4.	</w:t>
      </w:r>
      <w:r>
        <w:rPr>
          <w:b/>
        </w:rPr>
        <w:t xml:space="preserve">Decentralised identifiers and verifiable credentials: </w:t>
      </w:r>
      <w:r>
        <w:t xml:space="preserve">Every participant is named by a decentralised identifier (W3C 2022)</w:t>
      </w:r>
      <w:r>
        <w:rPr>
          <w:highlight w:val="yellow"/>
        </w:rPr>
        <w:t xml:space="preserve">,</w:t>
      </w:r>
      <w:r>
        <w:t xml:space="preserve"> and </w:t>
      </w:r>
      <w:r>
        <w:rPr>
          <w:highlight w:val="yellow"/>
        </w:rPr>
        <w:t xml:space="preserve">the doctor and each guardian hold</w:t>
      </w:r>
      <w:r>
        <w:t xml:space="preserve"> a role credential (W3C 2025) signed by a trusted issuer, so </w:t>
      </w:r>
      <w:r>
        <w:rPr>
          <w:highlight w:val="yellow"/>
        </w:rPr>
        <w:t xml:space="preserve">participant</w:t>
      </w:r>
      <w:r>
        <w:t xml:space="preserve"> identity and authority are </w:t>
      </w:r>
      <w:r>
        <w:rPr>
          <w:highlight w:val="yellow"/>
        </w:rPr>
        <w:t xml:space="preserve">treated</w:t>
      </w:r>
      <w:r>
        <w:t xml:space="preserve"> as separate conditions, as Chapter 6 presents.</w:t>
      </w:r>
    </w:p>
    <w:p>
      <w:pPr>
        <w:pStyle w:val="a4"/>
        <w:tabs>
          <w:tab w:pos="624" w:val="left"/>
        </w:tabs>
        <w:ind w:left="624" w:hanging="397"/>
      </w:pPr>
      <w:r>
        <w:t xml:space="preserve">5.	</w:t>
      </w:r>
      <w:r>
        <w:rPr>
          <w:b/>
        </w:rPr>
        <w:t xml:space="preserve">Synthea: </w:t>
      </w:r>
      <w:r>
        <w:t xml:space="preserve">The prototype </w:t>
      </w:r>
      <w:r>
        <w:rPr>
          <w:highlight w:val="yellow"/>
        </w:rPr>
        <w:t xml:space="preserve">uses</w:t>
      </w:r>
      <w:r>
        <w:t xml:space="preserve"> synthetic </w:t>
      </w:r>
      <w:r>
        <w:rPr>
          <w:highlight w:val="yellow"/>
        </w:rPr>
        <w:t xml:space="preserve">patient records</w:t>
      </w:r>
      <w:r>
        <w:t xml:space="preserve"> produced by the Synthea generator (Walonoski et al. 2018). The dataset is described in Section 5.7.</w:t>
      </w:r>
    </w:p>
    <w:p>
      <w:pPr/>
      <w:r>
        <w:t xml:space="preserve">The outline of this chapter is as follows. In Section 5.2, we outline the three layers of the architecture and their components. </w:t>
      </w:r>
      <w:r>
        <w:rPr>
          <w:highlight w:val="yellow"/>
        </w:rPr>
        <w:t xml:space="preserve">In</w:t>
      </w:r>
      <w:r>
        <w:t xml:space="preserve"> Section 5.3 we explain where trust is evaluated and where the boundaries between the layers lie, and in Section 5.4 we map the architecture to the six research objectives. In Section 5.5, we present the trust-centric consent model: the creation workflow, the structure of the consent object C = (I, A, P, T, L, E), and the creation procedure as Algorithm 1. </w:t>
      </w:r>
      <w:r>
        <w:rPr>
          <w:highlight w:val="yellow"/>
        </w:rPr>
        <w:t xml:space="preserve">In</w:t>
      </w:r>
      <w:r>
        <w:t xml:space="preserve"> Section 5.6, we </w:t>
      </w:r>
      <w:r>
        <w:rPr>
          <w:highlight w:val="yellow"/>
        </w:rPr>
        <w:t xml:space="preserve">describe</w:t>
      </w:r>
      <w:r>
        <w:t xml:space="preserve"> the aims of the prototype used </w:t>
      </w:r>
      <w:r>
        <w:rPr>
          <w:highlight w:val="yellow"/>
        </w:rPr>
        <w:t xml:space="preserve">to</w:t>
      </w:r>
      <w:r>
        <w:t xml:space="preserve"> </w:t>
      </w:r>
      <w:r>
        <w:rPr>
          <w:highlight w:val="yellow"/>
        </w:rPr>
        <w:t xml:space="preserve">validate</w:t>
      </w:r>
      <w:r>
        <w:t xml:space="preserve"> the proposed consent model</w:t>
      </w:r>
      <w:r>
        <w:rPr>
          <w:highlight w:val="yellow"/>
        </w:rPr>
        <w:t xml:space="preserve">,</w:t>
      </w:r>
      <w:r>
        <w:t xml:space="preserve"> </w:t>
      </w:r>
      <w:r>
        <w:rPr>
          <w:highlight w:val="yellow"/>
        </w:rPr>
        <w:t xml:space="preserve">and in</w:t>
      </w:r>
      <w:r>
        <w:t xml:space="preserve"> Section 5.7 the dataset used for validation. Section 5.8 </w:t>
      </w:r>
      <w:r>
        <w:rPr>
          <w:highlight w:val="yellow"/>
        </w:rPr>
        <w:t xml:space="preserve">explains</w:t>
      </w:r>
      <w:r>
        <w:t xml:space="preserve"> </w:t>
      </w:r>
      <w:r>
        <w:rPr>
          <w:highlight w:val="yellow"/>
        </w:rPr>
        <w:t xml:space="preserve">step</w:t>
      </w:r>
      <w:r>
        <w:t xml:space="preserve"> </w:t>
      </w:r>
      <w:r>
        <w:rPr>
          <w:highlight w:val="yellow"/>
        </w:rPr>
        <w:t xml:space="preserve">by</w:t>
      </w:r>
      <w:r>
        <w:t xml:space="preserve"> </w:t>
      </w:r>
      <w:r>
        <w:rPr>
          <w:highlight w:val="yellow"/>
        </w:rPr>
        <w:t xml:space="preserve">step</w:t>
      </w:r>
      <w:r>
        <w:t xml:space="preserve"> </w:t>
      </w:r>
      <w:r>
        <w:rPr>
          <w:highlight w:val="yellow"/>
        </w:rPr>
        <w:t xml:space="preserve">how</w:t>
      </w:r>
      <w:r>
        <w:t xml:space="preserve"> the prototype </w:t>
      </w:r>
      <w:r>
        <w:rPr>
          <w:highlight w:val="yellow"/>
        </w:rPr>
        <w:t xml:space="preserve">creates</w:t>
      </w:r>
      <w:r>
        <w:t xml:space="preserve"> consent. Finally, in Section 5.9 we discuss the results obtained from the validation of the consent model and the evaluation of the architecture, and Section 5.10 concludes the chapter.</w:t>
      </w:r>
    </w:p>
    <w:p>
      <w:pPr>
        <w:pStyle w:val="2"/>
        <w:keepNext/>
      </w:pPr>
      <w:r>
        <w:t>5.2 Layered Architecture and Component Decomposition</w:t>
      </w:r>
    </w:p>
    <w:p w14:paraId="41D8500A" w14:textId="77777777" w:rsidR="009262C4" w:rsidRDefault="00000000">
      <w:pPr>
        <w:spacing w:after="110" w:line="264" w:lineRule="auto"/>
        <w:jc w:val="both"/>
      </w:pPr>
      <w:r>
        <w:t xml:space="preserve">The proposed research architecture adopts a Model–View–Controller (MVC) design to </w:t>
      </w:r>
      <w:r>
        <w:rPr>
          <w:highlight w:val="yellow"/>
        </w:rPr>
        <w:t xml:space="preserve">structure</w:t>
      </w:r>
      <w:r>
        <w:t xml:space="preserve"> </w:t>
      </w:r>
      <w:r>
        <w:rPr>
          <w:highlight w:val="yellow"/>
        </w:rPr>
        <w:t xml:space="preserve">the</w:t>
      </w:r>
      <w:r>
        <w:t xml:space="preserve"> implementation </w:t>
      </w:r>
      <w:r>
        <w:rPr>
          <w:highlight w:val="yellow"/>
        </w:rPr>
        <w:t xml:space="preserve">of</w:t>
      </w:r>
      <w:r>
        <w:t xml:space="preserve"> the trusted multi-party consent management framework. In the proposed framework, MVC does more than separate data, interfaces, and application logic. It </w:t>
      </w:r>
      <w:r>
        <w:rPr>
          <w:highlight w:val="yellow"/>
        </w:rPr>
        <w:t xml:space="preserve">also</w:t>
      </w:r>
      <w:r>
        <w:t xml:space="preserve"> </w:t>
      </w:r>
      <w:r>
        <w:rPr>
          <w:highlight w:val="yellow"/>
        </w:rPr>
        <w:t xml:space="preserve">keeps</w:t>
      </w:r>
      <w:r>
        <w:t xml:space="preserve"> </w:t>
      </w:r>
      <w:r>
        <w:rPr>
          <w:highlight w:val="yellow"/>
        </w:rPr>
        <w:t xml:space="preserve">three</w:t>
      </w:r>
      <w:r>
        <w:t xml:space="preserve"> </w:t>
      </w:r>
      <w:r>
        <w:rPr>
          <w:highlight w:val="yellow"/>
        </w:rPr>
        <w:t xml:space="preserve">things</w:t>
      </w:r>
      <w:r>
        <w:t xml:space="preserve"> </w:t>
      </w:r>
      <w:r>
        <w:rPr>
          <w:highlight w:val="yellow"/>
        </w:rPr>
        <w:t xml:space="preserve">apart:</w:t>
      </w:r>
      <w:r>
        <w:t xml:space="preserve"> the </w:t>
      </w:r>
      <w:r>
        <w:rPr>
          <w:highlight w:val="yellow"/>
        </w:rPr>
        <w:t xml:space="preserve">consent</w:t>
      </w:r>
      <w:r>
        <w:t xml:space="preserve"> </w:t>
      </w:r>
      <w:r>
        <w:rPr>
          <w:highlight w:val="yellow"/>
        </w:rPr>
        <w:t xml:space="preserve">itself</w:t>
      </w:r>
      <w:r>
        <w:t xml:space="preserve">, the independent stakeholders</w:t>
      </w:r>
      <w:r>
        <w:rPr>
          <w:highlight w:val="yellow"/>
        </w:rPr>
        <w:t xml:space="preserve"> who act on it</w:t>
      </w:r>
      <w:r>
        <w:t xml:space="preserve">, and the </w:t>
      </w:r>
      <w:r>
        <w:rPr>
          <w:highlight w:val="yellow"/>
        </w:rPr>
        <w:t xml:space="preserve">place</w:t>
      </w:r>
      <w:r>
        <w:t xml:space="preserve"> </w:t>
      </w:r>
      <w:r>
        <w:rPr>
          <w:highlight w:val="yellow"/>
        </w:rPr>
        <w:t xml:space="preserve">where</w:t>
      </w:r>
      <w:r>
        <w:t xml:space="preserve"> </w:t>
      </w:r>
      <w:r>
        <w:rPr>
          <w:highlight w:val="yellow"/>
        </w:rPr>
        <w:t xml:space="preserve">the</w:t>
      </w:r>
      <w:r>
        <w:t xml:space="preserve"> authorisation </w:t>
      </w:r>
      <w:r>
        <w:rPr>
          <w:highlight w:val="yellow"/>
        </w:rPr>
        <w:t xml:space="preserve">decision is enforced</w:t>
      </w:r>
      <w:r>
        <w:t xml:space="preserve">. A consent decision </w:t>
      </w:r>
      <w:r>
        <w:rPr>
          <w:highlight w:val="yellow"/>
        </w:rPr>
        <w:t xml:space="preserve">in healthcare can</w:t>
      </w:r>
      <w:r>
        <w:t xml:space="preserve"> involve patients, guardians, healthcare professionals and auditors, each of whom may </w:t>
      </w:r>
      <w:r>
        <w:rPr>
          <w:highlight w:val="yellow"/>
        </w:rPr>
        <w:t xml:space="preserve">hold a</w:t>
      </w:r>
      <w:r>
        <w:t xml:space="preserve"> different </w:t>
      </w:r>
      <w:r>
        <w:rPr>
          <w:highlight w:val="yellow"/>
        </w:rPr>
        <w:t xml:space="preserve">identity</w:t>
      </w:r>
      <w:r>
        <w:t xml:space="preserve"> and </w:t>
      </w:r>
      <w:r>
        <w:rPr>
          <w:highlight w:val="yellow"/>
        </w:rPr>
        <w:t xml:space="preserve">authority</w:t>
      </w:r>
      <w:r>
        <w:t xml:space="preserve">. </w:t>
      </w:r>
      <w:r>
        <w:rPr>
          <w:highlight w:val="yellow"/>
        </w:rPr>
        <w:t xml:space="preserve">The</w:t>
      </w:r>
      <w:r>
        <w:t xml:space="preserve"> system </w:t>
      </w:r>
      <w:r>
        <w:rPr>
          <w:highlight w:val="yellow"/>
        </w:rPr>
        <w:t xml:space="preserve">therefore </w:t>
      </w:r>
      <w:r>
        <w:t xml:space="preserve">cannot </w:t>
      </w:r>
      <w:r>
        <w:rPr>
          <w:highlight w:val="yellow"/>
        </w:rPr>
        <w:t xml:space="preserve">decide</w:t>
      </w:r>
      <w:r>
        <w:t xml:space="preserve"> </w:t>
      </w:r>
      <w:r>
        <w:rPr>
          <w:highlight w:val="yellow"/>
        </w:rPr>
        <w:t xml:space="preserve">access from</w:t>
      </w:r>
      <w:r>
        <w:t xml:space="preserve"> a single authentication event or a static permission entry. Instead, </w:t>
      </w:r>
      <w:r>
        <w:rPr>
          <w:highlight w:val="yellow"/>
        </w:rPr>
        <w:t xml:space="preserve">it</w:t>
      </w:r>
      <w:r>
        <w:t xml:space="preserve"> </w:t>
      </w:r>
      <w:r>
        <w:rPr>
          <w:highlight w:val="yellow"/>
        </w:rPr>
        <w:t xml:space="preserve">checks</w:t>
      </w:r>
      <w:r>
        <w:t xml:space="preserve"> </w:t>
      </w:r>
      <w:r>
        <w:rPr>
          <w:highlight w:val="yellow"/>
        </w:rPr>
        <w:t xml:space="preserve">several</w:t>
      </w:r>
      <w:r>
        <w:t xml:space="preserve"> conditions together</w:t>
      </w:r>
      <w:r>
        <w:rPr>
          <w:highlight w:val="yellow"/>
        </w:rPr>
        <w:t xml:space="preserve">, each verifiable on its own; Section 5</w:t>
      </w:r>
      <w:r>
        <w:t xml:space="preserve">.</w:t>
      </w:r>
      <w:r>
        <w:rPr>
          <w:highlight w:val="yellow"/>
        </w:rPr>
        <w:t xml:space="preserve">3 sets them out.</w:t>
      </w:r>
    </w:p>
    <w:p w14:paraId="27D68898" w14:textId="77777777" w:rsidR="009262C4" w:rsidRDefault="00000000">
      <w:pPr>
        <w:spacing w:after="110" w:line="264" w:lineRule="auto"/>
        <w:jc w:val="both"/>
      </w:pPr>
      <w: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w:t>
      </w:r>
      <w:r>
        <w:rPr>
          <w:highlight w:val="yellow"/>
        </w:rPr>
        <w:t xml:space="preserve">shows</w:t>
      </w:r>
      <w:r>
        <w:t xml:space="preserve"> the </w:t>
      </w:r>
      <w:r>
        <w:rPr>
          <w:highlight w:val="yellow"/>
        </w:rPr>
        <w:t xml:space="preserve">three</w:t>
      </w:r>
      <w:r>
        <w:t xml:space="preserve"> layers</w:t>
      </w:r>
      <w:r>
        <w:rPr>
          <w:highlight w:val="yellow"/>
        </w:rPr>
        <w:t xml:space="preserve"> and how they relate</w:t>
      </w:r>
      <w:r>
        <w:t xml:space="preserve">. The healthcare data </w:t>
      </w:r>
      <w:r>
        <w:rPr>
          <w:highlight w:val="yellow"/>
        </w:rPr>
        <w:t xml:space="preserve">sit</w:t>
      </w:r>
      <w:r>
        <w:t xml:space="preserve"> outside the three MVC layers</w:t>
      </w:r>
      <w:r>
        <w:rPr>
          <w:highlight w:val="yellow"/>
        </w:rPr>
        <w:t xml:space="preserve">;</w:t>
      </w:r>
      <w:r>
        <w:t xml:space="preserve"> </w:t>
      </w:r>
      <w:r>
        <w:rPr>
          <w:highlight w:val="yellow"/>
        </w:rPr>
        <w:t xml:space="preserve">the</w:t>
      </w:r>
      <w:r>
        <w:t xml:space="preserve"> </w:t>
      </w:r>
      <w:r>
        <w:rPr>
          <w:highlight w:val="yellow"/>
        </w:rPr>
        <w:t xml:space="preserve">View</w:t>
      </w:r>
      <w:r>
        <w:t xml:space="preserve"> </w:t>
      </w:r>
      <w:r>
        <w:rPr>
          <w:highlight w:val="yellow"/>
        </w:rPr>
        <w:t xml:space="preserve">never</w:t>
      </w:r>
      <w:r>
        <w:t xml:space="preserve"> </w:t>
      </w:r>
      <w:r>
        <w:rPr>
          <w:highlight w:val="yellow"/>
        </w:rPr>
        <w:t xml:space="preserve">reaches</w:t>
      </w:r>
      <w:r>
        <w:t xml:space="preserve"> </w:t>
      </w:r>
      <w:r>
        <w:rPr>
          <w:highlight w:val="yellow"/>
        </w:rPr>
        <w:t xml:space="preserve">them directly, and every</w:t>
      </w:r>
      <w:r>
        <w:t xml:space="preserve"> access </w:t>
      </w:r>
      <w:r>
        <w:rPr>
          <w:highlight w:val="yellow"/>
        </w:rPr>
        <w:t xml:space="preserve">passes</w:t>
      </w:r>
      <w:r>
        <w:t xml:space="preserve"> </w:t>
      </w:r>
      <w:r>
        <w:rPr>
          <w:highlight w:val="yellow"/>
        </w:rPr>
        <w:t xml:space="preserve">through</w:t>
      </w:r>
      <w:r>
        <w:t xml:space="preserve"> the Controller.</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rPr>
          <w:highlight w:val="yellow"/>
        </w:rPr>
        <w:t xml:space="preserve">What</w:t>
      </w:r>
      <w:r>
        <w:t xml:space="preserve"> </w:t>
      </w:r>
      <w:r>
        <w:rPr>
          <w:highlight w:val="yellow"/>
        </w:rPr>
        <w:t xml:space="preserve">a</w:t>
      </w:r>
      <w:r>
        <w:t xml:space="preserve"> </w:t>
      </w:r>
      <w:r>
        <w:rPr>
          <w:highlight w:val="yellow"/>
        </w:rPr>
        <w:t xml:space="preserve">user submits</w:t>
      </w:r>
      <w:r>
        <w:t xml:space="preserve"> through the View </w:t>
      </w:r>
      <w:r>
        <w:rPr>
          <w:highlight w:val="yellow"/>
        </w:rPr>
        <w:t xml:space="preserve">is</w:t>
      </w:r>
      <w:r>
        <w:t xml:space="preserve"> a request or a </w:t>
      </w:r>
      <w:r>
        <w:rPr>
          <w:highlight w:val="yellow"/>
        </w:rPr>
        <w:t xml:space="preserve">claim; it is not an</w:t>
      </w:r>
      <w:r>
        <w:t xml:space="preserve"> authorisation </w:t>
      </w:r>
      <w:r>
        <w:rPr>
          <w:highlight w:val="yellow"/>
        </w:rPr>
        <w:t xml:space="preserve">decision</w:t>
      </w:r>
      <w:r>
        <w:t xml:space="preserve">. The Controller Layer </w:t>
      </w:r>
      <w:r>
        <w:rPr>
          <w:highlight w:val="yellow"/>
        </w:rPr>
        <w:t xml:space="preserve">is</w:t>
      </w:r>
      <w:r>
        <w:t xml:space="preserve">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The Model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 xml:space="preserve">Figure 5.2 presents this decomposition. The View is decomposed according to the principal stakeholder roles. </w:t>
      </w:r>
      <w:r>
        <w:rPr>
          <w:highlight w:val="yellow"/>
        </w:rPr>
        <w:t xml:space="preserve">Patients</w:t>
      </w:r>
      <w:r>
        <w:t xml:space="preserve"> </w:t>
      </w:r>
      <w:r>
        <w:rPr>
          <w:highlight w:val="yellow"/>
        </w:rPr>
        <w:t xml:space="preserve">specify</w:t>
      </w:r>
      <w:r>
        <w:t xml:space="preserve"> consent </w:t>
      </w:r>
      <w:r>
        <w:rPr>
          <w:highlight w:val="yellow"/>
        </w:rPr>
        <w:t xml:space="preserve">and</w:t>
      </w:r>
      <w:r>
        <w:t xml:space="preserve"> </w:t>
      </w:r>
      <w:r>
        <w:rPr>
          <w:highlight w:val="yellow"/>
        </w:rPr>
        <w:t xml:space="preserve">perform</w:t>
      </w:r>
      <w:r>
        <w:t xml:space="preserve"> consent-related actions</w:t>
      </w:r>
      <w:r>
        <w:rPr>
          <w:highlight w:val="yellow"/>
        </w:rPr>
        <w:t xml:space="preserve"> through the patient interface</w:t>
      </w:r>
      <w:r>
        <w:t xml:space="preserve">. The guardian or other authorised-participant interface supports independent approval. </w:t>
      </w:r>
      <w:r>
        <w:rPr>
          <w:highlight w:val="yellow"/>
        </w:rPr>
        <w:t xml:space="preserve">Healthcare</w:t>
      </w:r>
      <w:r>
        <w:t xml:space="preserve"> </w:t>
      </w:r>
      <w:r>
        <w:rPr>
          <w:highlight w:val="yellow"/>
        </w:rPr>
        <w:t xml:space="preserve">professionals</w:t>
      </w:r>
      <w:r>
        <w:t xml:space="preserve"> </w:t>
      </w:r>
      <w:r>
        <w:rPr>
          <w:highlight w:val="yellow"/>
        </w:rPr>
        <w:t xml:space="preserve">use their</w:t>
      </w:r>
      <w:r>
        <w:t xml:space="preserve"> interface </w:t>
      </w:r>
      <w:r>
        <w:rPr>
          <w:highlight w:val="yellow"/>
        </w:rPr>
        <w:t xml:space="preserve">to submit</w:t>
      </w:r>
      <w:r>
        <w:t xml:space="preserve"> authorised data-access requests. The auditor interface supports inspection of authorisation evidence and audit history. These interfaces </w:t>
      </w:r>
      <w:r>
        <w:rPr>
          <w:highlight w:val="yellow"/>
        </w:rPr>
        <w:t xml:space="preserve">have</w:t>
      </w:r>
      <w:r>
        <w:t xml:space="preserve"> different responsibilities</w:t>
      </w:r>
      <w:r>
        <w:rPr>
          <w:highlight w:val="yellow"/>
        </w:rPr>
        <w:t xml:space="preserve">,</w:t>
      </w:r>
      <w:r>
        <w:t xml:space="preserve"> but none independently determines whether access should be granted. The Controller is decomposed into six principal security functions. Identity Verification establishes whether a participant can be identified through the relevant decentralised identity mechanism. Authority Verification </w:t>
      </w:r>
      <w:r>
        <w:rPr>
          <w:highlight w:val="yellow"/>
        </w:rPr>
        <w:t xml:space="preserve">checks</w:t>
      </w:r>
      <w:r>
        <w:t xml:space="preserve"> whether the participant </w:t>
      </w:r>
      <w:r>
        <w:rPr>
          <w:highlight w:val="yellow"/>
        </w:rPr>
        <w:t xml:space="preserve">has</w:t>
      </w:r>
      <w:r>
        <w:t xml:space="preserve"> appropriate evidence </w:t>
      </w:r>
      <w:r>
        <w:rPr>
          <w:highlight w:val="yellow"/>
        </w:rPr>
        <w:t xml:space="preserve">of</w:t>
      </w:r>
      <w:r>
        <w:t xml:space="preserve">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w:t>
      </w:r>
      <w:r>
        <w:t>since a Validity Proof Service checks the consent once more before any data are released, as Chapter 8 presents, and an On-chain Anchor Service</w:t>
      </w:r>
      <w:r>
        <w:t xml:space="preserv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w:t>
      </w:r>
      <w:r>
        <w:t>The requester’s DID is declared</w:t>
      </w:r>
      <w:r>
        <w:t xml:space="preserve"> in the 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keepNext/>
      </w:pPr>
      <w:r>
        <w:t>5.3 Trust Evaluation and Architectural Boundaries</w:t>
      </w:r>
    </w:p>
    <w:p w14:paraId="5D5E853A" w14:textId="77777777" w:rsidR="009262C4" w:rsidRDefault="00000000">
      <w:pPr>
        <w:spacing w:after="110" w:line="264" w:lineRule="auto"/>
        <w:jc w:val="both"/>
      </w:pPr>
      <w:r>
        <w:t xml:space="preserve">The </w:t>
      </w:r>
      <w:r>
        <w:rPr>
          <w:highlight w:val="yellow"/>
        </w:rPr>
        <w:t xml:space="preserve">three</w:t>
      </w:r>
      <w:r>
        <w:t xml:space="preserve"> layers </w:t>
      </w:r>
      <w:r>
        <w:rPr>
          <w:highlight w:val="yellow"/>
        </w:rPr>
        <w:t xml:space="preserve">do not call each other freely; a request moves</w:t>
      </w:r>
      <w:r>
        <w:t xml:space="preserve"> through </w:t>
      </w:r>
      <w:r>
        <w:rPr>
          <w:highlight w:val="yellow"/>
        </w:rPr>
        <w:t xml:space="preserve">them</w:t>
      </w:r>
      <w:r>
        <w:t xml:space="preserve"> </w:t>
      </w:r>
      <w:r>
        <w:rPr>
          <w:highlight w:val="yellow"/>
        </w:rPr>
        <w:t xml:space="preserve">in</w:t>
      </w:r>
      <w:r>
        <w:t xml:space="preserve"> a </w:t>
      </w:r>
      <w:r>
        <w:rPr>
          <w:highlight w:val="yellow"/>
        </w:rPr>
        <w:t xml:space="preserve">fixed</w:t>
      </w:r>
      <w:r>
        <w:t xml:space="preserve"> </w:t>
      </w:r>
      <w:r>
        <w:rPr>
          <w:highlight w:val="yellow"/>
        </w:rPr>
        <w:t xml:space="preserve">order</w:t>
      </w:r>
      <w:r>
        <w:t xml:space="preserve">. As illustrated in Figure 5.3, the Controller coordinates a sequence of trust predicates representing the conditions established by the sub-research questions. The first condition, V</w:t>
      </w:r>
      <w:r>
        <w:rPr>
          <w:vertAlign w:val="subscript"/>
        </w:rPr>
        <w:t xml:space="preserve">I</w:t>
      </w:r>
      <w:r>
        <w:t xml:space="preserve">(u), determines whether the requesting participant possesses valid identity and authority evidence. The second condition, V</w:t>
      </w:r>
      <w:r>
        <w:rPr>
          <w:vertAlign w:val="subscript"/>
        </w:rPr>
        <w:t xml:space="preserve">A</w:t>
      </w:r>
      <w:r>
        <w:t xml:space="preserve">(C), determines whether the required independently verified participants have collectively satisfied the authorisation threshold N. The third condition, V</w:t>
      </w:r>
      <w:r>
        <w:rPr>
          <w:vertAlign w:val="subscript"/>
        </w:rPr>
        <w:t xml:space="preserve">P</w:t>
      </w:r>
      <w:r>
        <w:t xml:space="preserve">(C, R), determines whether the requested operation complies with the consent policy, including purpose and data-scope restrictions. The fourth condition, V</w:t>
      </w:r>
      <w:r>
        <w:rPr>
          <w:vertAlign w:val="subscript"/>
        </w:rPr>
        <w:t xml:space="preserve">T</w:t>
      </w:r>
      <w:r>
        <w:t xml:space="preserve">(C, t), determines whether the consent remains valid at the time of the request. The fifth condition, V</w:t>
      </w:r>
      <w:r>
        <w:rPr>
          <w:vertAlign w:val="subscript"/>
        </w:rPr>
        <w:t xml:space="preserve">L</w:t>
      </w:r>
      <w:r>
        <w:t xml:space="preserve">(C), determines whether the consent remains in a valid lifecycle state. The integrated decision </w:t>
      </w:r>
      <w:r>
        <w:t xml:space="preserve">can therefore be expressed as Equation (5.1)</w:t>
      </w:r>
      <w:r>
        <w:t xml:space="preserve">. In the current prototype the Consent Engine derives the lifecycle state, </w:t>
      </w:r>
      <w:r>
        <w:rPr>
          <w:highlight w:val="yellow"/>
        </w:rPr>
        <w:t xml:space="preserve">and </w:t>
      </w:r>
      <w:r>
        <w:t xml:space="preserve">a request </w:t>
      </w:r>
      <w:r>
        <w:rPr>
          <w:highlight w:val="yellow"/>
        </w:rPr>
        <w:t xml:space="preserve">goes forward</w:t>
      </w:r>
      <w:r>
        <w:t xml:space="preserve"> only when </w:t>
      </w:r>
      <w:r>
        <w:rPr>
          <w:highlight w:val="yellow"/>
        </w:rPr>
        <w:t xml:space="preserve">that</w:t>
      </w:r>
      <w:r>
        <w:t xml:space="preserve"> state is ACTIVE</w:t>
      </w:r>
      <w:r>
        <w:rPr>
          <w:highlight w:val="yellow"/>
        </w:rPr>
        <w:t xml:space="preserve">;</w:t>
      </w:r>
      <w:r>
        <w:t xml:space="preserve"> the revocation flag and the token are checked within V</w:t>
      </w:r>
      <w:r>
        <w:rPr>
          <w:vertAlign w:val="subscript"/>
        </w:rPr>
        <w:t xml:space="preserve">A</w:t>
      </w:r>
      <w:r>
        <w:rPr>
          <w:highlight w:val="yellow"/>
        </w:rPr>
        <w:t xml:space="preserve"> as well</w:t>
      </w:r>
      <w:r>
        <w:t xml:space="preserve">.</w:t>
      </w:r>
    </w:p>
    <w:p>
      <w:pPr/>
      <w:r>
        <w:t>Equation (5.1) states that a request is allowed only when every one of the five conditions holds at the time of the request. Conversely, the failure of any one condition is sufficient for refusal, as Equation (5.2) states, and the success of the other conditions cannot compensate for it.</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Decision(C, R, t) = ALLOW ⟺ V</w:t>
      </w:r>
      <w:r>
        <w:rPr>
          <w:rFonts w:ascii="Cambria Math" w:hAnsi="Cambria Math" w:cs="Cambria Math" w:eastAsia="Cambria Math"/>
          <w:sz w:val="18"/>
          <w:vertAlign w:val="subscript"/>
        </w:rPr>
        <w:t>I</w:t>
      </w:r>
      <w:r>
        <w:rPr>
          <w:rFonts w:ascii="Cambria Math" w:hAnsi="Cambria Math" w:cs="Cambria Math" w:eastAsia="Cambria Math"/>
          <w:sz w:val="18"/>
        </w:rPr>
        <w:t>(u) ∧ V</w:t>
      </w:r>
      <w:r>
        <w:rPr>
          <w:rFonts w:ascii="Cambria Math" w:hAnsi="Cambria Math" w:cs="Cambria Math" w:eastAsia="Cambria Math"/>
          <w:sz w:val="18"/>
          <w:vertAlign w:val="subscript"/>
        </w:rPr>
        <w:t>A</w:t>
      </w:r>
      <w:r>
        <w:rPr>
          <w:rFonts w:ascii="Cambria Math" w:hAnsi="Cambria Math" w:cs="Cambria Math" w:eastAsia="Cambria Math"/>
          <w:sz w:val="18"/>
        </w:rPr>
        <w:t>(C) ∧ V</w:t>
      </w:r>
      <w:r>
        <w:rPr>
          <w:rFonts w:ascii="Cambria Math" w:hAnsi="Cambria Math" w:cs="Cambria Math" w:eastAsia="Cambria Math"/>
          <w:sz w:val="18"/>
          <w:vertAlign w:val="subscript"/>
        </w:rPr>
        <w:t>P</w:t>
      </w:r>
      <w:r>
        <w:rPr>
          <w:rFonts w:ascii="Cambria Math" w:hAnsi="Cambria Math" w:cs="Cambria Math" w:eastAsia="Cambria Math"/>
          <w:sz w:val="18"/>
        </w:rPr>
        <w:t>(C, R) ∧ V</w:t>
      </w:r>
      <w:r>
        <w:rPr>
          <w:rFonts w:ascii="Cambria Math" w:hAnsi="Cambria Math" w:cs="Cambria Math" w:eastAsia="Cambria Math"/>
          <w:sz w:val="18"/>
          <w:vertAlign w:val="subscript"/>
        </w:rPr>
        <w:t>T</w:t>
      </w:r>
      <w:r>
        <w:rPr>
          <w:rFonts w:ascii="Cambria Math" w:hAnsi="Cambria Math" w:cs="Cambria Math" w:eastAsia="Cambria Math"/>
          <w:sz w:val="18"/>
        </w:rPr>
        <w:t>(C, t) ∧ V</w:t>
      </w:r>
      <w:r>
        <w:rPr>
          <w:rFonts w:ascii="Cambria Math" w:hAnsi="Cambria Math" w:cs="Cambria Math" w:eastAsia="Cambria Math"/>
          <w:sz w:val="18"/>
          <w:vertAlign w:val="subscript"/>
        </w:rPr>
        <w:t>L</w:t>
      </w:r>
      <w:r>
        <w:rPr>
          <w:rFonts w:ascii="Cambria Math" w:hAnsi="Cambria Math" w:cs="Cambria Math" w:eastAsia="Cambria Math"/>
          <w:sz w:val="18"/>
        </w:rPr>
        <w:t>(C).</w:t>
      </w:r>
      <w:r>
        <w:rPr/>
        <w:tab/>
        <w:t>(5.1)</w:t>
      </w:r>
    </w:p>
    <w:p w14:paraId="54552F6D" w14:textId="77777777" w:rsidR="009262C4" w:rsidRDefault="00000000">
      <w:pPr>
        <w:keepLines/>
        <w:tabs>
          <w:tab w:val="center" w:pos="4564"/>
          <w:tab w:val="right" w:pos="9128"/>
        </w:tabs>
        <w:spacing w:before="80" w:after="160"/>
      </w:pPr>
      <w:r>
        <w:rPr/>
        <w:tab/>
      </w:r>
      <w:r>
        <w:rPr>
          <w:rFonts w:ascii="Cambria Math" w:hAnsi="Cambria Math" w:cs="Cambria Math" w:eastAsia="Cambria Math"/>
          <w:sz w:val="18"/>
        </w:rPr>
        <w:t>¬(V</w:t>
      </w:r>
      <w:r>
        <w:rPr>
          <w:rFonts w:ascii="Cambria Math" w:hAnsi="Cambria Math" w:cs="Cambria Math" w:eastAsia="Cambria Math"/>
          <w:sz w:val="18"/>
          <w:vertAlign w:val="subscript"/>
        </w:rPr>
        <w:t>I</w:t>
      </w:r>
      <w:r>
        <w:rPr>
          <w:rFonts w:ascii="Cambria Math" w:hAnsi="Cambria Math" w:cs="Cambria Math" w:eastAsia="Cambria Math"/>
          <w:sz w:val="18"/>
        </w:rPr>
        <w:t xml:space="preserve"> ∧ V</w:t>
      </w:r>
      <w:r>
        <w:rPr>
          <w:rFonts w:ascii="Cambria Math" w:hAnsi="Cambria Math" w:cs="Cambria Math" w:eastAsia="Cambria Math"/>
          <w:sz w:val="18"/>
          <w:vertAlign w:val="subscript"/>
        </w:rPr>
        <w:t>A</w:t>
      </w:r>
      <w:r>
        <w:rPr>
          <w:rFonts w:ascii="Cambria Math" w:hAnsi="Cambria Math" w:cs="Cambria Math" w:eastAsia="Cambria Math"/>
          <w:sz w:val="18"/>
        </w:rPr>
        <w:t xml:space="preserve"> ∧ V</w:t>
      </w:r>
      <w:r>
        <w:rPr>
          <w:rFonts w:ascii="Cambria Math" w:hAnsi="Cambria Math" w:cs="Cambria Math" w:eastAsia="Cambria Math"/>
          <w:sz w:val="18"/>
          <w:vertAlign w:val="subscript"/>
        </w:rPr>
        <w:t>P</w:t>
      </w:r>
      <w:r>
        <w:rPr>
          <w:rFonts w:ascii="Cambria Math" w:hAnsi="Cambria Math" w:cs="Cambria Math" w:eastAsia="Cambria Math"/>
          <w:sz w:val="18"/>
        </w:rPr>
        <w:t xml:space="preserve"> ∧ V</w:t>
      </w:r>
      <w:r>
        <w:rPr>
          <w:rFonts w:ascii="Cambria Math" w:hAnsi="Cambria Math" w:cs="Cambria Math" w:eastAsia="Cambria Math"/>
          <w:sz w:val="18"/>
          <w:vertAlign w:val="subscript"/>
        </w:rPr>
        <w:t>T</w:t>
      </w:r>
      <w:r>
        <w:rPr>
          <w:rFonts w:ascii="Cambria Math" w:hAnsi="Cambria Math" w:cs="Cambria Math" w:eastAsia="Cambria Math"/>
          <w:sz w:val="18"/>
        </w:rPr>
        <w:t xml:space="preserve"> ∧ V</w:t>
      </w:r>
      <w:r>
        <w:rPr>
          <w:rFonts w:ascii="Cambria Math" w:hAnsi="Cambria Math" w:cs="Cambria Math" w:eastAsia="Cambria Math"/>
          <w:sz w:val="18"/>
          <w:vertAlign w:val="subscript"/>
        </w:rPr>
        <w:t>L</w:t>
      </w:r>
      <w:r>
        <w:rPr>
          <w:rFonts w:ascii="Cambria Math" w:hAnsi="Cambria Math" w:cs="Cambria Math" w:eastAsia="Cambria Math"/>
          <w:sz w:val="18"/>
        </w:rPr>
        <w:t>) ⟹ Decision(C, R, t) = DENY.</w:t>
      </w:r>
      <w:r>
        <w:rPr/>
        <w:tab/>
        <w:t>(5.2)</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title="Trust predicate evaluation and authoris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w:t>
      </w:r>
      <w:r>
        <w:rPr>
          <w:sz w:val="20"/>
          <w:szCs w:val="18"/>
        </w:rPr>
        <w:t>.</w:t>
      </w:r>
    </w:p>
    <w:p w14:paraId="0B499BCD" w14:textId="77777777" w:rsidR="009262C4" w:rsidRDefault="00000000">
      <w:pPr>
        <w:spacing w:after="110" w:line="264" w:lineRule="auto"/>
        <w:jc w:val="both"/>
      </w:pPr>
      <w:r>
        <w:t xml:space="preserve">The Controller does not itself create these trust conditions. Instead, it evaluates evidence represented by the Model and coordinates the resulting decision. </w:t>
      </w:r>
      <w:r>
        <w:rPr>
          <w:highlight w:val="yellow"/>
        </w:rPr>
        <w:t xml:space="preserve">In</w:t>
      </w:r>
      <w:r>
        <w:t xml:space="preserve"> </w:t>
      </w:r>
      <w:r>
        <w:rPr>
          <w:highlight w:val="yellow"/>
        </w:rPr>
        <w:t xml:space="preserve">short,</w:t>
      </w:r>
      <w:r>
        <w:t xml:space="preserve"> the Controller </w:t>
      </w:r>
      <w:r>
        <w:rPr>
          <w:highlight w:val="yellow"/>
        </w:rPr>
        <w:t xml:space="preserve">decides</w:t>
      </w:r>
      <w:r>
        <w:t xml:space="preserve"> </w:t>
      </w:r>
      <w:r>
        <w:rPr>
          <w:highlight w:val="yellow"/>
        </w:rPr>
        <w:t xml:space="preserve">and</w:t>
      </w:r>
      <w:r>
        <w:t xml:space="preserve"> </w:t>
      </w:r>
      <w:r>
        <w:rPr>
          <w:highlight w:val="yellow"/>
        </w:rPr>
        <w:t xml:space="preserve">enforces;</w:t>
      </w:r>
      <w:r>
        <w:t xml:space="preserve"> the Model </w:t>
      </w:r>
      <w:r>
        <w:rPr>
          <w:highlight w:val="yellow"/>
        </w:rPr>
        <w:t xml:space="preserve">holds</w:t>
      </w:r>
      <w:r>
        <w:t xml:space="preserve"> </w:t>
      </w:r>
      <w:r>
        <w:rPr>
          <w:highlight w:val="yellow"/>
        </w:rPr>
        <w:t xml:space="preserve">the</w:t>
      </w:r>
      <w:r>
        <w:t xml:space="preserve"> trust and governance state. </w:t>
      </w:r>
      <w:r>
        <w:rPr>
          <w:highlight w:val="yellow"/>
        </w:rPr>
        <w:t xml:space="preserve">Every</w:t>
      </w:r>
      <w:r>
        <w:t xml:space="preserve"> </w:t>
      </w:r>
      <w:r>
        <w:rPr>
          <w:highlight w:val="yellow"/>
        </w:rPr>
        <w:t xml:space="preserve">decision,</w:t>
      </w:r>
      <w:r>
        <w:t xml:space="preserve"> </w:t>
      </w:r>
      <w:r>
        <w:rPr>
          <w:highlight w:val="yellow"/>
        </w:rPr>
        <w:t xml:space="preserve">allowed</w:t>
      </w:r>
      <w:r>
        <w:t xml:space="preserve"> </w:t>
      </w:r>
      <w:r>
        <w:rPr>
          <w:highlight w:val="yellow"/>
        </w:rPr>
        <w:t xml:space="preserve">or</w:t>
      </w:r>
      <w:r>
        <w:t xml:space="preserve"> </w:t>
      </w:r>
      <w:r>
        <w:rPr>
          <w:highlight w:val="yellow"/>
        </w:rPr>
        <w:t xml:space="preserve">denied,</w:t>
      </w:r>
      <w:r>
        <w:t xml:space="preserve"> </w:t>
      </w:r>
      <w:r>
        <w:rPr>
          <w:highlight w:val="yellow"/>
        </w:rPr>
        <w:t xml:space="preserve">is</w:t>
      </w:r>
      <w:r>
        <w:t xml:space="preserve"> </w:t>
      </w:r>
      <w:r>
        <w:rPr>
          <w:highlight w:val="yellow"/>
        </w:rPr>
        <w:t xml:space="preserve">recorded</w:t>
      </w:r>
      <w:r>
        <w:t xml:space="preserve"> </w:t>
      </w:r>
      <w:r>
        <w:rPr>
          <w:highlight w:val="yellow"/>
        </w:rPr>
        <w:t xml:space="preserve">in the audit ledger together</w:t>
      </w:r>
      <w:r>
        <w:t xml:space="preserve"> with</w:t>
      </w:r>
      <w:r>
        <w:rPr>
          <w:highlight w:val="yellow"/>
        </w:rPr>
        <w:t xml:space="preserve"> its</w:t>
      </w:r>
      <w:r>
        <w:t xml:space="preserve"> authorisation evidence, </w:t>
      </w:r>
      <w:r>
        <w:rPr>
          <w:highlight w:val="yellow"/>
        </w:rPr>
        <w:t xml:space="preserve">so</w:t>
      </w:r>
      <w:r>
        <w:t xml:space="preserve"> </w:t>
      </w:r>
      <w:r>
        <w:rPr>
          <w:highlight w:val="yellow"/>
        </w:rPr>
        <w:t xml:space="preserve">that</w:t>
      </w:r>
      <w:r>
        <w:t xml:space="preserve"> </w:t>
      </w:r>
      <w:r>
        <w:rPr>
          <w:highlight w:val="yellow"/>
        </w:rPr>
        <w:t xml:space="preserve">it</w:t>
      </w:r>
      <w:r>
        <w:t xml:space="preserve"> </w:t>
      </w:r>
      <w:r>
        <w:rPr>
          <w:highlight w:val="yellow"/>
        </w:rPr>
        <w:t xml:space="preserve">can</w:t>
      </w:r>
      <w:r>
        <w:t xml:space="preserve"> </w:t>
      </w:r>
      <w:r>
        <w:rPr>
          <w:highlight w:val="yellow"/>
        </w:rPr>
        <w:t xml:space="preserve">be</w:t>
      </w:r>
      <w:r>
        <w:t xml:space="preserve"> </w:t>
      </w:r>
      <w:r>
        <w:rPr>
          <w:highlight w:val="yellow"/>
        </w:rPr>
        <w:t xml:space="preserve">examined later</w:t>
      </w:r>
      <w:r>
        <w:t xml:space="preserve">. </w:t>
      </w:r>
      <w:r>
        <w:rPr>
          <w:highlight w:val="yellow"/>
        </w:rPr>
        <w:t xml:space="preserve">Each</w:t>
      </w:r>
      <w:r>
        <w:t xml:space="preserve"> </w:t>
      </w:r>
      <w:r>
        <w:rPr>
          <w:highlight w:val="yellow"/>
        </w:rPr>
        <w:t xml:space="preserve">layer</w:t>
      </w:r>
      <w:r>
        <w:t xml:space="preserve"> also </w:t>
      </w:r>
      <w:r>
        <w:rPr>
          <w:highlight w:val="yellow"/>
        </w:rPr>
        <w:t xml:space="preserve">marks</w:t>
      </w:r>
      <w:r>
        <w:t xml:space="preserve"> </w:t>
      </w:r>
      <w:r>
        <w:rPr>
          <w:highlight w:val="yellow"/>
        </w:rPr>
        <w:t xml:space="preserve">a</w:t>
      </w:r>
      <w:r>
        <w:t xml:space="preserve"> trust </w:t>
      </w:r>
      <w:r>
        <w:rPr>
          <w:highlight w:val="yellow"/>
        </w:rPr>
        <w:t xml:space="preserve">boundary</w:t>
      </w:r>
      <w:r>
        <w:t xml:space="preserve">. The View is </w:t>
      </w:r>
      <w:r>
        <w:rPr>
          <w:highlight w:val="yellow"/>
        </w:rPr>
        <w:t xml:space="preserve">the</w:t>
      </w:r>
      <w:r>
        <w:t xml:space="preserve"> interaction boundary</w:t>
      </w:r>
      <w:r>
        <w:rPr>
          <w:highlight w:val="yellow"/>
        </w:rPr>
        <w:t xml:space="preserve">,</w:t>
      </w:r>
      <w:r>
        <w:t xml:space="preserve"> and</w:t>
      </w:r>
      <w:r>
        <w:rPr>
          <w:highlight w:val="yellow"/>
        </w:rPr>
        <w:t xml:space="preserve">,</w:t>
      </w:r>
      <w:r>
        <w:t xml:space="preserve"> as </w:t>
      </w:r>
      <w:r>
        <w:rPr>
          <w:highlight w:val="yellow"/>
        </w:rPr>
        <w:t xml:space="preserve">Section 5.2 noted, what it submits is never </w:t>
      </w:r>
      <w:r>
        <w:t xml:space="preserve">a </w:t>
      </w:r>
      <w:r>
        <w:rPr>
          <w:highlight w:val="yellow"/>
        </w:rPr>
        <w:t xml:space="preserve">decision</w:t>
      </w:r>
      <w:r>
        <w:t xml:space="preserve">. The Controller </w:t>
      </w:r>
      <w:r>
        <w:rPr>
          <w:highlight w:val="yellow"/>
        </w:rPr>
        <w:t xml:space="preserve">is</w:t>
      </w:r>
      <w:r>
        <w:t xml:space="preserve"> the security enforcement boundary. It </w:t>
      </w:r>
      <w:r>
        <w:rPr>
          <w:highlight w:val="yellow"/>
        </w:rPr>
        <w:t xml:space="preserve">applies</w:t>
      </w:r>
      <w:r>
        <w:t xml:space="preserve"> the </w:t>
      </w:r>
      <w:r>
        <w:rPr>
          <w:highlight w:val="yellow"/>
        </w:rPr>
        <w:t xml:space="preserve">same</w:t>
      </w:r>
      <w:r>
        <w:t xml:space="preserve"> rules </w:t>
      </w:r>
      <w:r>
        <w:rPr>
          <w:highlight w:val="yellow"/>
        </w:rPr>
        <w:t xml:space="preserve">to every request</w:t>
      </w:r>
      <w:r>
        <w:t xml:space="preserve"> and </w:t>
      </w:r>
      <w:r>
        <w:rPr>
          <w:highlight w:val="yellow"/>
        </w:rPr>
        <w:t xml:space="preserve">releases</w:t>
      </w:r>
      <w:r>
        <w:t xml:space="preserve"> healthcare data </w:t>
      </w:r>
      <w:r>
        <w:rPr>
          <w:highlight w:val="yellow"/>
        </w:rPr>
        <w:t xml:space="preserve">only </w:t>
      </w:r>
      <w:r>
        <w:t xml:space="preserve">when </w:t>
      </w:r>
      <w:r>
        <w:rPr>
          <w:highlight w:val="yellow"/>
        </w:rPr>
        <w:t xml:space="preserve">all</w:t>
      </w:r>
      <w:r>
        <w:t xml:space="preserve"> </w:t>
      </w:r>
      <w:r>
        <w:rPr>
          <w:highlight w:val="yellow"/>
        </w:rPr>
        <w:t xml:space="preserve">five</w:t>
      </w:r>
      <w:r>
        <w:t xml:space="preserve"> </w:t>
      </w:r>
      <w:r>
        <w:rPr>
          <w:highlight w:val="yellow"/>
        </w:rPr>
        <w:t xml:space="preserve">predicates</w:t>
      </w:r>
      <w:r>
        <w:t xml:space="preserve"> </w:t>
      </w:r>
      <w:r>
        <w:rPr>
          <w:highlight w:val="yellow"/>
        </w:rPr>
        <w:t xml:space="preserve">hold</w:t>
      </w:r>
      <w:r>
        <w:t xml:space="preserve">. The Model </w:t>
      </w:r>
      <w:r>
        <w:rPr>
          <w:highlight w:val="yellow"/>
        </w:rPr>
        <w:t xml:space="preserve">is</w:t>
      </w:r>
      <w:r>
        <w:t xml:space="preserve"> the security-state boundary. Its records provide the evidence and state required for authorisation evaluation, but stored state alone does not constitute permission.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w:t>
      </w:r>
      <w:r>
        <w:rPr>
          <w:highlight w:val="yellow"/>
        </w:rPr>
        <w:t xml:space="preserve">.</w:t>
      </w:r>
      <w:r>
        <w:t xml:space="preserve"> </w:t>
      </w:r>
      <w:r>
        <w:rPr>
          <w:highlight w:val="yellow"/>
        </w:rPr>
        <w:t xml:space="preserve">Only</w:t>
      </w:r>
      <w:r>
        <w:t xml:space="preserve"> the consent state </w:t>
      </w:r>
      <w:r>
        <w:rPr>
          <w:highlight w:val="yellow"/>
        </w:rPr>
        <w:t xml:space="preserve">is anchored on Sepolia, so</w:t>
      </w:r>
      <w:r>
        <w:t xml:space="preserve"> the independent verification tool </w:t>
      </w:r>
      <w:r>
        <w:rPr>
          <w:highlight w:val="yellow"/>
        </w:rPr>
        <w:t xml:space="preserve">can</w:t>
      </w:r>
      <w:r>
        <w:t xml:space="preserve"> </w:t>
      </w:r>
      <w:r>
        <w:rPr>
          <w:highlight w:val="yellow"/>
        </w:rPr>
        <w:t xml:space="preserve">check</w:t>
      </w:r>
      <w:r>
        <w:t xml:space="preserve"> the Controller</w:t>
      </w:r>
      <w:r>
        <w:rPr>
          <w:highlight w:val="yellow"/>
        </w:rPr>
        <w:t xml:space="preserve">’</w:t>
      </w:r>
      <w:r>
        <w:t xml:space="preserve">s </w:t>
      </w:r>
      <w:r>
        <w:rPr>
          <w:highlight w:val="yellow"/>
        </w:rPr>
        <w:t xml:space="preserve">consent</w:t>
      </w:r>
      <w:r>
        <w:t xml:space="preserve"> records </w:t>
      </w:r>
      <w:r>
        <w:rPr>
          <w:highlight w:val="yellow"/>
        </w:rPr>
        <w:t xml:space="preserve">against</w:t>
      </w:r>
      <w:r>
        <w:t xml:space="preserve"> </w:t>
      </w:r>
      <w:r>
        <w:rPr>
          <w:highlight w:val="yellow"/>
        </w:rPr>
        <w:t xml:space="preserve">the</w:t>
      </w:r>
      <w:r>
        <w:t xml:space="preserve"> </w:t>
      </w:r>
      <w:r>
        <w:rPr>
          <w:highlight w:val="yellow"/>
        </w:rPr>
        <w:t xml:space="preserve">chain, while the remaining ledger entries rest on trust in the Controller</w:t>
      </w:r>
      <w:r>
        <w:t xml:space="preserve">. Figure 5.4 puts the same conditions in the order a request meets them. A DID </w:t>
      </w:r>
      <w:r>
        <w:rPr>
          <w:highlight w:val="yellow"/>
        </w:rPr>
        <w:t xml:space="preserve">identifies</w:t>
      </w:r>
      <w:r>
        <w:t xml:space="preserve"> who </w:t>
      </w:r>
      <w:r>
        <w:rPr>
          <w:highlight w:val="yellow"/>
        </w:rPr>
        <w:t xml:space="preserve">claims to be</w:t>
      </w:r>
      <w:r>
        <w:t xml:space="preserve"> asking, a verifiable credential and a signed approval answer what that participant may do, the threshold answers whether the members of G agreed, and </w:t>
      </w:r>
      <w:r>
        <w:t xml:space="preserve">the policy, temporal and lifecycle checks answer</w:t>
      </w:r>
      <w:r>
        <w:t xml:space="preserve"> whether the consent is still valid for this request. The figure also states, gate by gate, what the current prototype checks, so the reader can see where the design and the prototype differ before the detailed sections.</w:t>
      </w:r>
    </w:p>
    <w:p>
      <w:pPr>
        <w:jc w:val="center"/>
      </w:pPr>
      <w:r>
        <w:drawing>
          <wp:inline xmlns:a="http://schemas.openxmlformats.org/drawingml/2006/main" xmlns:pic="http://schemas.openxmlformats.org/drawingml/2006/picture">
            <wp:extent cx="5400000" cy="3436780"/>
            <wp:docPr id="2086885383" name="Picture 2086885383"/>
            <wp:cNvGraphicFramePr>
              <a:graphicFrameLocks noChangeAspect="1"/>
            </wp:cNvGraphicFramePr>
            <a:graphic>
              <a:graphicData uri="http://schemas.openxmlformats.org/drawingml/2006/picture">
                <pic:pic>
                  <pic:nvPicPr>
                    <pic:cNvPr id="0" name="ch5_gates.png"/>
                    <pic:cNvPicPr/>
                  </pic:nvPicPr>
                  <pic:blipFill>
                    <a:blip r:embed="rId37"/>
                    <a:stretch>
                      <a:fillRect/>
                    </a:stretch>
                  </pic:blipFill>
                  <pic:spPr>
                    <a:xfrm>
                      <a:off x="0" y="0"/>
                      <a:ext cx="5400000" cy="3436780"/>
                    </a:xfrm>
                    <a:prstGeom prst="rect"/>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w:t>
      </w:r>
      <w:r>
        <w:rPr>
          <w:sz w:val="20"/>
          <w:szCs w:val="18"/>
        </w:rPr>
        <w:t>.</w:t>
      </w:r>
    </w:p>
    <w:p>
      <w:pPr>
        <w:pStyle w:val="2"/>
        <w:keepNext/>
      </w:pPr>
      <w:r>
        <w:t>5.4 MVC Architecture and the Research Objectives</w:t>
      </w:r>
    </w:p>
    <w:p w14:paraId="7CD948E3" w14:textId="77777777" w:rsidR="009262C4" w:rsidRDefault="00000000">
      <w:pPr>
        <w:spacing w:after="110" w:line="264" w:lineRule="auto"/>
        <w:jc w:val="both"/>
      </w:pPr>
      <w: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w:t>
      </w:r>
      <w:r>
        <w:rPr>
          <w:highlight w:val="yellow"/>
        </w:rPr>
        <w:t xml:space="preserve">by</w:t>
      </w:r>
      <w:r>
        <w:t xml:space="preserve"> the </w:t>
      </w:r>
      <w:r>
        <w:rPr>
          <w:highlight w:val="yellow"/>
        </w:rPr>
        <w:t xml:space="preserve">Controller’s</w:t>
      </w:r>
      <w:r>
        <w:t xml:space="preserve"> threshold </w:t>
      </w:r>
      <w:r>
        <w:rPr>
          <w:highlight w:val="yellow"/>
        </w:rPr>
        <w:t xml:space="preserve">check</w:t>
      </w:r>
      <w:r>
        <w:t xml:space="preserve"> </w:t>
      </w:r>
      <w:r>
        <w:rPr>
          <w:highlight w:val="yellow"/>
        </w:rPr>
        <w:t xml:space="preserve">over the verified approvals</w:t>
      </w:r>
      <w:r>
        <w:t xml:space="preserve">. RO4 is implemented through the policy evaluation mechanisms that constrain the authorised purpose and healthcare data scope. For RO5, temporal conditions and lifecycle state are represented in the Model, while V</w:t>
      </w:r>
      <w:r>
        <w:rPr>
          <w:vertAlign w:val="subscript"/>
        </w:rPr>
        <w:t xml:space="preserve">T</w:t>
      </w:r>
      <w:r>
        <w:t xml:space="preserve"> and V</w:t>
      </w:r>
      <w:r>
        <w:rPr>
          <w:vertAlign w:val="subscript"/>
        </w:rPr>
        <w:t xml:space="preserve">L</w:t>
      </w:r>
      <w:r>
        <w:t xml:space="preserve"> are evaluated by the Controller before an access decision is produced. RO6 operates across the complete architecture rather than being confined to a single MVC layer. Formal assurance of the integrated model</w:t>
      </w:r>
      <w:r>
        <w:rPr>
          <w:highlight w:val="yellow"/>
        </w:rPr>
        <w:t xml:space="preserve">’s</w:t>
      </w:r>
      <w:r>
        <w:t xml:space="preserve"> </w:t>
      </w:r>
      <w:r>
        <w:rPr>
          <w:highlight w:val="yellow"/>
        </w:rPr>
        <w:t xml:space="preserve">logical</w:t>
      </w:r>
      <w:r>
        <w:t xml:space="preserve"> </w:t>
      </w:r>
      <w:r>
        <w:rPr>
          <w:highlight w:val="yellow"/>
        </w:rPr>
        <w:t xml:space="preserve">properties</w:t>
      </w:r>
      <w:r>
        <w:t xml:space="preserve"> </w:t>
      </w:r>
      <w:r>
        <w:rPr>
          <w:highlight w:val="yellow"/>
        </w:rPr>
        <w:t xml:space="preserve">is</w:t>
      </w:r>
      <w:r>
        <w:t xml:space="preserve"> </w:t>
      </w:r>
      <w:r>
        <w:rPr>
          <w:highlight w:val="yellow"/>
        </w:rPr>
        <w:t xml:space="preserve">left to the next stage; the current work tests empirically</w:t>
      </w:r>
      <w:r>
        <w:t xml:space="preserve"> whether the </w:t>
      </w:r>
      <w:r>
        <w:rPr>
          <w:highlight w:val="yellow"/>
        </w:rPr>
        <w:t xml:space="preserve">prototype</w:t>
      </w:r>
      <w:r>
        <w:t xml:space="preserve"> </w:t>
      </w:r>
      <w:r>
        <w:rPr>
          <w:highlight w:val="yellow"/>
        </w:rPr>
        <w:t xml:space="preserve">enforces</w:t>
      </w:r>
      <w:r>
        <w:t xml:space="preserve"> </w:t>
      </w:r>
      <w:r>
        <w:rPr>
          <w:highlight w:val="yellow"/>
        </w:rPr>
        <w:t xml:space="preserve">them</w:t>
      </w:r>
      <w:r>
        <w:t xml:space="preserve">.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FE9D93"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5EFDC3C"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5DE0966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0BF5E401"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Expected Contribution</w:t>
            </w:r>
          </w:p>
        </w:tc>
      </w:tr>
      <w:tr w:rsidR="009262C4" w14:paraId="3D438939"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B42B50" w14:textId="77777777" w:rsidR="009262C4" w:rsidRDefault="00000000">
            <w:pPr>
              <w:keepNext/>
              <w:spacing w:before="40" w:after="40" w:line="240" w:lineRule="auto"/>
              <w:jc w:val="left"/>
            </w:pPr>
            <w:r>
              <w:rPr>
                <w:rFonts w:ascii="Palatino Linotype" w:hAnsi="Palatino Linotype" w:cs="Palatino Linotype"/>
                <w:color w:val="000000"/>
                <w:sz w:val="20"/>
                <w:szCs w:val="17"/>
              </w:rPr>
              <w:t>RO1</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EE78E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A0EB6A" w14:textId="77777777" w:rsidR="009262C4" w:rsidRDefault="00000000">
            <w:pPr>
              <w:keepNext/>
              <w:spacing w:before="40" w:after="40" w:line="240" w:lineRule="auto"/>
              <w:jc w:val="left"/>
            </w:pPr>
            <w:r>
              <w:rPr>
                <w:rFonts w:ascii="Palatino Linotype" w:hAnsi="Palatino Linotype" w:cs="Palatino Linotype"/>
                <w:color w:val="000000"/>
                <w:sz w:val="20"/>
                <w:szCs w:val="17"/>
              </w:rPr>
              <w:t>Trust-aware consent representation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435E0" w14:textId="77777777" w:rsidR="009262C4" w:rsidRDefault="00000000">
            <w:pPr>
              <w:keepNext/>
              <w:spacing w:before="40" w:after="40" w:line="240" w:lineRule="auto"/>
              <w:jc w:val="left"/>
            </w:pPr>
            <w:r>
              <w:rPr>
                <w:rFonts w:ascii="Palatino Linotype" w:hAnsi="Palatino Linotype" w:cs="Palatino Linotype"/>
                <w:color w:val="000000"/>
                <w:sz w:val="20"/>
                <w:szCs w:val="17"/>
                <w:highlight w:val="yellow"/>
              </w:rPr>
              <w:t xml:space="preserve">Consent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as</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the evaluable object C = (I, A, P, T, L, E) rather than</w:t>
            </w:r>
            <w:r>
              <w:rPr>
                <w:rFonts w:ascii="Palatino Linotype" w:hAnsi="Palatino Linotype" w:cs="Palatino Linotype"/>
                <w:color w:val="000000"/>
                <w:sz w:val="20"/>
                <w:szCs w:val="17"/>
              </w:rPr>
              <w:t xml:space="preserve"> a </w:t>
            </w:r>
            <w:r>
              <w:rPr>
                <w:rFonts w:ascii="Palatino Linotype" w:hAnsi="Palatino Linotype" w:cs="Palatino Linotype"/>
                <w:color w:val="000000"/>
                <w:sz w:val="20"/>
                <w:szCs w:val="17"/>
                <w:highlight w:val="yellow"/>
              </w:rPr>
              <w:t xml:space="preserve">stored</w:t>
            </w:r>
            <w:r>
              <w:rPr>
                <w:rFonts w:ascii="Palatino Linotype" w:hAnsi="Palatino Linotype" w:cs="Palatino Linotype"/>
                <w:color w:val="000000"/>
                <w:sz w:val="20"/>
                <w:szCs w:val="17"/>
              </w:rPr>
              <w:t xml:space="preserve"> permission.</w:t>
            </w:r>
          </w:p>
        </w:tc>
      </w:tr>
      <w:tr w:rsidR="009262C4" w14:paraId="3950BA9E"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F4280C" w14:textId="77777777" w:rsidR="009262C4" w:rsidRDefault="00000000">
            <w:pPr>
              <w:keepNext/>
              <w:spacing w:before="40" w:after="40" w:line="240" w:lineRule="auto"/>
              <w:jc w:val="left"/>
            </w:pPr>
            <w:r>
              <w:rPr>
                <w:rFonts w:ascii="Palatino Linotype" w:hAnsi="Palatino Linotype" w:cs="Palatino Linotype"/>
                <w:color w:val="000000"/>
                <w:sz w:val="20"/>
                <w:szCs w:val="17"/>
              </w:rPr>
              <w:t>RO2</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BB1341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2941FB" w14:textId="77777777" w:rsidR="009262C4" w:rsidRDefault="00000000">
            <w:pPr>
              <w:keepNext/>
              <w:spacing w:before="40" w:after="40" w:line="240" w:lineRule="auto"/>
              <w:jc w:val="left"/>
            </w:pPr>
            <w:r>
              <w:rPr>
                <w:rFonts w:ascii="Palatino Linotype" w:hAnsi="Palatino Linotype" w:cs="Palatino Linotype"/>
                <w:color w:val="000000"/>
                <w:sz w:val="20"/>
                <w:szCs w:val="17"/>
              </w:rPr>
              <w:t>DID and VC verification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D52748" w14:textId="77777777" w:rsidR="009262C4" w:rsidRDefault="00000000">
            <w:pPr>
              <w:keepNext/>
              <w:spacing w:before="40" w:after="40" w:line="240" w:lineRule="auto"/>
              <w:jc w:val="left"/>
            </w:pPr>
            <w:r>
              <w:rPr>
                <w:rFonts w:ascii="Palatino Linotype" w:hAnsi="Palatino Linotype" w:cs="Palatino Linotype"/>
                <w:color w:val="000000"/>
                <w:sz w:val="20"/>
                <w:szCs w:val="17"/>
                <w:highlight w:val="yellow"/>
              </w:rPr>
              <w:t xml:space="preserve">Identity</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(DID)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checked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separately</w:t>
            </w:r>
            <w:r>
              <w:rPr>
                <w:rFonts w:ascii="Palatino Linotype" w:hAnsi="Palatino Linotype" w:cs="Palatino Linotype"/>
                <w:color w:val="000000"/>
                <w:sz w:val="20"/>
                <w:szCs w:val="17"/>
              </w:rPr>
              <w:t xml:space="preserve"> from </w:t>
            </w:r>
            <w:r>
              <w:rPr>
                <w:rFonts w:ascii="Palatino Linotype" w:hAnsi="Palatino Linotype" w:cs="Palatino Linotype"/>
                <w:color w:val="000000"/>
                <w:sz w:val="20"/>
                <w:szCs w:val="17"/>
                <w:highlight w:val="yellow"/>
              </w:rPr>
              <w:t xml:space="preserve">role</w:t>
            </w:r>
            <w:r>
              <w:rPr>
                <w:rFonts w:ascii="Palatino Linotype" w:hAnsi="Palatino Linotype" w:cs="Palatino Linotype"/>
                <w:color w:val="000000"/>
                <w:sz w:val="20"/>
                <w:szCs w:val="17"/>
              </w:rPr>
              <w:t xml:space="preserve"> authority</w:t>
            </w:r>
            <w:r>
              <w:rPr>
                <w:rFonts w:ascii="Palatino Linotype" w:hAnsi="Palatino Linotype" w:cs="Palatino Linotype"/>
                <w:color w:val="000000"/>
                <w:sz w:val="20"/>
                <w:szCs w:val="17"/>
                <w:highlight w:val="yellow"/>
              </w:rPr>
              <w:t xml:space="preserve"> (VC); proof of DID control deferred to the next stage</w:t>
            </w:r>
            <w:r>
              <w:rPr>
                <w:rFonts w:ascii="Palatino Linotype" w:hAnsi="Palatino Linotype" w:cs="Palatino Linotype"/>
                <w:color w:val="000000"/>
                <w:sz w:val="20"/>
                <w:szCs w:val="17"/>
              </w:rPr>
              <w:t xml:space="preserve">.</w:t>
            </w:r>
          </w:p>
        </w:tc>
      </w:tr>
      <w:tr w:rsidR="009262C4" w14:paraId="48D9C487"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14017C" w14:textId="77777777" w:rsidR="009262C4" w:rsidRDefault="00000000">
            <w:pPr>
              <w:keepNext/>
              <w:spacing w:before="40" w:after="40" w:line="240" w:lineRule="auto"/>
              <w:jc w:val="left"/>
            </w:pPr>
            <w:r>
              <w:rPr>
                <w:rFonts w:ascii="Palatino Linotype" w:hAnsi="Palatino Linotype" w:cs="Palatino Linotype"/>
                <w:color w:val="000000"/>
                <w:sz w:val="20"/>
                <w:szCs w:val="17"/>
              </w:rPr>
              <w:t>RO3</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89D3D4"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90476E" w14:textId="77777777" w:rsidR="009262C4" w:rsidRDefault="00000000">
            <w:pPr>
              <w:keepNext/>
              <w:spacing w:before="40" w:after="40" w:line="240" w:lineRule="auto"/>
              <w:jc w:val="left"/>
            </w:pPr>
            <w:r>
              <w:rPr>
                <w:rFonts w:ascii="Palatino Linotype" w:hAnsi="Palatino Linotype" w:cs="Palatino Linotype"/>
                <w:color w:val="000000"/>
                <w:sz w:val="20"/>
                <w:szCs w:val="17"/>
              </w:rPr>
              <w:t>Verified multi-party threshold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111184" w14:textId="77777777" w:rsidR="009262C4" w:rsidRDefault="00000000">
            <w:pPr>
              <w:keepNext/>
              <w:spacing w:before="40" w:after="40" w:line="240" w:lineRule="auto"/>
              <w:jc w:val="left"/>
            </w:pPr>
            <w:r>
              <w:rPr>
                <w:rFonts w:ascii="Palatino Linotype" w:hAnsi="Palatino Linotype" w:cs="Palatino Linotype"/>
                <w:color w:val="000000"/>
                <w:sz w:val="20"/>
                <w:szCs w:val="17"/>
                <w:highlight w:val="yellow"/>
              </w:rPr>
              <w:t xml:space="preserve">Every</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guardian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in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G</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must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sign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(N</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|G|);</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with</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two</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or more guardians, none can approve alone</w:t>
            </w:r>
            <w:r>
              <w:rPr>
                <w:rFonts w:ascii="Palatino Linotype" w:hAnsi="Palatino Linotype" w:cs="Palatino Linotype"/>
                <w:color w:val="000000"/>
                <w:sz w:val="20"/>
                <w:szCs w:val="17"/>
              </w:rPr>
              <w:t xml:space="preserve">.</w:t>
            </w:r>
          </w:p>
        </w:tc>
      </w:tr>
      <w:tr w:rsidR="009262C4" w14:paraId="1D1DACC2"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554522" w14:textId="77777777" w:rsidR="009262C4" w:rsidRDefault="00000000">
            <w:pPr>
              <w:keepNext/>
              <w:spacing w:before="40" w:after="40" w:line="240" w:lineRule="auto"/>
              <w:jc w:val="left"/>
            </w:pPr>
            <w:r>
              <w:rPr>
                <w:rFonts w:ascii="Palatino Linotype" w:hAnsi="Palatino Linotype" w:cs="Palatino Linotype"/>
                <w:color w:val="000000"/>
                <w:sz w:val="20"/>
                <w:szCs w:val="17"/>
              </w:rPr>
              <w:t>RO4</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4A1E3E" w14:textId="77777777" w:rsidR="009262C4" w:rsidRDefault="00000000">
            <w:pPr>
              <w:keepNext/>
              <w:spacing w:before="40" w:after="40" w:line="240" w:lineRule="auto"/>
              <w:jc w:val="left"/>
            </w:pPr>
            <w:r>
              <w:rPr>
                <w:rFonts w:ascii="Palatino Linotype" w:hAnsi="Palatino Linotype" w:cs="Palatino Linotype"/>
                <w:color w:val="000000"/>
                <w:sz w:val="20"/>
                <w:szCs w:val="17"/>
              </w:rPr>
              <w:t>Controller and Model</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D76F1CA" w14:textId="77777777" w:rsidR="009262C4" w:rsidRDefault="00000000">
            <w:pPr>
              <w:keepNext/>
              <w:spacing w:before="40" w:after="40" w:line="240" w:lineRule="auto"/>
              <w:jc w:val="left"/>
            </w:pPr>
            <w:r>
              <w:rPr>
                <w:rFonts w:ascii="Palatino Linotype" w:hAnsi="Palatino Linotype" w:cs="Palatino Linotype"/>
                <w:color w:val="000000"/>
                <w:sz w:val="20"/>
                <w:szCs w:val="17"/>
              </w:rPr>
              <w:t>Policy, purpose, and data-scope evaluation</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268DDF" w14:textId="77777777" w:rsidR="009262C4" w:rsidRDefault="00000000">
            <w:pPr>
              <w:keepNext/>
              <w:spacing w:before="40" w:after="40" w:line="240" w:lineRule="auto"/>
              <w:jc w:val="left"/>
            </w:pPr>
            <w:r>
              <w:rPr>
                <w:rFonts w:ascii="Palatino Linotype" w:hAnsi="Palatino Linotype" w:cs="Palatino Linotype"/>
                <w:color w:val="000000"/>
                <w:sz w:val="20"/>
                <w:szCs w:val="17"/>
                <w:highlight w:val="yellow"/>
              </w:rPr>
              <w:t xml:space="preserve">Access</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bounded</w:t>
            </w:r>
            <w:r>
              <w:rPr>
                <w:rFonts w:ascii="Palatino Linotype" w:hAnsi="Palatino Linotype" w:cs="Palatino Linotype"/>
                <w:color w:val="000000"/>
                <w:sz w:val="20"/>
                <w:szCs w:val="17"/>
              </w:rPr>
              <w:t xml:space="preserve"> by the </w:t>
            </w:r>
            <w:r>
              <w:rPr>
                <w:rFonts w:ascii="Palatino Linotype" w:hAnsi="Palatino Linotype" w:cs="Palatino Linotype"/>
                <w:color w:val="000000"/>
                <w:sz w:val="20"/>
                <w:szCs w:val="17"/>
                <w:highlight w:val="yellow"/>
              </w:rPr>
              <w:t xml:space="preserve">consent’s</w:t>
            </w:r>
            <w:r>
              <w:rPr>
                <w:rFonts w:ascii="Palatino Linotype" w:hAnsi="Palatino Linotype" w:cs="Palatino Linotype"/>
                <w:color w:val="000000"/>
                <w:sz w:val="20"/>
                <w:szCs w:val="17"/>
              </w:rPr>
              <w:t xml:space="preserve"> purpose and data scope</w:t>
            </w:r>
            <w:r>
              <w:rPr>
                <w:rFonts w:ascii="Palatino Linotype" w:hAnsi="Palatino Linotype" w:cs="Palatino Linotype"/>
                <w:color w:val="000000"/>
                <w:sz w:val="20"/>
                <w:szCs w:val="17"/>
                <w:highlight w:val="yellow"/>
              </w:rPr>
              <w:t xml:space="preserve">, whatever the requester’s identity and approvals; the interface currently fixes the purpose to Treatment</w:t>
            </w:r>
            <w:r>
              <w:rPr>
                <w:rFonts w:ascii="Palatino Linotype" w:hAnsi="Palatino Linotype" w:cs="Palatino Linotype"/>
                <w:color w:val="000000"/>
                <w:sz w:val="20"/>
                <w:szCs w:val="17"/>
              </w:rPr>
              <w:t xml:space="preserve">.</w:t>
            </w:r>
          </w:p>
        </w:tc>
      </w:tr>
      <w:tr w:rsidR="009262C4" w14:paraId="6EF202A0" w14:textId="77777777">
        <w:trPr>
          <w:cantSplit/>
        </w:trPr>
        <w:tc>
          <w:tcPr>
            <w:tcW w:w="1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7954FD" w14:textId="77777777" w:rsidR="009262C4" w:rsidRDefault="00000000">
            <w:pPr>
              <w:keepNext/>
              <w:spacing w:before="40" w:after="40" w:line="240" w:lineRule="auto"/>
              <w:jc w:val="left"/>
            </w:pPr>
            <w:r>
              <w:rPr>
                <w:rFonts w:ascii="Palatino Linotype" w:hAnsi="Palatino Linotype" w:cs="Palatino Linotype"/>
                <w:color w:val="000000"/>
                <w:sz w:val="20"/>
                <w:szCs w:val="17"/>
              </w:rPr>
              <w:t>RO5</w:t>
            </w:r>
          </w:p>
        </w:tc>
        <w:tc>
          <w:tcPr>
            <w:tcW w:w="17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BE1E77" w14:textId="77777777" w:rsidR="009262C4" w:rsidRDefault="00000000">
            <w:pPr>
              <w:keepNext/>
              <w:spacing w:before="40" w:after="40" w:line="240" w:lineRule="auto"/>
              <w:jc w:val="left"/>
            </w:pPr>
            <w:r>
              <w:rPr>
                <w:rFonts w:ascii="Palatino Linotype" w:hAnsi="Palatino Linotype" w:cs="Palatino Linotype"/>
                <w:color w:val="000000"/>
                <w:sz w:val="20"/>
                <w:szCs w:val="17"/>
              </w:rPr>
              <w:t>Model and Controller</w:t>
            </w:r>
          </w:p>
        </w:tc>
        <w:tc>
          <w:tcPr>
            <w:tcW w:w="250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A389AE" w14:textId="77777777" w:rsidR="009262C4" w:rsidRDefault="00000000">
            <w:pPr>
              <w:keepNext/>
              <w:spacing w:before="40" w:after="40" w:line="240" w:lineRule="auto"/>
              <w:jc w:val="left"/>
            </w:pPr>
            <w:r>
              <w:rPr>
                <w:rFonts w:ascii="Palatino Linotype" w:hAnsi="Palatino Linotype" w:cs="Palatino Linotype"/>
                <w:color w:val="000000"/>
                <w:sz w:val="20"/>
                <w:szCs w:val="17"/>
              </w:rPr>
              <w:t>Temporal validity and consent lifecycle enforcement</w:t>
            </w:r>
          </w:p>
        </w:tc>
        <w:tc>
          <w:tcPr>
            <w:tcW w:w="342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E5B8DF" w14:textId="77777777" w:rsidR="009262C4" w:rsidRDefault="00000000">
            <w:pPr>
              <w:keepNext/>
              <w:spacing w:before="40" w:after="40" w:line="240" w:lineRule="auto"/>
              <w:jc w:val="left"/>
            </w:pPr>
            <w:r>
              <w:rPr>
                <w:rFonts w:ascii="Palatino Linotype" w:hAnsi="Palatino Linotype" w:cs="Palatino Linotype"/>
                <w:color w:val="000000"/>
                <w:sz w:val="20"/>
                <w:szCs w:val="17"/>
                <w:highlight w:val="yellow"/>
              </w:rPr>
              <w:t xml:space="preserve">Validity</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window</w:t>
            </w:r>
            <w:r>
              <w:rPr>
                <w:rFonts w:ascii="Palatino Linotype" w:hAnsi="Palatino Linotype" w:cs="Palatino Linotype"/>
                <w:color w:val="000000"/>
                <w:sz w:val="20"/>
                <w:szCs w:val="17"/>
              </w:rPr>
              <w:t xml:space="preserve"> and lifecycle state</w:t>
            </w:r>
            <w:r>
              <w:rPr>
                <w:rFonts w:ascii="Palatino Linotype" w:hAnsi="Palatino Linotype" w:cs="Palatino Linotype"/>
                <w:color w:val="000000"/>
                <w:sz w:val="20"/>
                <w:szCs w:val="17"/>
                <w:highlight w:val="yellow"/>
              </w:rPr>
              <w:t xml:space="preserve"> checked at every request; access only while ACTIVE</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refused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once</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expired</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or</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revoked</w:t>
            </w:r>
            <w:r>
              <w:rPr>
                <w:rFonts w:ascii="Palatino Linotype" w:hAnsi="Palatino Linotype" w:cs="Palatino Linotype"/>
                <w:color w:val="000000"/>
                <w:sz w:val="20"/>
                <w:szCs w:val="17"/>
              </w:rPr>
              <w:t xml:space="preserve">.</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vAlign w:val="top"/>
          </w:tcPr>
          <w:p w14:paraId="555B9621" w14:textId="77777777" w:rsidR="009262C4" w:rsidRDefault="00000000">
            <w:pPr>
              <w:spacing w:before="40" w:after="40" w:line="240" w:lineRule="auto"/>
              <w:jc w:val="left"/>
            </w:pPr>
            <w:r>
              <w:rPr>
                <w:rFonts w:ascii="Palatino Linotype" w:hAnsi="Palatino Linotype" w:cs="Palatino Linotype"/>
                <w:color w:val="000000"/>
                <w:sz w:val="20"/>
                <w:szCs w:val="17"/>
              </w:rPr>
              <w:t>RO6</w:t>
            </w:r>
          </w:p>
        </w:tc>
        <w:tc>
          <w:tcPr>
            <w:tcW w:w="1700" w:type="dxa"/>
            <w:tcBorders>
              <w:top w:val="nil"/>
              <w:left w:val="nil"/>
              <w:bottom w:val="nil"/>
              <w:right w:val="nil"/>
              <w:insideH w:val="nil"/>
              <w:insideV w:val="nil"/>
            </w:tcBorders>
            <w:tcMar>
              <w:top w:w="40" w:type="dxa"/>
              <w:left w:w="80" w:type="dxa"/>
              <w:bottom w:w="40" w:type="dxa"/>
              <w:right w:w="80" w:type="dxa"/>
            </w:tcMar>
            <w:vAlign w:val="top"/>
          </w:tcPr>
          <w:p w14:paraId="359B604F" w14:textId="77777777" w:rsidR="009262C4" w:rsidRDefault="00000000">
            <w:pPr>
              <w:spacing w:before="40" w:after="40" w:line="240" w:lineRule="auto"/>
              <w:jc w:val="left"/>
            </w:pPr>
            <w:r>
              <w:rPr>
                <w:rFonts w:ascii="Palatino Linotype" w:hAnsi="Palatino Linotype" w:cs="Palatino Linotype"/>
                <w:color w:val="000000"/>
                <w:sz w:val="20"/>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vAlign w:val="top"/>
          </w:tcPr>
          <w:p w14:paraId="24CA74E4" w14:textId="77777777" w:rsidR="009262C4" w:rsidRDefault="00000000">
            <w:pPr>
              <w:spacing w:before="40" w:after="40" w:line="240" w:lineRule="auto"/>
              <w:jc w:val="left"/>
            </w:pPr>
            <w:r>
              <w:rPr>
                <w:rFonts w:ascii="Palatino Linotype" w:hAnsi="Palatino Linotype" w:cs="Palatino Linotype"/>
                <w:color w:val="000000"/>
                <w:sz w:val="20"/>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vAlign w:val="top"/>
          </w:tcPr>
          <w:p w14:paraId="05F31F88" w14:textId="77777777" w:rsidR="009262C4" w:rsidRDefault="00000000">
            <w:pPr>
              <w:spacing w:before="40" w:after="40" w:line="240" w:lineRule="auto"/>
              <w:jc w:val="left"/>
            </w:pPr>
            <w:r>
              <w:rPr>
                <w:rFonts w:ascii="Palatino Linotype" w:hAnsi="Palatino Linotype" w:cs="Palatino Linotype"/>
                <w:color w:val="000000"/>
                <w:sz w:val="20"/>
                <w:szCs w:val="17"/>
                <w:highlight w:val="yellow"/>
              </w:rPr>
              <w:t xml:space="preserve">Empirical</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validation of the decisions the prototype allows and denies (Chapter 10);</w:t>
            </w:r>
            <w:r>
              <w:rPr>
                <w:rFonts w:ascii="Palatino Linotype" w:hAnsi="Palatino Linotype" w:cs="Palatino Linotype"/>
                <w:color w:val="000000"/>
                <w:sz w:val="20"/>
                <w:szCs w:val="17"/>
              </w:rPr>
              <w:t xml:space="preserve"> formal assurance of the </w:t>
            </w:r>
            <w:r>
              <w:rPr>
                <w:rFonts w:ascii="Palatino Linotype" w:hAnsi="Palatino Linotype" w:cs="Palatino Linotype"/>
                <w:color w:val="000000"/>
                <w:sz w:val="20"/>
                <w:szCs w:val="17"/>
                <w:highlight w:val="yellow"/>
              </w:rPr>
              <w:t xml:space="preserve">model</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left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to</w:t>
            </w:r>
            <w:r>
              <w:rPr>
                <w:rFonts w:ascii="Palatino Linotype" w:hAnsi="Palatino Linotype" w:cs="Palatino Linotype"/>
                <w:color w:val="000000"/>
                <w:sz w:val="20"/>
                <w:szCs w:val="17"/>
              </w:rPr>
              <w:t xml:space="preserve"> the </w:t>
            </w:r>
            <w:r>
              <w:rPr>
                <w:rFonts w:ascii="Palatino Linotype" w:hAnsi="Palatino Linotype" w:cs="Palatino Linotype"/>
                <w:color w:val="000000"/>
                <w:sz w:val="20"/>
                <w:szCs w:val="17"/>
                <w:highlight w:val="yellow"/>
              </w:rPr>
              <w:t xml:space="preserve">next</w:t>
            </w:r>
            <w:r>
              <w:rPr>
                <w:rFonts w:ascii="Palatino Linotype" w:hAnsi="Palatino Linotype" w:cs="Palatino Linotype"/>
                <w:color w:val="000000"/>
                <w:sz w:val="20"/>
                <w:szCs w:val="17"/>
              </w:rPr>
              <w:t xml:space="preserve"> </w:t>
            </w:r>
            <w:r>
              <w:rPr>
                <w:rFonts w:ascii="Palatino Linotype" w:hAnsi="Palatino Linotype" w:cs="Palatino Linotype"/>
                <w:color w:val="000000"/>
                <w:sz w:val="20"/>
                <w:szCs w:val="17"/>
                <w:highlight w:val="yellow"/>
              </w:rPr>
              <w:t xml:space="preserve">stage</w:t>
            </w:r>
            <w:r>
              <w:rPr>
                <w:rFonts w:ascii="Palatino Linotype" w:hAnsi="Palatino Linotype" w:cs="Palatino Linotype"/>
                <w:color w:val="000000"/>
                <w:sz w:val="20"/>
                <w:szCs w:val="17"/>
              </w:rPr>
              <w:t xml:space="preserve">.</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top w:w="50" w:type="dxa"/>
          <w:left w:w="70" w:type="dxa"/>
          <w:bottom w:w="50" w:type="dxa"/>
          <w:right w:w="7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b/>
                <w:bCs/>
                <w:color w:val="000000"/>
                <w:sz w:val="20"/>
                <w:szCs w:val="17"/>
              </w:rPr>
              <w:t>HALAH framework</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Identity</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Central identity provider; institution login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DID for every participant; identity kept separate from authority</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Consent</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stored record that permission was given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An object C = (I, A, P, T, L, E), checked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Approval</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static permission set by one party</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 xml:space="preserve">All listed guardians sign (EIP-712); </w:t>
            </w:r>
            <w:r>
              <w:rPr>
                <w:rFonts w:ascii="Palatino Linotype" w:hAnsi="Palatino Linotype" w:cs="Palatino Linotype"/>
                <w:color w:val="000000"/>
                <w:sz w:val="20"/>
                <w:szCs w:val="17"/>
                <w:highlight w:val="yellow"/>
              </w:rPr>
              <w:t xml:space="preserve">with two or more guardians, </w:t>
            </w:r>
            <w:r>
              <w:rPr>
                <w:rFonts w:ascii="Palatino Linotype" w:hAnsi="Palatino Linotype" w:cs="Palatino Linotype"/>
                <w:color w:val="000000"/>
                <w:sz w:val="20"/>
                <w:szCs w:val="17"/>
              </w:rPr>
              <w:t xml:space="preserve">no single party can approve alone</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Access check</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Log in, then check a static permission</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VI ∧ VA ∧ VP ∧ VT ∧ VL, evaluated at every request</w:t>
            </w:r>
          </w:p>
        </w:tc>
      </w:tr>
      <w:tr w:rsidR="009262C4">
        <w:trPr>
          <w:cantSplit/>
        </w:trPr>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Time and revocation</w:t>
            </w:r>
          </w:p>
        </w:tc>
        <w:tc>
          <w:tcPr>
            <w:tcW w:w="2828"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Hard to verify once the permission is stored</w:t>
            </w:r>
          </w:p>
        </w:tc>
        <w:tc>
          <w:tcPr>
            <w:tcW w:w="3472" w:type="dxa"/>
            <w:tcBorders>
              <w:top w:val="nil"/>
              <w:left w:val="nil"/>
              <w:bottom w:val="single" w:sz="4" w:color="BFBFBF" w:space="0"/>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Validity window and revocation checked each time;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vAlign w:val="top"/>
          </w:tcPr>
          <w:p w:rsidR="009262C4" w:rsidRDefault="00000000">
            <w:pPr>
              <w:keepNext/>
              <w:spacing w:before="40" w:after="40" w:line="240" w:lineRule="auto"/>
              <w:jc w:val="left"/>
            </w:pPr>
            <w:r>
              <w:rPr>
                <w:rFonts w:ascii="Palatino Linotype" w:hAnsi="Palatino Linotype" w:cs="Palatino Linotype"/>
                <w:color w:val="000000"/>
                <w:sz w:val="20"/>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w:t>
      </w:r>
      <w:r>
        <w:rPr>
          <w:highlight w:val="yellow"/>
        </w:rPr>
        <w:t xml:space="preserve">Under this</w:t>
      </w:r>
      <w:r>
        <w:t xml:space="preserve"> design</w:t>
      </w:r>
      <w:r>
        <w:rPr>
          <w:highlight w:val="yellow"/>
        </w:rPr>
        <w:t xml:space="preserve">,</w:t>
      </w:r>
      <w:r>
        <w:t xml:space="preserve"> multi-party consent </w:t>
      </w:r>
      <w:r>
        <w:rPr>
          <w:highlight w:val="yellow"/>
        </w:rPr>
        <w:t xml:space="preserve">is</w:t>
      </w:r>
      <w:r>
        <w:t xml:space="preserve"> </w:t>
      </w:r>
      <w:r>
        <w:rPr>
          <w:highlight w:val="yellow"/>
        </w:rPr>
        <w:t xml:space="preserve">managed by checking its conditions at each access rather than by storing</w:t>
      </w:r>
      <w:r>
        <w:t xml:space="preserve"> a </w:t>
      </w:r>
      <w:r>
        <w:rPr>
          <w:highlight w:val="yellow"/>
        </w:rPr>
        <w:t xml:space="preserve">record</w:t>
      </w:r>
      <w:r>
        <w:t xml:space="preserve"> </w:t>
      </w:r>
      <w:r>
        <w:rPr>
          <w:highlight w:val="yellow"/>
        </w:rPr>
        <w:t xml:space="preserve">of</w:t>
      </w:r>
      <w:r>
        <w:t xml:space="preserve"> </w:t>
      </w:r>
      <w:r>
        <w:rPr>
          <w:highlight w:val="yellow"/>
        </w:rPr>
        <w:t xml:space="preserve">permission</w:t>
      </w:r>
      <w:r>
        <w:t xml:space="preserve">. The evaluable consent object as such is already present in the literature. </w:t>
      </w:r>
      <w:r>
        <w:rPr>
          <w:highlight w:val="yellow"/>
        </w:rPr>
        <w:t xml:space="preserve">What</w:t>
      </w:r>
      <w:r>
        <w:t xml:space="preserve"> </w:t>
      </w:r>
      <w:r>
        <w:rPr>
          <w:highlight w:val="yellow"/>
        </w:rPr>
        <w:t xml:space="preserve">is</w:t>
      </w:r>
      <w:r>
        <w:t xml:space="preserve"> </w:t>
      </w:r>
      <w:r>
        <w:rPr>
          <w:highlight w:val="yellow"/>
        </w:rPr>
        <w:t xml:space="preserve">new</w:t>
      </w:r>
      <w:r>
        <w:t xml:space="preserve"> is that </w:t>
      </w:r>
      <w:r>
        <w:rPr>
          <w:highlight w:val="yellow"/>
        </w:rPr>
        <w:t xml:space="preserve">a </w:t>
      </w:r>
      <w:r>
        <w:t xml:space="preserve">consent </w:t>
      </w:r>
      <w:r>
        <w:rPr>
          <w:highlight w:val="yellow"/>
        </w:rPr>
        <w:t xml:space="preserve">takes</w:t>
      </w:r>
      <w:r>
        <w:t xml:space="preserve"> </w:t>
      </w:r>
      <w:r>
        <w:rPr>
          <w:highlight w:val="yellow"/>
        </w:rPr>
        <w:t xml:space="preserve">effect</w:t>
      </w:r>
      <w:r>
        <w:t xml:space="preserve"> </w:t>
      </w:r>
      <w:r>
        <w:rPr>
          <w:highlight w:val="yellow"/>
        </w:rPr>
        <w:t xml:space="preserve">only</w:t>
      </w:r>
      <w:r>
        <w:t xml:space="preserve"> </w:t>
      </w:r>
      <w:r>
        <w:rPr>
          <w:highlight w:val="yellow"/>
        </w:rPr>
        <w:t xml:space="preserve">when</w:t>
      </w:r>
      <w:r>
        <w:t xml:space="preserve"> identity, authority, collective approval, policy, </w:t>
      </w:r>
      <w:r>
        <w:rPr>
          <w:highlight w:val="yellow"/>
        </w:rPr>
        <w:t xml:space="preserve">time</w:t>
      </w:r>
      <w:r>
        <w:t xml:space="preserve"> and lifecycle </w:t>
      </w:r>
      <w:r>
        <w:rPr>
          <w:highlight w:val="yellow"/>
        </w:rPr>
        <w:t xml:space="preserve">all hold together, and that these </w:t>
      </w:r>
      <w:r>
        <w:t xml:space="preserve">conditions</w:t>
      </w:r>
      <w:r>
        <w:rPr>
          <w:highlight w:val="yellow"/>
        </w:rPr>
        <w:t xml:space="preserve"> are checked</w:t>
      </w:r>
      <w:r>
        <w:t xml:space="preserve"> on every access decision</w:t>
      </w:r>
      <w:r>
        <w:rPr>
          <w:highlight w:val="yellow"/>
        </w:rPr>
        <w:t xml:space="preserve"> (Equation (5.1))</w:t>
      </w:r>
      <w:r>
        <w:t xml:space="preserve">. Blockchain or other tamper-resistant storage mechanisms are integrated as infrastructure for preserving selected authorisation evidence. However, the blockchain itself is not treated as the source of trust. </w:t>
      </w:r>
      <w:r>
        <w:rPr>
          <w:highlight w:val="yellow"/>
        </w:rPr>
        <w:t xml:space="preserve">In</w:t>
      </w:r>
      <w:r>
        <w:t xml:space="preserve"> </w:t>
      </w:r>
      <w:r>
        <w:rPr>
          <w:highlight w:val="yellow"/>
        </w:rPr>
        <w:t xml:space="preserve">HALAH</w:t>
      </w:r>
      <w:r>
        <w:t xml:space="preserve">, </w:t>
      </w:r>
      <w:r>
        <w:rPr>
          <w:highlight w:val="yellow"/>
        </w:rPr>
        <w:t xml:space="preserve">it holds only the approved consent state</w:t>
      </w:r>
      <w:r>
        <w:t xml:space="preserve"> and </w:t>
      </w:r>
      <w:r>
        <w:rPr>
          <w:highlight w:val="yellow"/>
        </w:rPr>
        <w:t xml:space="preserve">its</w:t>
      </w:r>
      <w:r>
        <w:t xml:space="preserve"> </w:t>
      </w:r>
      <w:r>
        <w:rPr>
          <w:highlight w:val="yellow"/>
        </w:rPr>
        <w:t xml:space="preserve">revocation, so</w:t>
      </w:r>
      <w:r>
        <w:t xml:space="preserve"> the </w:t>
      </w:r>
      <w:r>
        <w:rPr>
          <w:highlight w:val="yellow"/>
        </w:rPr>
        <w:t xml:space="preserve">consent</w:t>
      </w:r>
      <w:r>
        <w:t xml:space="preserve"> </w:t>
      </w:r>
      <w:r>
        <w:rPr>
          <w:highlight w:val="yellow"/>
        </w:rPr>
        <w:t xml:space="preserve">state</w:t>
      </w:r>
      <w:r>
        <w:t xml:space="preserve"> </w:t>
      </w:r>
      <w:r>
        <w:rPr>
          <w:highlight w:val="yellow"/>
        </w:rPr>
        <w:t xml:space="preserve">in</w:t>
      </w:r>
      <w:r>
        <w:t xml:space="preserve"> the </w:t>
      </w:r>
      <w:r>
        <w:rPr>
          <w:highlight w:val="yellow"/>
        </w:rPr>
        <w:t xml:space="preserve">Controller’s</w:t>
      </w:r>
      <w:r>
        <w:t xml:space="preserve"> </w:t>
      </w:r>
      <w:r>
        <w:rPr>
          <w:highlight w:val="yellow"/>
        </w:rPr>
        <w:t xml:space="preserve">records can be checked against it</w:t>
      </w:r>
      <w:r>
        <w:t xml:space="preserve">. The detailed solutions for RQ1 to RQ6 </w:t>
      </w:r>
      <w:r>
        <w:t xml:space="preserve">are presented in Chapters 5 to 10</w:t>
      </w:r>
      <w:r>
        <w:t xml:space="preserve">, and the formal assurance of the complete decision model remains for the next stage. The next section presents the solution for RO1, the consent object on which the other objectives build.</w:t>
      </w:r>
    </w:p>
    <w:p>
      <w:pPr>
        <w:pStyle w:val="2"/>
        <w:keepNext/>
      </w:pPr>
      <w:r>
        <w:t>5.5 Trust-Centric Consent Model</w:t>
      </w:r>
    </w:p>
    <w:p w14:paraId="5376DFE3" w14:textId="77777777" w:rsidR="009262C4" w:rsidRDefault="00000000">
      <w:pPr>
        <w:spacing w:after="110" w:line="264" w:lineRule="auto"/>
        <w:jc w:val="both"/>
      </w:pPr>
      <w:r>
        <w:rPr>
          <w:highlight w:val="yellow"/>
        </w:rPr>
        <w:t xml:space="preserve">The</w:t>
      </w:r>
      <w:r>
        <w:t xml:space="preserve"> </w:t>
      </w:r>
      <w:r>
        <w:rPr>
          <w:highlight w:val="yellow"/>
        </w:rPr>
        <w:t xml:space="preserve">consent</w:t>
      </w:r>
      <w:r>
        <w:t xml:space="preserve"> </w:t>
      </w:r>
      <w:r>
        <w:rPr>
          <w:highlight w:val="yellow"/>
        </w:rPr>
        <w:t xml:space="preserve">object</w:t>
      </w:r>
      <w:r>
        <w:t xml:space="preserve"> </w:t>
      </w:r>
      <w:r>
        <w:rPr>
          <w:highlight w:val="yellow"/>
        </w:rPr>
        <w:t xml:space="preserve">below is our</w:t>
      </w:r>
      <w:r>
        <w:t xml:space="preserve"> solution </w:t>
      </w:r>
      <w:r>
        <w:rPr>
          <w:highlight w:val="yellow"/>
        </w:rPr>
        <w:t xml:space="preserve">to</w:t>
      </w:r>
      <w:r>
        <w:t xml:space="preserve"> RO1. </w:t>
      </w:r>
      <w:r>
        <w:t xml:space="preserve">Section 5.5.1 shows the consent creation workflow, Section 5.5.2 defines the structure of the consent object, </w:t>
      </w:r>
      <w:r>
        <w:rPr>
          <w:highlight w:val="yellow"/>
        </w:rPr>
        <w:t xml:space="preserve">and </w:t>
      </w:r>
      <w:r>
        <w:t xml:space="preserve">Section 5.5.3 presents the creation procedure and the algorithm</w:t>
      </w:r>
      <w:r>
        <w:rPr>
          <w:highlight w:val="yellow"/>
        </w:rPr>
        <w:t xml:space="preserve">; the prototype</w:t>
      </w:r>
      <w:r>
        <w:t xml:space="preserve">, </w:t>
      </w:r>
      <w:r>
        <w:rPr>
          <w:highlight w:val="yellow"/>
        </w:rPr>
        <w:t xml:space="preserve">dataset and validation follow in Sections</w:t>
      </w:r>
      <w:r>
        <w:t xml:space="preserve"> 5.6 </w:t>
      </w:r>
      <w:r>
        <w:rPr>
          <w:highlight w:val="yellow"/>
        </w:rPr>
        <w:t xml:space="preserve">to</w:t>
      </w:r>
      <w:r>
        <w:t xml:space="preserve"> 5.9.</w:t>
      </w:r>
    </w:p>
    <w:p w14:paraId="201EB011" w14:textId="77777777" w:rsidR="009262C4" w:rsidRDefault="00000000">
      <w:pPr>
        <w:spacing w:after="110" w:line="264" w:lineRule="auto"/>
        <w:jc w:val="both"/>
      </w:pPr>
      <w:r>
        <w:t xml:space="preserve">RO1 addresses RQ1 by developing a trust-aware consent model </w:t>
      </w:r>
      <w:r>
        <w:rPr>
          <w:highlight w:val="yellow"/>
        </w:rPr>
        <w:t xml:space="preserve">in</w:t>
      </w:r>
      <w:r>
        <w:t xml:space="preserve"> </w:t>
      </w:r>
      <w:r>
        <w:rPr>
          <w:highlight w:val="yellow"/>
        </w:rPr>
        <w:t xml:space="preserve">which</w:t>
      </w:r>
      <w:r>
        <w:t xml:space="preserve"> patient consent </w:t>
      </w:r>
      <w:r>
        <w:rPr>
          <w:highlight w:val="yellow"/>
        </w:rPr>
        <w:t xml:space="preserve">is</w:t>
      </w:r>
      <w:r>
        <w:t xml:space="preserve"> a structured and evaluable authorisation object. The </w:t>
      </w:r>
      <w:r>
        <w:rPr>
          <w:highlight w:val="yellow"/>
        </w:rPr>
        <w:t xml:space="preserve">aim</w:t>
      </w:r>
      <w:r>
        <w:t xml:space="preserve"> is to </w:t>
      </w:r>
      <w:r>
        <w:rPr>
          <w:highlight w:val="yellow"/>
        </w:rPr>
        <w:t xml:space="preserve">formally</w:t>
      </w:r>
      <w:r>
        <w:t xml:space="preserve"> </w:t>
      </w:r>
      <w:r>
        <w:rPr>
          <w:highlight w:val="yellow"/>
        </w:rPr>
        <w:t xml:space="preserve">represent</w:t>
      </w:r>
      <w:r>
        <w:t xml:space="preserve"> what the patient intends to authorise, who is permitted to participate in the authorisation process, which healthcare data may be accessed and under what conditions. The proposed consent object is represented as </w:t>
      </w:r>
      <w:r>
        <w:t xml:space="preserve">Equation (5.3)</w:t>
      </w:r>
      <w:r>
        <w:t xml:space="preserve">.</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t>(5.3)</w:t>
      </w:r>
    </w:p>
    <w:p w14:paraId="63094BBA" w14:textId="77777777" w:rsidR="009262C4" w:rsidRDefault="00000000">
      <w:pPr>
        <w:spacing w:after="110" w:line="264" w:lineRule="auto"/>
        <w:jc w:val="both"/>
      </w:pPr>
      <w:r>
        <w:t xml:space="preserve">In Equation (5.3)</w:t>
      </w:r>
      <w:r>
        <w:t xml:space="preserve">,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w:t>
      </w:r>
      <w:r>
        <w:t xml:space="preserve">The </w:t>
      </w:r>
      <w:r>
        <w:rPr>
          <w:highlight w:val="yellow"/>
        </w:rPr>
        <w:t xml:space="preserve">identity</w:t>
      </w:r>
      <w:r>
        <w:t xml:space="preserve"> component </w:t>
      </w:r>
      <w:r>
        <w:rPr>
          <w:highlight w:val="yellow"/>
        </w:rPr>
        <w:t xml:space="preserve">holds</w:t>
      </w:r>
      <w:r>
        <w:t xml:space="preserve"> the </w:t>
      </w:r>
      <w:r>
        <w:rPr>
          <w:highlight w:val="yellow"/>
        </w:rPr>
        <w:t xml:space="preserve">DIDs</w:t>
      </w:r>
      <w:r>
        <w:t xml:space="preserve"> </w:t>
      </w:r>
      <w:r>
        <w:rPr>
          <w:highlight w:val="yellow"/>
        </w:rPr>
        <w:t xml:space="preserve">of</w:t>
      </w:r>
      <w:r>
        <w:t xml:space="preserve"> </w:t>
      </w:r>
      <w:r>
        <w:rPr>
          <w:highlight w:val="yellow"/>
        </w:rPr>
        <w:t xml:space="preserve">the patient</w:t>
      </w:r>
      <w:r>
        <w:t xml:space="preserve">,</w:t>
      </w:r>
      <w:r>
        <w:rPr>
          <w:highlight w:val="yellow"/>
        </w:rPr>
        <w:t xml:space="preserve"> the doctor</w:t>
      </w:r>
      <w:r>
        <w:t xml:space="preserve"> and the </w:t>
      </w:r>
      <w:r>
        <w:rPr>
          <w:highlight w:val="yellow"/>
        </w:rPr>
        <w:t xml:space="preserve">guardians</w:t>
      </w:r>
      <w:r>
        <w:t xml:space="preserve">. The authorisation component defines the required participants and approval threshold. The policy component specifies the permitted purpose and healthcare data scope. The evidence component records the information required to support subsequent verification and audit. A consent object does not </w:t>
      </w:r>
      <w:r>
        <w:rPr>
          <w:highlight w:val="yellow"/>
        </w:rPr>
        <w:t xml:space="preserve">authorise</w:t>
      </w:r>
      <w:r>
        <w:t xml:space="preserve"> </w:t>
      </w:r>
      <w:r>
        <w:rPr>
          <w:highlight w:val="yellow"/>
        </w:rPr>
        <w:t xml:space="preserve">requests</w:t>
      </w:r>
      <w:r>
        <w:t xml:space="preserve"> </w:t>
      </w:r>
      <w:r>
        <w:rPr>
          <w:highlight w:val="yellow"/>
        </w:rPr>
        <w:t xml:space="preserve">by</w:t>
      </w:r>
      <w:r>
        <w:t xml:space="preserve"> </w:t>
      </w:r>
      <w:r>
        <w:rPr>
          <w:highlight w:val="yellow"/>
        </w:rPr>
        <w:t xml:space="preserve">itself</w:t>
      </w:r>
      <w:r>
        <w:t xml:space="preserve">. </w:t>
      </w:r>
      <w:r>
        <w:rPr>
          <w:highlight w:val="yellow"/>
        </w:rPr>
        <w:t xml:space="preserve">It</w:t>
      </w:r>
      <w:r>
        <w:t xml:space="preserve"> </w:t>
      </w:r>
      <w:r>
        <w:rPr>
          <w:highlight w:val="yellow"/>
        </w:rPr>
        <w:t xml:space="preserve">holds</w:t>
      </w:r>
      <w:r>
        <w:t xml:space="preserve"> the conditions against which </w:t>
      </w:r>
      <w:r>
        <w:rPr>
          <w:highlight w:val="yellow"/>
        </w:rPr>
        <w:t xml:space="preserve">each</w:t>
      </w:r>
      <w:r>
        <w:t xml:space="preserve"> request </w:t>
      </w:r>
      <w:r>
        <w:rPr>
          <w:highlight w:val="yellow"/>
        </w:rPr>
        <w:t xml:space="preserve">is</w:t>
      </w:r>
      <w:r>
        <w:t xml:space="preserve"> </w:t>
      </w:r>
      <w:r>
        <w:rPr>
          <w:highlight w:val="yellow"/>
        </w:rPr>
        <w:t xml:space="preserve">checked</w:t>
      </w:r>
      <w:r>
        <w:t xml:space="preserve">.</w:t>
      </w:r>
    </w:p>
    <w:p>
      <w:pPr>
        <w:pStyle w:val="3"/>
        <w:keepNext/>
      </w:pPr>
      <w:r>
        <w:t>5.5.1 Consent Creation Workflow</w:t>
      </w:r>
    </w:p>
    <w:p w14:paraId="19D1B142" w14:textId="77777777" w:rsidR="009262C4" w:rsidRDefault="00000000">
      <w:pPr>
        <w:spacing w:after="110" w:line="264" w:lineRule="auto"/>
        <w:jc w:val="both"/>
      </w:pPr>
      <w:r>
        <w:t xml:space="preserve">Figure 5.5</w:t>
      </w:r>
      <w:r>
        <w:t xml:space="preserve"> describes the creation of a trust-aware consent object. The process </w:t>
      </w:r>
      <w:r>
        <w:rPr>
          <w:highlight w:val="yellow"/>
        </w:rPr>
        <w:t xml:space="preserve">starts</w:t>
      </w:r>
      <w:r>
        <w:t xml:space="preserve"> with </w:t>
      </w:r>
      <w:r>
        <w:rPr>
          <w:highlight w:val="yellow"/>
        </w:rPr>
        <w:t xml:space="preserve">the</w:t>
      </w:r>
      <w:r>
        <w:t xml:space="preserve"> patient</w:t>
      </w:r>
      <w:r>
        <w:rPr>
          <w:highlight w:val="yellow"/>
        </w:rPr>
        <w:t xml:space="preserve">’s</w:t>
      </w:r>
      <w:r>
        <w:t xml:space="preserve"> request and ends with a </w:t>
      </w:r>
      <w:r>
        <w:rPr>
          <w:highlight w:val="yellow"/>
        </w:rPr>
        <w:t xml:space="preserve">stored</w:t>
      </w:r>
      <w:r>
        <w:t xml:space="preserve"> consent record that </w:t>
      </w:r>
      <w:r>
        <w:rPr>
          <w:highlight w:val="yellow"/>
        </w:rPr>
        <w:t xml:space="preserve">the later checks </w:t>
      </w:r>
      <w:r>
        <w:t xml:space="preserve">can </w:t>
      </w:r>
      <w:r>
        <w:rPr>
          <w:highlight w:val="yellow"/>
        </w:rPr>
        <w:t xml:space="preserve">evaluate</w:t>
      </w:r>
      <w:r>
        <w:t xml:space="preserve">.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 xml:space="preserve">The specification is accepted only when the required fields are valid. For example, the expiry time must be later than the start time, the data scope must not be empty, and each guardian DID must be well formed. After validation, the system creates the consent object, </w:t>
      </w:r>
      <w:r>
        <w:rPr>
          <w:highlight w:val="yellow"/>
        </w:rPr>
        <w:t xml:space="preserve">gives</w:t>
      </w:r>
      <w:r>
        <w:t xml:space="preserve"> </w:t>
      </w:r>
      <w:r>
        <w:rPr>
          <w:highlight w:val="yellow"/>
        </w:rPr>
        <w:t xml:space="preserve">it</w:t>
      </w:r>
      <w:r>
        <w:t xml:space="preserve"> </w:t>
      </w:r>
      <w:r>
        <w:rPr>
          <w:highlight w:val="yellow"/>
        </w:rPr>
        <w:t xml:space="preserve">an</w:t>
      </w:r>
      <w:r>
        <w:t xml:space="preserve"> identifier, </w:t>
      </w:r>
      <w:r>
        <w:rPr>
          <w:highlight w:val="yellow"/>
        </w:rPr>
        <w:t xml:space="preserve">stores</w:t>
      </w:r>
      <w:r>
        <w:t xml:space="preserve"> </w:t>
      </w:r>
      <w:r>
        <w:rPr>
          <w:highlight w:val="yellow"/>
        </w:rPr>
        <w:t xml:space="preserve">it</w:t>
      </w:r>
      <w:r>
        <w:t xml:space="preserve">, and </w:t>
      </w:r>
      <w:r>
        <w:rPr>
          <w:highlight w:val="yellow"/>
        </w:rPr>
        <w:t xml:space="preserve">writes</w:t>
      </w:r>
      <w:r>
        <w:t xml:space="preserve"> the creation event </w:t>
      </w:r>
      <w:r>
        <w:rPr>
          <w:highlight w:val="yellow"/>
        </w:rPr>
        <w:t xml:space="preserve">to</w:t>
      </w:r>
      <w:r>
        <w:t xml:space="preserve"> the audit layer. Once the consent object is created, its lifecycle state L becomes PENDING, because the consent cannot produce an effective authorisation decision until the required approvals have been obtained. In the current prototype, this state is PENDING_SIGNATURE</w:t>
      </w:r>
      <w:r>
        <w:t xml:space="preserve">.</w:t>
      </w:r>
    </w:p>
    <w:p>
      <w:pPr>
        <w:pStyle w:val="3"/>
        <w:keepNext/>
      </w:pPr>
      <w:r>
        <w:t>5.5.2 Structure of the Consent Object</w:t>
      </w:r>
    </w:p>
    <w:p w14:paraId="5F6EAA5F" w14:textId="77777777" w:rsidR="009262C4" w:rsidRDefault="00000000">
      <w:pPr>
        <w:spacing w:after="110" w:line="264" w:lineRule="auto"/>
        <w:jc w:val="both"/>
      </w:pPr>
      <w:r>
        <w:t xml:space="preserve">Figure 5.6</w:t>
      </w:r>
      <w:r>
        <w:t xml:space="preserve"> shows how the validated information is combined to construct the consent object.</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Chapter 9" title="Six-component consent model C = (I, A, P, T, L, E) with the content and supplier of each component, where L is the lifecycle state. The states shown are those of the design, and the states implemented in the prototype are given in Chapt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sz w:val="20"/>
          <w:szCs w:val="18"/>
        </w:rPr>
        <w:t>Figure 5.6</w:t>
      </w:r>
      <w:r>
        <w:rPr>
          <w:b/>
          <w:bCs/>
          <w:sz w:val="20"/>
          <w:szCs w:val="18"/>
        </w:rPr>
        <w:t xml:space="preserve">: </w:t>
      </w:r>
      <w:r>
        <w:rPr>
          <w:sz w:val="20"/>
          <w:szCs w:val="18"/>
        </w:rPr>
        <w:t>Six-component consent model C = (I, A, P, T, L, E)</w:t>
      </w:r>
      <w:r>
        <w:rPr>
          <w:sz w:val="20"/>
          <w:szCs w:val="18"/>
        </w:rPr>
        <w:t>.</w:t>
      </w:r>
    </w:p>
    <w:p w14:paraId="19DBCC08" w14:textId="77777777" w:rsidR="009262C4" w:rsidRDefault="00000000">
      <w:pPr>
        <w:spacing w:after="110" w:line="264" w:lineRule="auto"/>
        <w:jc w:val="both"/>
      </w:pPr>
      <w:r>
        <w:t>Unlike the consent objects reported in the literature, this object carries the guardian set and threshold together with the purpose, data scope, validity interval, and lifecycle state.</w:t>
      </w:r>
    </w:p>
    <w:p>
      <w:pPr>
        <w:pStyle w:val="3"/>
        <w:keepNext/>
      </w:pPr>
      <w:r>
        <w:t>5.5.3 Trust-Aware Consent Creation Procedure and Algorithm</w:t>
      </w:r>
    </w:p>
    <w:p>
      <w:pPr/>
      <w:r>
        <w:t xml:space="preserve">The Trust-Aware Consent Creation procedure </w:t>
      </w:r>
      <w:r>
        <w:rPr>
          <w:highlight w:val="yellow"/>
        </w:rPr>
        <w:t xml:space="preserve">checks</w:t>
      </w:r>
      <w:r>
        <w:t xml:space="preserve"> the </w:t>
      </w:r>
      <w:r>
        <w:rPr>
          <w:highlight w:val="yellow"/>
        </w:rPr>
        <w:t xml:space="preserve">participants</w:t>
      </w:r>
      <w:r>
        <w:t xml:space="preserve">, </w:t>
      </w:r>
      <w:r>
        <w:rPr>
          <w:highlight w:val="yellow"/>
        </w:rPr>
        <w:t xml:space="preserve">the</w:t>
      </w:r>
      <w:r>
        <w:t xml:space="preserve"> purpose, </w:t>
      </w:r>
      <w:r>
        <w:rPr>
          <w:highlight w:val="yellow"/>
        </w:rPr>
        <w:t xml:space="preserve">the </w:t>
      </w:r>
      <w:r>
        <w:t xml:space="preserve">data scope</w:t>
      </w:r>
      <w:r>
        <w:rPr>
          <w:highlight w:val="yellow"/>
        </w:rPr>
        <w:t xml:space="preserve"> and the validity interval, in that order</w:t>
      </w:r>
      <w:r>
        <w:t xml:space="preserve">, and </w:t>
      </w:r>
      <w:r>
        <w:rPr>
          <w:highlight w:val="yellow"/>
        </w:rPr>
        <w:t xml:space="preserve">only</w:t>
      </w:r>
      <w:r>
        <w:t xml:space="preserve"> </w:t>
      </w:r>
      <w:r>
        <w:rPr>
          <w:highlight w:val="yellow"/>
        </w:rPr>
        <w:t xml:space="preserve">then</w:t>
      </w:r>
      <w:r>
        <w:t xml:space="preserve"> </w:t>
      </w:r>
      <w:r>
        <w:rPr>
          <w:highlight w:val="yellow"/>
        </w:rPr>
        <w:t xml:space="preserve">stores</w:t>
      </w:r>
      <w:r>
        <w:t xml:space="preserve"> the consent </w:t>
      </w:r>
      <w:r>
        <w:rPr>
          <w:highlight w:val="yellow"/>
        </w:rPr>
        <w:t xml:space="preserve">and</w:t>
      </w:r>
      <w:r>
        <w:t xml:space="preserve"> </w:t>
      </w:r>
      <w:r>
        <w:rPr>
          <w:highlight w:val="yellow"/>
        </w:rPr>
        <w:t xml:space="preserve">logs its creation</w:t>
      </w:r>
      <w:r>
        <w:t xml:space="preserve">. The procedure consists of the following steps.</w:t>
      </w:r>
    </w:p>
    <w:p>
      <w:pPr>
        <w:pStyle w:val="a4"/>
      </w:pPr>
      <w:r>
        <w:rPr>
          <w:b/>
        </w:rPr>
        <w:t xml:space="preserve">Step 1 – Validate Patient Identity. </w:t>
      </w:r>
      <w:r>
        <w:t xml:space="preserve">The system first validates the patient’s identity Ip. </w:t>
      </w:r>
      <w:r>
        <w:rPr>
          <w:highlight w:val="yellow"/>
        </w:rPr>
        <w:t xml:space="preserve">In</w:t>
      </w:r>
      <w:r>
        <w:t xml:space="preserve"> </w:t>
      </w:r>
      <w:r>
        <w:rPr>
          <w:highlight w:val="yellow"/>
        </w:rPr>
        <w:t xml:space="preserve">the model, Ip</w:t>
      </w:r>
      <w:r>
        <w:t xml:space="preserve"> is checked </w:t>
      </w:r>
      <w:r>
        <w:rPr>
          <w:highlight w:val="yellow"/>
        </w:rPr>
        <w:t xml:space="preserve">through</w:t>
      </w:r>
      <w:r>
        <w:t xml:space="preserve"> the identity and credential verification </w:t>
      </w:r>
      <w:r>
        <w:rPr>
          <w:highlight w:val="yellow"/>
        </w:rPr>
        <w:t xml:space="preserve">presented</w:t>
      </w:r>
      <w:r>
        <w:t xml:space="preserve"> </w:t>
      </w:r>
      <w:r>
        <w:rPr>
          <w:highlight w:val="yellow"/>
        </w:rPr>
        <w:t xml:space="preserve">in</w:t>
      </w:r>
      <w:r>
        <w:t xml:space="preserve"> </w:t>
      </w:r>
      <w:r>
        <w:rPr>
          <w:highlight w:val="yellow"/>
        </w:rPr>
        <w:t xml:space="preserve">Chapter</w:t>
      </w:r>
      <w:r>
        <w:t xml:space="preserve"> </w:t>
      </w:r>
      <w:r>
        <w:rPr>
          <w:highlight w:val="yellow"/>
        </w:rPr>
        <w:t xml:space="preserve">6; in</w:t>
      </w:r>
      <w:r>
        <w:t xml:space="preserve"> the </w:t>
      </w:r>
      <w:r>
        <w:rPr>
          <w:highlight w:val="yellow"/>
        </w:rPr>
        <w:t xml:space="preserve">prototype,</w:t>
      </w:r>
      <w:r>
        <w:t xml:space="preserve"> </w:t>
      </w:r>
      <w:r>
        <w:rPr>
          <w:highlight w:val="yellow"/>
        </w:rPr>
        <w:t xml:space="preserve">the</w:t>
      </w:r>
      <w:r>
        <w:t xml:space="preserve"> </w:t>
      </w:r>
      <w:r>
        <w:rPr>
          <w:highlight w:val="yellow"/>
        </w:rPr>
        <w:t xml:space="preserve">patient DID is selected</w:t>
      </w:r>
      <w:r>
        <w:t xml:space="preserve"> from </w:t>
      </w:r>
      <w:r>
        <w:rPr>
          <w:highlight w:val="yellow"/>
        </w:rPr>
        <w:t xml:space="preserve">the</w:t>
      </w:r>
      <w:r>
        <w:t xml:space="preserve"> </w:t>
      </w:r>
      <w:r>
        <w:rPr>
          <w:highlight w:val="yellow"/>
        </w:rPr>
        <w:t xml:space="preserve">loaded</w:t>
      </w:r>
      <w:r>
        <w:t xml:space="preserve"> </w:t>
      </w:r>
      <w:r>
        <w:rPr>
          <w:highlight w:val="yellow"/>
        </w:rPr>
        <w:t xml:space="preserve">record</w:t>
      </w:r>
      <w:r>
        <w:t xml:space="preserve"> </w:t>
      </w:r>
      <w:r>
        <w:rPr>
          <w:highlight w:val="yellow"/>
        </w:rPr>
        <w:t xml:space="preserve">set and is declared rather than authenticated</w:t>
      </w:r>
      <w:r>
        <w:t xml:space="preserve">. If Ip cannot be successfully validated, the procedure terminates immediately and returns REJECT.</w:t>
      </w:r>
    </w:p>
    <w:p>
      <w:pPr>
        <w:pStyle w:val="a4"/>
      </w:pPr>
      <w:r>
        <w:rPr>
          <w:b/>
        </w:rPr>
        <w:t xml:space="preserve">Step 2 – Validate the Authorised Doctor. </w:t>
      </w:r>
      <w:r>
        <w:t xml:space="preserve">The system validates the identity and authorisation status of the designated doctor D. </w:t>
      </w:r>
      <w:r>
        <w:rPr>
          <w:highlight w:val="yellow"/>
        </w:rPr>
        <w:t xml:space="preserve">The</w:t>
      </w:r>
      <w:r>
        <w:t xml:space="preserve"> doctor </w:t>
      </w:r>
      <w:r>
        <w:rPr>
          <w:highlight w:val="yellow"/>
        </w:rPr>
        <w:t xml:space="preserve">DID must be well formed and must hold</w:t>
      </w:r>
      <w:r>
        <w:t xml:space="preserve"> a </w:t>
      </w:r>
      <w:r>
        <w:rPr>
          <w:highlight w:val="yellow"/>
        </w:rPr>
        <w:t xml:space="preserve">valid</w:t>
      </w:r>
      <w:r>
        <w:t xml:space="preserve"> </w:t>
      </w:r>
      <w:r>
        <w:rPr>
          <w:highlight w:val="yellow"/>
        </w:rPr>
        <w:t xml:space="preserve">doctor</w:t>
      </w:r>
      <w:r>
        <w:t xml:space="preserve"> </w:t>
      </w:r>
      <w:r>
        <w:rPr>
          <w:highlight w:val="yellow"/>
        </w:rPr>
        <w:t xml:space="preserve">credential,</w:t>
      </w:r>
      <w:r>
        <w:t xml:space="preserve"> </w:t>
      </w:r>
      <w:r>
        <w:rPr>
          <w:highlight w:val="yellow"/>
        </w:rPr>
        <w:t xml:space="preserve">which</w:t>
      </w:r>
      <w:r>
        <w:t xml:space="preserve"> in the </w:t>
      </w:r>
      <w:r>
        <w:rPr>
          <w:highlight w:val="yellow"/>
        </w:rPr>
        <w:t xml:space="preserve">prototype</w:t>
      </w:r>
      <w:r>
        <w:t xml:space="preserve"> </w:t>
      </w:r>
      <w:r>
        <w:rPr>
          <w:highlight w:val="yellow"/>
        </w:rPr>
        <w:t xml:space="preserve">is</w:t>
      </w:r>
      <w:r>
        <w:t xml:space="preserve"> </w:t>
      </w:r>
      <w:r>
        <w:rPr>
          <w:highlight w:val="yellow"/>
        </w:rPr>
        <w:t xml:space="preserve">issued by a demo issuer</w:t>
      </w:r>
      <w:r>
        <w:t xml:space="preserve">. An invalid or unauthorised doctor results in rejection of the consent request.</w:t>
      </w:r>
    </w:p>
    <w:p>
      <w:pPr>
        <w:pStyle w:val="a4"/>
      </w:pPr>
      <w:r>
        <w:rPr>
          <w:b/>
        </w:rPr>
        <w:t xml:space="preserve">Step 3 – Validate Guardian or Proxy Participants. </w:t>
      </w:r>
      <w:r>
        <w:t xml:space="preserve">If a guardian or proxy is specified, the system validates the guardian set G. Each guardian is checked to determine whether the individual or entity possesses the required authority to participate in consent-related decisions. </w:t>
      </w:r>
      <w:r>
        <w:rPr>
          <w:highlight w:val="yellow"/>
        </w:rPr>
        <w:t xml:space="preserve">In</w:t>
      </w:r>
      <w:r>
        <w:t xml:space="preserve"> the </w:t>
      </w:r>
      <w:r>
        <w:rPr>
          <w:highlight w:val="yellow"/>
        </w:rPr>
        <w:t xml:space="preserve">prototype, at least one guardian must be listed, and each guardian DID must hold a valid guardian credential or the specification is rejected</w:t>
      </w:r>
      <w:r>
        <w:t xml:space="preserve">.</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 xml:space="preserve">The requested data scope SC is validated to determine precisely which healthcare resources may be accessed under the consent. The scope </w:t>
      </w:r>
      <w:r>
        <w:rPr>
          <w:highlight w:val="yellow"/>
        </w:rPr>
        <w:t xml:space="preserve">is</w:t>
      </w:r>
      <w:r>
        <w:t xml:space="preserve"> </w:t>
      </w:r>
      <w:r>
        <w:rPr>
          <w:highlight w:val="yellow"/>
        </w:rPr>
        <w:t xml:space="preserve">a</w:t>
      </w:r>
      <w:r>
        <w:t xml:space="preserve"> </w:t>
      </w:r>
      <w:r>
        <w:rPr>
          <w:highlight w:val="yellow"/>
        </w:rPr>
        <w:t xml:space="preserve">set of</w:t>
      </w:r>
      <w:r>
        <w:t xml:space="preserve"> resource categories</w:t>
      </w:r>
      <w:r>
        <w:rPr>
          <w:highlight w:val="yellow"/>
        </w:rPr>
        <w:t xml:space="preserve">; in the prototype these are the modules Observation</w:t>
      </w:r>
      <w:r>
        <w:t xml:space="preserve">, </w:t>
      </w:r>
      <w:r>
        <w:rPr>
          <w:highlight w:val="yellow"/>
        </w:rPr>
        <w:t xml:space="preserve">Medication</w:t>
      </w:r>
      <w:r>
        <w:t xml:space="preserve">, </w:t>
      </w:r>
      <w:r>
        <w:rPr>
          <w:highlight w:val="yellow"/>
        </w:rPr>
        <w:t xml:space="preserve">Condition</w:t>
      </w:r>
      <w:r>
        <w:t xml:space="preserve"> </w:t>
      </w:r>
      <w:r>
        <w:rPr>
          <w:highlight w:val="yellow"/>
        </w:rPr>
        <w:t xml:space="preserve">and</w:t>
      </w:r>
      <w:r>
        <w:t xml:space="preserve"> </w:t>
      </w:r>
      <w:r>
        <w:rPr>
          <w:highlight w:val="yellow"/>
        </w:rPr>
        <w:t xml:space="preserve">Procedure</w:t>
      </w:r>
      <w:r>
        <w:t xml:space="preserve">. </w:t>
      </w:r>
      <w:r>
        <w:rPr>
          <w:highlight w:val="yellow"/>
        </w:rPr>
        <w:t xml:space="preserve">Following</w:t>
      </w:r>
      <w:r>
        <w:t xml:space="preserve"> the principle of least privilege</w:t>
      </w:r>
      <w:r>
        <w:rPr>
          <w:highlight w:val="yellow"/>
        </w:rPr>
        <w:t xml:space="preserve">,</w:t>
      </w:r>
      <w:r>
        <w:t xml:space="preserve"> </w:t>
      </w:r>
      <w:r>
        <w:rPr>
          <w:highlight w:val="yellow"/>
        </w:rPr>
        <w:t xml:space="preserve">a</w:t>
      </w:r>
      <w:r>
        <w:t xml:space="preserve"> consent </w:t>
      </w:r>
      <w:r>
        <w:rPr>
          <w:highlight w:val="yellow"/>
        </w:rPr>
        <w:t xml:space="preserve">names</w:t>
      </w:r>
      <w:r>
        <w:t xml:space="preserve"> </w:t>
      </w:r>
      <w:r>
        <w:rPr>
          <w:highlight w:val="yellow"/>
        </w:rPr>
        <w:t xml:space="preserve">the</w:t>
      </w:r>
      <w:r>
        <w:t xml:space="preserve"> data </w:t>
      </w:r>
      <w:r>
        <w:rPr>
          <w:highlight w:val="yellow"/>
        </w:rPr>
        <w:t xml:space="preserve">it covers</w:t>
      </w:r>
      <w:r>
        <w:t xml:space="preserve"> rather than the patient’s </w:t>
      </w:r>
      <w:r>
        <w:rPr>
          <w:highlight w:val="yellow"/>
        </w:rPr>
        <w:t xml:space="preserve">whole</w:t>
      </w:r>
      <w:r>
        <w:t xml:space="preserve"> record</w:t>
      </w:r>
      <w:r>
        <w:rPr>
          <w:highlight w:val="yellow"/>
        </w:rPr>
        <w:t xml:space="preserve">, and the scope must not be empty</w:t>
      </w:r>
      <w:r>
        <w:t xml:space="preserve">.</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 xml:space="preserve">After all input elements have been validated, the system defines the authorisation requirement A. </w:t>
      </w:r>
      <w:r>
        <w:rPr>
          <w:highlight w:val="yellow"/>
        </w:rPr>
        <w:t xml:space="preserve">The</w:t>
      </w:r>
      <w:r>
        <w:t xml:space="preserve"> requirement </w:t>
      </w:r>
      <w:r>
        <w:rPr>
          <w:highlight w:val="yellow"/>
        </w:rPr>
        <w:t xml:space="preserve">A names who must approve and</w:t>
      </w:r>
      <w:r>
        <w:t xml:space="preserve"> the </w:t>
      </w:r>
      <w:r>
        <w:rPr>
          <w:highlight w:val="yellow"/>
        </w:rPr>
        <w:t xml:space="preserve">threshold</w:t>
      </w:r>
      <w:r>
        <w:t xml:space="preserve"> </w:t>
      </w:r>
      <w:r>
        <w:rPr>
          <w:highlight w:val="yellow"/>
        </w:rPr>
        <w:t xml:space="preserve">their approvals</w:t>
      </w:r>
      <w:r>
        <w:t xml:space="preserve"> must </w:t>
      </w:r>
      <w:r>
        <w:rPr>
          <w:highlight w:val="yellow"/>
        </w:rPr>
        <w:t xml:space="preserve">reach;</w:t>
      </w:r>
      <w:r>
        <w:t xml:space="preserve"> </w:t>
      </w:r>
      <w:r>
        <w:rPr>
          <w:highlight w:val="yellow"/>
        </w:rPr>
        <w:t xml:space="preserve">it</w:t>
      </w:r>
      <w:r>
        <w:t xml:space="preserve"> </w:t>
      </w:r>
      <w:r>
        <w:rPr>
          <w:highlight w:val="yellow"/>
        </w:rPr>
        <w:t xml:space="preserve">is</w:t>
      </w:r>
      <w:r>
        <w:t xml:space="preserve"> </w:t>
      </w:r>
      <w:r>
        <w:rPr>
          <w:highlight w:val="yellow"/>
        </w:rPr>
        <w:t xml:space="preserve">what</w:t>
      </w:r>
      <w:r>
        <w:t xml:space="preserve"> </w:t>
      </w:r>
      <w:r>
        <w:rPr>
          <w:highlight w:val="yellow"/>
        </w:rPr>
        <w:t xml:space="preserve">VA(C)</w:t>
      </w:r>
      <w:r>
        <w:t xml:space="preserve"> </w:t>
      </w:r>
      <w:r>
        <w:rPr>
          <w:highlight w:val="yellow"/>
        </w:rPr>
        <w:t xml:space="preserve">later</w:t>
      </w:r>
      <w:r>
        <w:t xml:space="preserve"> </w:t>
      </w:r>
      <w:r>
        <w:rPr>
          <w:highlight w:val="yellow"/>
        </w:rPr>
        <w:t xml:space="preserve">evaluates</w:t>
      </w:r>
      <w:r>
        <w:t xml:space="preserve">. </w:t>
      </w:r>
      <w:r>
        <w:rPr>
          <w:highlight w:val="yellow"/>
        </w:rPr>
        <w:t xml:space="preserve">In</w:t>
      </w:r>
      <w:r>
        <w:t xml:space="preserve"> the </w:t>
      </w:r>
      <w:r>
        <w:rPr>
          <w:highlight w:val="yellow"/>
        </w:rPr>
        <w:t xml:space="preserve">prototype</w:t>
      </w:r>
      <w:r>
        <w:t xml:space="preserve">, A </w:t>
      </w:r>
      <w:r>
        <w:rPr>
          <w:highlight w:val="yellow"/>
        </w:rPr>
        <w:t xml:space="preserve">is</w:t>
      </w:r>
      <w:r>
        <w:t xml:space="preserve"> </w:t>
      </w:r>
      <w:r>
        <w:rPr>
          <w:highlight w:val="yellow"/>
        </w:rPr>
        <w:t xml:space="preserve">the</w:t>
      </w:r>
      <w:r>
        <w:t xml:space="preserve"> guardian </w:t>
      </w:r>
      <w:r>
        <w:rPr>
          <w:highlight w:val="yellow"/>
        </w:rPr>
        <w:t xml:space="preserve">set G with N set to the number of guardians</w:t>
      </w:r>
      <w:r>
        <w:t xml:space="preserve">, </w:t>
      </w:r>
      <w:r>
        <w:rPr>
          <w:highlight w:val="yellow"/>
        </w:rPr>
        <w:t xml:space="preserve">so</w:t>
      </w:r>
      <w:r>
        <w:t xml:space="preserve"> </w:t>
      </w:r>
      <w:r>
        <w:rPr>
          <w:highlight w:val="yellow"/>
        </w:rPr>
        <w:t xml:space="preserve">every</w:t>
      </w:r>
      <w:r>
        <w:t xml:space="preserve"> </w:t>
      </w:r>
      <w:r>
        <w:rPr>
          <w:highlight w:val="yellow"/>
        </w:rPr>
        <w:t xml:space="preserve">listed</w:t>
      </w:r>
      <w:r>
        <w:t xml:space="preserve"> </w:t>
      </w:r>
      <w:r>
        <w:rPr>
          <w:highlight w:val="yellow"/>
        </w:rPr>
        <w:t xml:space="preserve">guardian</w:t>
      </w:r>
      <w:r>
        <w:t xml:space="preserve"> </w:t>
      </w:r>
      <w:r>
        <w:rPr>
          <w:highlight w:val="yellow"/>
        </w:rPr>
        <w:t xml:space="preserve">must</w:t>
      </w:r>
      <w:r>
        <w:t xml:space="preserve"> </w:t>
      </w:r>
      <w:r>
        <w:rPr>
          <w:highlight w:val="yellow"/>
        </w:rPr>
        <w:t xml:space="preserve">sign</w:t>
      </w:r>
      <w:r>
        <w:t xml:space="preserve">.</w:t>
      </w:r>
    </w:p>
    <w:p>
      <w:pPr>
        <w:pStyle w:val="a4"/>
      </w:pPr>
      <w:r>
        <w:rPr>
          <w:b/>
        </w:rPr>
        <w:t xml:space="preserve">Step 8 – Generate a Unique Consent Identifier. </w:t>
      </w:r>
      <w:r>
        <w:t xml:space="preserve">The system generates a unique consent identifier idC. </w:t>
      </w:r>
      <w:r>
        <w:rPr>
          <w:highlight w:val="yellow"/>
        </w:rPr>
        <w:t xml:space="preserve">Every</w:t>
      </w:r>
      <w:r>
        <w:t xml:space="preserve"> </w:t>
      </w:r>
      <w:r>
        <w:rPr>
          <w:highlight w:val="yellow"/>
        </w:rPr>
        <w:t xml:space="preserve">later</w:t>
      </w:r>
      <w:r>
        <w:t xml:space="preserve"> </w:t>
      </w:r>
      <w:r>
        <w:rPr>
          <w:highlight w:val="yellow"/>
        </w:rPr>
        <w:t xml:space="preserve">step</w:t>
      </w:r>
      <w:r>
        <w:t xml:space="preserve"> </w:t>
      </w:r>
      <w:r>
        <w:rPr>
          <w:highlight w:val="yellow"/>
        </w:rPr>
        <w:t xml:space="preserve">refers</w:t>
      </w:r>
      <w:r>
        <w:t xml:space="preserve"> to the consent </w:t>
      </w:r>
      <w:r>
        <w:rPr>
          <w:highlight w:val="yellow"/>
        </w:rPr>
        <w:t xml:space="preserve">by</w:t>
      </w:r>
      <w:r>
        <w:t xml:space="preserve"> </w:t>
      </w:r>
      <w:r>
        <w:rPr>
          <w:highlight w:val="yellow"/>
        </w:rPr>
        <w:t xml:space="preserve">idC:</w:t>
      </w:r>
      <w:r>
        <w:t xml:space="preserve"> </w:t>
      </w:r>
      <w:r>
        <w:rPr>
          <w:highlight w:val="yellow"/>
        </w:rPr>
        <w:t xml:space="preserve">each</w:t>
      </w:r>
      <w:r>
        <w:t xml:space="preserve"> </w:t>
      </w:r>
      <w:r>
        <w:rPr>
          <w:highlight w:val="yellow"/>
        </w:rPr>
        <w:t xml:space="preserve">guardian</w:t>
      </w:r>
      <w:r>
        <w:t xml:space="preserve"> </w:t>
      </w:r>
      <w:r>
        <w:rPr>
          <w:highlight w:val="yellow"/>
        </w:rPr>
        <w:t xml:space="preserve">signature</w:t>
      </w:r>
      <w:r>
        <w:t xml:space="preserve"> </w:t>
      </w:r>
      <w:r>
        <w:rPr>
          <w:highlight w:val="yellow"/>
        </w:rPr>
        <w:t xml:space="preserve">is</w:t>
      </w:r>
      <w:r>
        <w:t xml:space="preserve"> </w:t>
      </w:r>
      <w:r>
        <w:rPr>
          <w:highlight w:val="yellow"/>
        </w:rPr>
        <w:t xml:space="preserve">bound</w:t>
      </w:r>
      <w:r>
        <w:t xml:space="preserve"> </w:t>
      </w:r>
      <w:r>
        <w:rPr>
          <w:highlight w:val="yellow"/>
        </w:rPr>
        <w:t xml:space="preserve">to</w:t>
      </w:r>
      <w:r>
        <w:t xml:space="preserve"> </w:t>
      </w:r>
      <w:r>
        <w:rPr>
          <w:highlight w:val="yellow"/>
        </w:rPr>
        <w:t xml:space="preserve">it</w:t>
      </w:r>
      <w:r>
        <w:t xml:space="preserve">, and </w:t>
      </w:r>
      <w:r>
        <w:rPr>
          <w:highlight w:val="yellow"/>
        </w:rPr>
        <w:t xml:space="preserve">the creation event is logged against it</w:t>
      </w:r>
      <w:r>
        <w:t xml:space="preserve">.</w:t>
      </w:r>
    </w:p>
    <w:p>
      <w:pPr>
        <w:pStyle w:val="a4"/>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 xml:space="preserve">and E represents the evidence associated with the consent decision.</w:t>
      </w:r>
    </w:p>
    <w:p>
      <w:pPr>
        <w:pStyle w:val="a4"/>
      </w:pPr>
      <w:r>
        <w:rPr>
          <w:b/>
        </w:rPr>
        <w:t xml:space="preserve">Step 10 – Persist the Consent Object. </w:t>
      </w:r>
      <w:r>
        <w:t xml:space="preserve">The constructed consent object C is persisted in the consent-management infrastructure. </w:t>
      </w:r>
      <w:r>
        <w:rPr>
          <w:highlight w:val="yellow"/>
        </w:rPr>
        <w:t xml:space="preserve">In</w:t>
      </w:r>
      <w:r>
        <w:t xml:space="preserve"> the </w:t>
      </w:r>
      <w:r>
        <w:rPr>
          <w:highlight w:val="yellow"/>
        </w:rPr>
        <w:t xml:space="preserve">prototype the store is the local SQLite database; the object is written there in the</w:t>
      </w:r>
      <w:r>
        <w:t xml:space="preserve"> state </w:t>
      </w:r>
      <w:r>
        <w:rPr>
          <w:highlight w:val="yellow"/>
        </w:rPr>
        <w:t xml:space="preserve">PENDING_SIGNATURE,</w:t>
      </w:r>
      <w:r>
        <w:t xml:space="preserve"> </w:t>
      </w:r>
      <w:r>
        <w:rPr>
          <w:highlight w:val="yellow"/>
        </w:rPr>
        <w:t xml:space="preserve">and</w:t>
      </w:r>
      <w:r>
        <w:t xml:space="preserve"> the </w:t>
      </w:r>
      <w:r>
        <w:rPr>
          <w:highlight w:val="yellow"/>
        </w:rPr>
        <w:t xml:space="preserve">later</w:t>
      </w:r>
      <w:r>
        <w:t xml:space="preserve"> authorisation </w:t>
      </w:r>
      <w:r>
        <w:rPr>
          <w:highlight w:val="yellow"/>
        </w:rPr>
        <w:t xml:space="preserve">checks read that stored copy</w:t>
      </w:r>
      <w:r>
        <w:t xml:space="preserve">.</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 xml:space="preserve">The procedure can be </w:t>
      </w:r>
      <w:r>
        <w:rPr>
          <w:highlight w:val="yellow"/>
        </w:rPr>
        <w:t xml:space="preserve">expressed</w:t>
      </w:r>
      <w:r>
        <w:t xml:space="preserve"> as </w:t>
      </w:r>
      <w:r>
        <w:rPr>
          <w:highlight w:val="yellow"/>
        </w:rPr>
        <w:t xml:space="preserve">the</w:t>
      </w:r>
      <w:r>
        <w:t xml:space="preserve"> </w:t>
      </w:r>
      <w:r>
        <w:rPr>
          <w:highlight w:val="yellow"/>
        </w:rPr>
        <w:t xml:space="preserve">following</w:t>
      </w:r>
      <w:r>
        <w:t xml:space="preserve"> trust establishment </w:t>
      </w:r>
      <w:r>
        <w:rPr>
          <w:highlight w:val="yellow"/>
        </w:rPr>
        <w:t xml:space="preserve">sequence:</w:t>
      </w:r>
      <w:r>
        <w:t xml:space="preserve"> Ip → D → G → Pu → SC → T → A → idC → C → E.</w:t>
      </w:r>
    </w:p>
    <w:p>
      <w:pPr/>
      <w:r>
        <w:rPr>
          <w:highlight w:val="yellow"/>
        </w:rPr>
        <w:t xml:space="preserve">A</w:t>
      </w:r>
      <w:r>
        <w:t xml:space="preserve"> </w:t>
      </w:r>
      <w:r>
        <w:rPr>
          <w:highlight w:val="yellow"/>
        </w:rPr>
        <w:t xml:space="preserve">failure</w:t>
      </w:r>
      <w:r>
        <w:t xml:space="preserve"> </w:t>
      </w:r>
      <w:r>
        <w:rPr>
          <w:highlight w:val="yellow"/>
        </w:rPr>
        <w:t xml:space="preserve">at</w:t>
      </w:r>
      <w:r>
        <w:t xml:space="preserve"> </w:t>
      </w:r>
      <w:r>
        <w:rPr>
          <w:highlight w:val="yellow"/>
        </w:rPr>
        <w:t xml:space="preserve">any validation step returns REJECT, so no</w:t>
      </w:r>
      <w:r>
        <w:t xml:space="preserve"> consent is </w:t>
      </w:r>
      <w:r>
        <w:rPr>
          <w:highlight w:val="yellow"/>
        </w:rPr>
        <w:t xml:space="preserve">stored</w:t>
      </w:r>
      <w:r>
        <w:t xml:space="preserve"> </w:t>
      </w:r>
      <w:r>
        <w:rPr>
          <w:highlight w:val="yellow"/>
        </w:rPr>
        <w:t xml:space="preserve">until</w:t>
      </w:r>
      <w:r>
        <w:t xml:space="preserve"> the identity, authority, purpose, scope, and temporal </w:t>
      </w:r>
      <w:r>
        <w:rPr>
          <w:highlight w:val="yellow"/>
        </w:rPr>
        <w:t xml:space="preserve">checks</w:t>
      </w:r>
      <w:r>
        <w:t xml:space="preserve"> have </w:t>
      </w:r>
      <w:r>
        <w:rPr>
          <w:highlight w:val="yellow"/>
        </w:rPr>
        <w:t xml:space="preserve">all</w:t>
      </w:r>
      <w:r>
        <w:t xml:space="preserve"> </w:t>
      </w:r>
      <w:r>
        <w:rPr>
          <w:highlight w:val="yellow"/>
        </w:rPr>
        <w:t xml:space="preserve">passed</w:t>
      </w:r>
      <w:r>
        <w:t xml:space="preserve">.</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w:t>
      </w:r>
      <w:r>
        <w:rPr>
          <w:highlight w:val="yellow"/>
        </w:rPr>
        <w:t xml:space="preserve">Its</w:t>
      </w:r>
      <w:r>
        <w:t xml:space="preserve"> </w:t>
      </w:r>
      <w:r>
        <w:rPr>
          <w:highlight w:val="yellow"/>
        </w:rPr>
        <w:t xml:space="preserve">output</w:t>
      </w:r>
      <w:r>
        <w:t xml:space="preserve"> </w:t>
      </w:r>
      <w:r>
        <w:rPr>
          <w:highlight w:val="yellow"/>
        </w:rPr>
        <w:t xml:space="preserve">is the object C; whether</w:t>
      </w:r>
      <w:r>
        <w:t xml:space="preserve"> a </w:t>
      </w:r>
      <w:r>
        <w:rPr>
          <w:highlight w:val="yellow"/>
        </w:rPr>
        <w:t xml:space="preserve">request</w:t>
      </w:r>
      <w:r>
        <w:t xml:space="preserve"> </w:t>
      </w:r>
      <w:r>
        <w:rPr>
          <w:highlight w:val="yellow"/>
        </w:rPr>
        <w:t xml:space="preserve">is allowed is decided later, against</w:t>
      </w:r>
      <w:r>
        <w:t xml:space="preserve"> that </w:t>
      </w:r>
      <w:r>
        <w:rPr>
          <w:highlight w:val="yellow"/>
        </w:rPr>
        <w:t xml:space="preserve">object</w:t>
      </w:r>
      <w:r>
        <w:t xml:space="preserve">.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w:t>
      </w:r>
    </w:p>
    <w:p>
      <w:pPr>
        <w:pStyle w:val="2"/>
        <w:keepNext/>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t>as qualified in Chapter 6</w:t>
      </w:r>
      <w:r>
        <w:t xml:space="preserve">. The validation evidence for consent creation, including the demonstration scenarios and the unit-level tests, </w:t>
      </w:r>
      <w:r>
        <w:t>is presented in Section 5.9.</w:t>
      </w:r>
    </w:p>
    <w:p>
      <w:pPr>
        <w:pStyle w:val="3"/>
        <w:keepNext/>
      </w:pPr>
      <w:r>
        <w:t>5.6.1 Aims of Engineering the Prototype System</w:t>
      </w:r>
    </w:p>
    <w:p>
      <w:pPr/>
      <w:r>
        <w:t xml:space="preserve">The </w:t>
      </w:r>
      <w:r>
        <w:rPr>
          <w:highlight w:val="yellow"/>
        </w:rPr>
        <w:t xml:space="preserve">main</w:t>
      </w:r>
      <w:r>
        <w:t xml:space="preserve"> </w:t>
      </w:r>
      <w:r>
        <w:rPr>
          <w:highlight w:val="yellow"/>
        </w:rPr>
        <w:t xml:space="preserve">purpose</w:t>
      </w:r>
      <w:r>
        <w:t xml:space="preserve"> of the prototype was to simulate the </w:t>
      </w:r>
      <w:r>
        <w:rPr>
          <w:highlight w:val="yellow"/>
        </w:rPr>
        <w:t xml:space="preserve">operation</w:t>
      </w:r>
      <w:r>
        <w:t xml:space="preserve"> of the HALAH framework, in which patient consent is created as an evaluable object and every access request is evaluated against it. In this </w:t>
      </w:r>
      <w:r>
        <w:rPr>
          <w:highlight w:val="yellow"/>
        </w:rPr>
        <w:t xml:space="preserve">chapter</w:t>
      </w:r>
      <w:r>
        <w:t xml:space="preserve"> </w:t>
      </w:r>
      <w:r>
        <w:rPr>
          <w:highlight w:val="yellow"/>
        </w:rPr>
        <w:t xml:space="preserve">we</w:t>
      </w:r>
      <w:r>
        <w:t xml:space="preserve"> use the prototype to </w:t>
      </w:r>
      <w:r>
        <w:rPr>
          <w:highlight w:val="yellow"/>
        </w:rPr>
        <w:t xml:space="preserve">check</w:t>
      </w:r>
      <w:r>
        <w:t xml:space="preserve"> </w:t>
      </w:r>
      <w:r>
        <w:rPr>
          <w:highlight w:val="yellow"/>
        </w:rPr>
        <w:t xml:space="preserve">two</w:t>
      </w:r>
      <w:r>
        <w:t xml:space="preserve"> </w:t>
      </w:r>
      <w:r>
        <w:rPr>
          <w:highlight w:val="yellow"/>
        </w:rPr>
        <w:t xml:space="preserve">things</w:t>
      </w:r>
      <w:r>
        <w:t xml:space="preserve"> </w:t>
      </w:r>
      <w:r>
        <w:rPr>
          <w:highlight w:val="yellow"/>
        </w:rPr>
        <w:t xml:space="preserve">about</w:t>
      </w:r>
      <w:r>
        <w:t xml:space="preserve"> the consent model </w:t>
      </w:r>
      <w:r>
        <w:rPr>
          <w:highlight w:val="yellow"/>
        </w:rPr>
        <w:t xml:space="preserve">of</w:t>
      </w:r>
      <w:r>
        <w:t xml:space="preserve"> Section 5.5: </w:t>
      </w:r>
      <w:r>
        <w:rPr>
          <w:highlight w:val="yellow"/>
        </w:rPr>
        <w:t xml:space="preserve">that </w:t>
      </w:r>
      <w:r>
        <w:t xml:space="preserve">a patient </w:t>
      </w:r>
      <w:r>
        <w:rPr>
          <w:highlight w:val="yellow"/>
        </w:rPr>
        <w:t xml:space="preserve">can</w:t>
      </w:r>
      <w:r>
        <w:t xml:space="preserve"> create the object C = (I, A, P, T, L, E) through an interface, and </w:t>
      </w:r>
      <w:r>
        <w:rPr>
          <w:highlight w:val="yellow"/>
        </w:rPr>
        <w:t xml:space="preserve">that </w:t>
      </w:r>
      <w:r>
        <w:t xml:space="preserve">the object </w:t>
      </w:r>
      <w:r>
        <w:rPr>
          <w:highlight w:val="yellow"/>
        </w:rPr>
        <w:t xml:space="preserve">carries</w:t>
      </w:r>
      <w:r>
        <w:t xml:space="preserve"> every component that the later checks need. For validating the other objectives of this thesis, we have extended the same prototype (see Chapters 6 to 9).</w:t>
      </w:r>
    </w:p>
    <w:p>
      <w:pPr/>
      <w:r>
        <w:t xml:space="preserve">As discussed in Chapter 2, one of the major challenges of consent management in healthcare is that a stored record of permission does not establish who may act on it, whether every required party agreed, or whether a request stays within the purpose and the data scope that the patient set. With our framework, the consent object carries these conditions, and the prototype makes the design testable: the </w:t>
      </w:r>
      <w:r>
        <w:rPr>
          <w:highlight w:val="yellow"/>
        </w:rPr>
        <w:t xml:space="preserve">automated tests call the </w:t>
      </w:r>
      <w:r>
        <w:t xml:space="preserve">same code </w:t>
      </w:r>
      <w:r>
        <w:rPr>
          <w:highlight w:val="yellow"/>
        </w:rPr>
        <w:t xml:space="preserve">as</w:t>
      </w:r>
      <w:r>
        <w:t xml:space="preserve"> the interface </w:t>
      </w:r>
      <w:r>
        <w:rPr>
          <w:highlight w:val="yellow"/>
        </w:rPr>
        <w:t xml:space="preserve">and</w:t>
      </w:r>
      <w:r>
        <w:t xml:space="preserve"> </w:t>
      </w:r>
      <w:r>
        <w:rPr>
          <w:highlight w:val="yellow"/>
        </w:rPr>
        <w:t xml:space="preserve">can</w:t>
      </w:r>
      <w:r>
        <w:t xml:space="preserve"> </w:t>
      </w:r>
      <w:r>
        <w:rPr>
          <w:highlight w:val="yellow"/>
        </w:rPr>
        <w:t xml:space="preserve">challenge the checks enforced</w:t>
      </w:r>
      <w:r>
        <w:t xml:space="preserve"> by the interface directly at the service level</w:t>
      </w:r>
      <w:r>
        <w:rPr>
          <w:highlight w:val="yellow"/>
        </w:rPr>
        <w:t xml:space="preserve">.</w:t>
      </w:r>
      <w:r>
        <w:t xml:space="preserve"> </w:t>
      </w:r>
      <w:r>
        <w:rPr>
          <w:highlight w:val="yellow"/>
        </w:rPr>
        <w:t xml:space="preserve">This</w:t>
      </w:r>
      <w:r>
        <w:t xml:space="preserve"> </w:t>
      </w:r>
      <w:r>
        <w:rPr>
          <w:highlight w:val="yellow"/>
        </w:rPr>
        <w:t xml:space="preserve">testing</w:t>
      </w:r>
      <w:r>
        <w:t xml:space="preserve"> </w:t>
      </w:r>
      <w:r>
        <w:rPr>
          <w:highlight w:val="yellow"/>
        </w:rPr>
        <w:t xml:space="preserve">exposed</w:t>
      </w:r>
      <w:r>
        <w:t xml:space="preserve"> the gaps </w:t>
      </w:r>
      <w:r>
        <w:rPr>
          <w:highlight w:val="yellow"/>
        </w:rPr>
        <w:t xml:space="preserve">addressed</w:t>
      </w:r>
      <w:r>
        <w:t xml:space="preserve"> by the hardening of 1 October 2026. The prototype also produces evidence: every creation, approval, decision and revocation is written to the audit ledger, so the claims of this and the following chapters can be traced to recorded events rather than to screenshots alone.</w:t>
      </w:r>
    </w:p>
    <w:p>
      <w:pPr/>
      <w:r>
        <w:t xml:space="preserve">We used the Ethereum test network Sepolia as the computing platform for the on-chain part of the prototype, and Solidity as its programming language (Ethereum Foundation 2026a). Sepolia was chosen because it runs the same virtual machine as the Ethereum main network, so the contract </w:t>
      </w:r>
      <w:r>
        <w:rPr>
          <w:highlight w:val="yellow"/>
        </w:rPr>
        <w:t xml:space="preserve">executes</w:t>
      </w:r>
      <w:r>
        <w:t xml:space="preserve"> as </w:t>
      </w:r>
      <w:r>
        <w:rPr>
          <w:highlight w:val="yellow"/>
        </w:rPr>
        <w:t xml:space="preserve">it</w:t>
      </w:r>
      <w:r>
        <w:t xml:space="preserve"> would </w:t>
      </w:r>
      <w:r>
        <w:rPr>
          <w:highlight w:val="yellow"/>
        </w:rPr>
        <w:t xml:space="preserve">on</w:t>
      </w:r>
      <w:r>
        <w:t xml:space="preserve"> </w:t>
      </w:r>
      <w:r>
        <w:rPr>
          <w:highlight w:val="yellow"/>
        </w:rPr>
        <w:t xml:space="preserve">the main network</w:t>
      </w:r>
      <w:r>
        <w:t xml:space="preserve">, while its ether has no monetary value, which allowed the mint and revoke transactions to be repeated during development. The prototype is </w:t>
      </w:r>
      <w:r>
        <w:rPr>
          <w:highlight w:val="yellow"/>
        </w:rPr>
        <w:t xml:space="preserve">built</w:t>
      </w:r>
      <w:r>
        <w:t xml:space="preserve"> to validate the design</w:t>
      </w:r>
      <w:r>
        <w:rPr>
          <w:highlight w:val="yellow"/>
        </w:rPr>
        <w:t xml:space="preserve">, not to run in production: its Controller is a single trusted server, as Section 5</w:t>
      </w:r>
      <w:r>
        <w:t xml:space="preserve">.</w:t>
      </w:r>
      <w:r>
        <w:rPr>
          <w:highlight w:val="yellow"/>
        </w:rPr>
        <w:t xml:space="preserve">3 states.</w:t>
      </w:r>
    </w:p>
    <w:p>
      <w:pPr>
        <w:pStyle w:val="2"/>
        <w:keepNext/>
      </w:pPr>
      <w:r>
        <w:t>5.7 Datasets Used for Validation</w:t>
      </w:r>
    </w:p>
    <w:p w14:paraId="012CE1B9" w14:textId="77777777" w:rsidR="009262C4" w:rsidRDefault="00000000">
      <w:pPr>
        <w:spacing w:after="110" w:line="264" w:lineRule="auto"/>
        <w:jc w:val="both"/>
      </w:pPr>
      <w:r>
        <w:t xml:space="preserve">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sample is public </w:t>
      </w:r>
      <w:r>
        <w:rPr>
          <w:highlight w:val="yellow"/>
        </w:rPr>
        <w:t xml:space="preserve">and</w:t>
      </w:r>
      <w:r>
        <w:rPr/>
        <w:t xml:space="preserve"> </w:t>
      </w:r>
      <w:r>
        <w:rPr>
          <w:highlight w:val="yellow"/>
        </w:rPr>
        <w:t xml:space="preserve">contains</w:t>
      </w:r>
      <w:r>
        <w:rPr/>
        <w:t xml:space="preserve"> 1,000 simulated patient records, </w:t>
      </w:r>
      <w:r>
        <w:rPr>
          <w:highlight w:val="yellow"/>
        </w:rPr>
        <w:t xml:space="preserve">covering</w:t>
      </w:r>
      <w:r>
        <w:rPr/>
        <w:t xml:space="preserve"> demographics, medical conditions, medications and procedures.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xml:space="preserve">. The authorisation decisions do not depend on the clinical content, and no medical content is written to the chain. The records are not changed. The only step is the selection of the subset loaded </w:t>
      </w:r>
      <w:r>
        <w:rPr>
          <w:highlight w:val="yellow"/>
        </w:rPr>
        <w:t xml:space="preserve">by</w:t>
      </w:r>
      <w:r>
        <w:t xml:space="preserve"> the prototype.</w:t>
      </w:r>
    </w:p>
    <w:p>
      <w:pPr/>
      <w:r>
        <w:t>Table 5.3 shows the Synthea tables loaded by the prototype, the number of records in the loaded subset, and the consent module that each table supplies. The patient DID of the prototype is derived from the Synthea patient identifier, and the records of a patient are selected by that identifier when a consent authorises the module.</w:t>
      </w:r>
    </w:p>
    <w:p>
      <w:pPr>
        <w:keepNext/>
        <w:spacing w:before="160" w:after="160"/>
        <w:jc w:val="center"/>
      </w:pPr>
      <w:r>
        <w:rPr>
          <w:sz w:val="20"/>
        </w:rPr>
        <w:t>Table 5.3: Synthea tables loaded by the prototype and the consent module supplied by each</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814"/>
        <w:gridCol w:w="1814"/>
        <w:gridCol w:w="2494"/>
        <w:gridCol w:w="2381"/>
      </w:tblGrid>
      <w:tr>
        <w:trPr>
          <w:tblHeader/>
          <w:cantSplit/>
        </w:trPr>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Synthea table</w:t>
            </w:r>
          </w:p>
        </w:tc>
        <w:tc>
          <w:tcPr>
            <w:tcW w:type="dxa" w:w="181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Records in the loaded subset</w:t>
            </w:r>
          </w:p>
        </w:tc>
        <w:tc>
          <w:tcPr>
            <w:tcW w:type="dxa" w:w="2494"/>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Record selected by</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Consent module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113</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 (the source of the patient DID)</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 identity in the patient interface</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4,428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Observation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2,931</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Medication</w:t>
            </w:r>
          </w:p>
        </w:tc>
      </w:tr>
      <w:tr>
        <w:trPr>
          <w:cantSplit/>
        </w:trPr>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conditions.csv</w:t>
            </w:r>
          </w:p>
        </w:tc>
        <w:tc>
          <w:tcPr>
            <w:tcW w:type="dxa" w:w="181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4,748</w:t>
            </w:r>
          </w:p>
        </w:tc>
        <w:tc>
          <w:tcPr>
            <w:tcW w:type="dxa" w:w="2494"/>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Condition</w:t>
            </w:r>
          </w:p>
        </w:tc>
      </w:tr>
      <w:tr>
        <w:trPr>
          <w:cantSplit/>
        </w:trPr>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procedures.csv</w:t>
            </w:r>
          </w:p>
        </w:tc>
        <w:tc>
          <w:tcPr>
            <w:tcW w:type="dxa" w:w="181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4,237</w:t>
            </w:r>
          </w:p>
        </w:tc>
        <w:tc>
          <w:tcPr>
            <w:tcW w:type="dxa" w:w="2494"/>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PATIENT</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Procedure</w:t>
            </w:r>
          </w:p>
        </w:tc>
      </w:tr>
    </w:tbl>
    <w:p>
      <w:pPr>
        <w:pStyle w:val="2"/>
        <w:keepNext/>
      </w:pPr>
      <w:r>
        <w:t>5.8 Steps in the Working of the Prototype System for Consent Creation</w:t>
      </w:r>
    </w:p>
    <w:p>
      <w:pPr/>
      <w:r>
        <w:t xml:space="preserve">In order to create a consent, the HALAH prototype </w:t>
      </w:r>
      <w:r>
        <w:rPr>
          <w:highlight w:val="yellow"/>
        </w:rPr>
        <w:t xml:space="preserve">operates</w:t>
      </w:r>
      <w:r>
        <w:t xml:space="preserve"> at two levels</w:t>
      </w:r>
      <w:r>
        <w:rPr>
          <w:highlight w:val="yellow"/>
        </w:rPr>
        <w:t xml:space="preserve">:</w:t>
      </w:r>
      <w:r>
        <w:t xml:space="preserve"> the patient interface and the service layer. In the patient interface, the consent specification is entered and checked. In the service layer, the consent object is constructed, stored and recorded in the audit ledger. The steps at both levels follow Algorithm 1 and are explained below in Section 5.8.1 and Section 5.8.2 respectively, and Figure 5.7 shows the patient interface after a consent has been created.</w:t>
      </w:r>
    </w:p>
    <w:p>
      <w:pPr>
        <w:pStyle w:val="3"/>
        <w:keepNext/>
      </w:pPr>
      <w:r>
        <w:t>5.8.1 Steps in the patient interface</w:t>
      </w:r>
    </w:p>
    <w:p>
      <w:pPr/>
      <w:r>
        <w:t>1. The patient selects the role Patient and their own DID, which the prototype loads from the record set.</w:t>
      </w:r>
    </w:p>
    <w:p>
      <w:pPr/>
      <w:r>
        <w:t>2. The patient enters the DID of the authorised doctor and the DIDs of the guardians, separated by commas.</w:t>
      </w:r>
    </w:p>
    <w:p>
      <w:pPr/>
      <w:r>
        <w:t>3. The patient selects the data modules from Observation, Medication, Condition and Procedure, and sets the start and expiry times.</w:t>
      </w:r>
    </w:p>
    <w:p>
      <w:pPr/>
      <w:r>
        <w:t>4. The patient presses Initial Consent. The prototype checks that at least one guardian is listed,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pStyle w:val="3"/>
        <w:keepNext/>
      </w:pPr>
      <w:r>
        <w:t>5.8.2 Steps in the service layer</w:t>
      </w:r>
    </w:p>
    <w:p>
      <w:pPr/>
      <w:r>
        <w:t>5. If every check passes, the service layer assigns the consent identifier, stores the object in the state PENDING_SIGNATURE with N set to the number of guardians, writes the CREATE_CONSENT event to the audit ledger, and returns the identifier to the interface, which shows it to the patient.</w:t>
      </w:r>
    </w:p>
    <w:p>
      <w:pPr/>
      <w: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4" name="Picture 2086885384"/>
            <wp:cNvGraphicFramePr>
              <a:graphicFrameLocks noChangeAspect="1"/>
            </wp:cNvGraphicFramePr>
            <a:graphic>
              <a:graphicData uri="http://schemas.openxmlformats.org/drawingml/2006/picture">
                <pic:pic>
                  <pic:nvPicPr>
                    <pic:cNvPr id="0" name="ch5_consent_created.png"/>
                    <pic:cNvPicPr/>
                  </pic:nvPicPr>
                  <pic:blipFill>
                    <a:blip r:embed="rId38"/>
                    <a:stretch>
                      <a:fillRect/>
                    </a:stretch>
                  </pic:blipFill>
                  <pic:spPr>
                    <a:xfrm>
                      <a:off x="0" y="0"/>
                      <a:ext cx="4860000" cy="3645000"/>
                    </a:xfrm>
                    <a:prstGeom prst="rect"/>
                  </pic:spPr>
                </pic:pic>
              </a:graphicData>
            </a:graphic>
          </wp:inline>
        </w:drawing>
      </w:r>
    </w:p>
    <w:p>
      <w:pPr>
        <w:spacing w:before="160" w:after="160"/>
        <w:jc w:val="center"/>
      </w:pPr>
      <w:r>
        <w:rPr>
          <w:sz w:val="20"/>
        </w:rPr>
        <w:t>Figure 5.7: The patient interface of the HALAH prototype after a consent has been created.</w:t>
      </w:r>
    </w:p>
    <w:p>
      <w:pPr>
        <w:pStyle w:val="2"/>
        <w:keepNext/>
      </w:pPr>
      <w:r>
        <w:t>5.9 Prototype Evaluation and Discussion</w:t>
      </w:r>
    </w:p>
    <w:p>
      <w:pPr/>
      <w:r>
        <w:t xml:space="preserve">Objective one involves the representation of patient consent as an evaluable authorisation object. The </w:t>
      </w:r>
      <w:r>
        <w:rPr>
          <w:highlight w:val="yellow"/>
        </w:rPr>
        <w:t xml:space="preserve">output</w:t>
      </w:r>
      <w:r>
        <w:t xml:space="preserve"> of RO1 is the conceptual model </w:t>
      </w:r>
      <w:r>
        <w:rPr>
          <w:highlight w:val="yellow"/>
        </w:rPr>
        <w:t xml:space="preserve">presented in</w:t>
      </w:r>
      <w:r>
        <w:t xml:space="preserve"> Sections 5.2 to 5.5, </w:t>
      </w:r>
      <w:r>
        <w:rPr>
          <w:highlight w:val="yellow"/>
        </w:rPr>
        <w:t xml:space="preserve">rather than</w:t>
      </w:r>
      <w:r>
        <w:t xml:space="preserve"> a set of measurements. The prototype results reported in this section show only that the model can be realised and behaves as specified, so they are reported as outcomes, created or rejected, rather than as numbers; the quantitative evaluation of the complete framework is given in Chapter 10. The results of the validation carried out for this objective are shown in Figure 5.8 and Table 5.4, and the security properties of the architecture are examined in Table 5.5. 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keepNext/>
      </w:pPr>
      <w:r>
        <w:t>5.9.1 Validation of Consent Creation</w:t>
      </w:r>
    </w:p>
    <w:p>
      <w:pPr/>
      <w:r>
        <w:t xml:space="preserve">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w:t>
      </w:r>
      <w:r>
        <w:rPr>
          <w:highlight w:val="yellow"/>
        </w:rPr>
        <w:t xml:space="preserve">Both</w:t>
      </w:r>
      <w:r>
        <w:t xml:space="preserve"> </w:t>
      </w:r>
      <w:r>
        <w:rPr>
          <w:highlight w:val="yellow"/>
        </w:rPr>
        <w:t xml:space="preserve">consents</w:t>
      </w:r>
      <w:r>
        <w:t xml:space="preserve"> </w:t>
      </w:r>
      <w:r>
        <w:rPr>
          <w:highlight w:val="yellow"/>
        </w:rPr>
        <w:t xml:space="preserve">then</w:t>
      </w:r>
      <w:r>
        <w:t xml:space="preserve"> </w:t>
      </w:r>
      <w:r>
        <w:rPr>
          <w:highlight w:val="yellow"/>
        </w:rPr>
        <w:t xml:space="preserve">went</w:t>
      </w:r>
      <w:r>
        <w:t xml:space="preserve"> </w:t>
      </w:r>
      <w:r>
        <w:rPr>
          <w:highlight w:val="yellow"/>
        </w:rPr>
        <w:t xml:space="preserve">through</w:t>
      </w:r>
      <w:r>
        <w:t xml:space="preserve"> the guardian approvals and the access decisions reported in the later chapters, </w:t>
      </w:r>
      <w:r>
        <w:rPr>
          <w:highlight w:val="yellow"/>
        </w:rPr>
        <w:t xml:space="preserve">so</w:t>
      </w:r>
      <w:r>
        <w:t xml:space="preserve"> </w:t>
      </w:r>
      <w:r>
        <w:rPr>
          <w:highlight w:val="yellow"/>
        </w:rPr>
        <w:t xml:space="preserve">in</w:t>
      </w:r>
      <w:r>
        <w:t xml:space="preserve"> </w:t>
      </w:r>
      <w:r>
        <w:rPr>
          <w:highlight w:val="yellow"/>
        </w:rPr>
        <w:t xml:space="preserve">these</w:t>
      </w:r>
      <w:r>
        <w:t xml:space="preserve"> </w:t>
      </w:r>
      <w:r>
        <w:rPr>
          <w:highlight w:val="yellow"/>
        </w:rPr>
        <w:t xml:space="preserve">two</w:t>
      </w:r>
      <w:r>
        <w:t xml:space="preserve"> </w:t>
      </w:r>
      <w:r>
        <w:rPr>
          <w:highlight w:val="yellow"/>
        </w:rPr>
        <w:t xml:space="preserve">cases</w:t>
      </w:r>
      <w:r>
        <w:t xml:space="preserve"> the later checks </w:t>
      </w:r>
      <w:r>
        <w:rPr>
          <w:highlight w:val="yellow"/>
        </w:rPr>
        <w:t xml:space="preserve">could be run on each created object; the evidence for each component separately is given in Table 5</w:t>
      </w:r>
      <w:r>
        <w:t xml:space="preserve">.</w:t>
      </w:r>
      <w:r>
        <w:rPr>
          <w:highlight w:val="yellow"/>
        </w:rPr>
        <w:t xml:space="preserve">4.</w:t>
      </w:r>
    </w:p>
    <w:p>
      <w:pPr/>
      <w: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t xml:space="preserve">Automated tests. Two tests cover consent creation. The test test_patient_form_checks_the_doctor_and_the_guardians drives the patient form itself: it submits a </w:t>
      </w:r>
      <w:r>
        <w:rPr>
          <w:highlight w:val="yellow"/>
        </w:rPr>
        <w:t xml:space="preserve">doctor DID without a valid</w:t>
      </w:r>
      <w:r>
        <w:t xml:space="preserve"> doctor </w:t>
      </w:r>
      <w:r>
        <w:rPr>
          <w:highlight w:val="yellow"/>
        </w:rPr>
        <w:t xml:space="preserve">credential</w:t>
      </w:r>
      <w:r>
        <w:t xml:space="preserve">, a guardian without a credential and a duplicate guardian, and asserts that each is refused with the </w:t>
      </w:r>
      <w:r>
        <w:rPr>
          <w:highlight w:val="yellow"/>
        </w:rPr>
        <w:t xml:space="preserve">expected error</w:t>
      </w:r>
      <w:r>
        <w:t xml:space="preserve"> message, then submits a valid specification and asserts that the consent is created and logged. The test test_consent_persists_across_reload stores a consent, adds an approval, reloads the store from disk and asserts that the stored </w:t>
      </w:r>
      <w:r>
        <w:rPr>
          <w:highlight w:val="yellow"/>
        </w:rPr>
        <w:t xml:space="preserve">approval</w:t>
      </w:r>
      <w:r>
        <w:t xml:space="preserve"> is unchanged. </w:t>
      </w:r>
      <w:r>
        <w:rPr>
          <w:highlight w:val="yellow"/>
        </w:rPr>
        <w:t xml:space="preserve">Both</w:t>
      </w:r>
      <w:r>
        <w:t xml:space="preserve"> tests pass in the suite of 46 reported in Chapter 10.</w:t>
      </w:r>
    </w:p>
    <w:p>
      <w:pPr>
        <w:jc w:val="center"/>
      </w:pPr>
      <w:r>
        <w:drawing>
          <wp:inline xmlns:a="http://schemas.openxmlformats.org/drawingml/2006/main" xmlns:pic="http://schemas.openxmlformats.org/drawingml/2006/picture">
            <wp:extent cx="4860000" cy="2930294"/>
            <wp:docPr id="2086885385" name="Picture 2086885385"/>
            <wp:cNvGraphicFramePr>
              <a:graphicFrameLocks noChangeAspect="1"/>
            </wp:cNvGraphicFramePr>
            <a:graphic>
              <a:graphicData uri="http://schemas.openxmlformats.org/drawingml/2006/picture">
                <pic:pic>
                  <pic:nvPicPr>
                    <pic:cNvPr id="0" name="ch5_duplicate_guardian.png"/>
                    <pic:cNvPicPr/>
                  </pic:nvPicPr>
                  <pic:blipFill>
                    <a:blip r:embed="rId39"/>
                    <a:stretch>
                      <a:fillRect/>
                    </a:stretch>
                  </pic:blipFill>
                  <pic:spPr>
                    <a:xfrm>
                      <a:off x="0" y="0"/>
                      <a:ext cx="4860000" cy="2930294"/>
                    </a:xfrm>
                    <a:prstGeom prst="rect"/>
                  </pic:spPr>
                </pic:pic>
              </a:graphicData>
            </a:graphic>
          </wp:inline>
        </w:drawing>
      </w:r>
    </w:p>
    <w:p>
      <w:pPr>
        <w:spacing w:before="160" w:after="160"/>
        <w:jc w:val="center"/>
      </w:pPr>
      <w:r>
        <w:rPr>
          <w:sz w:val="20"/>
        </w:rPr>
        <w:t>Figure 5.8: A specification that names the same guardian twice is rejected by Algorithm 1 before any consent is stored.</w:t>
      </w:r>
    </w:p>
    <w:p>
      <w:pPr/>
      <w:r>
        <w:t>Table 5.4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sz w:val="20"/>
        </w:rPr>
        <w:t>Table 5.4: Validation results of the prototype for consent creation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Component</w:t>
            </w:r>
          </w:p>
        </w:tc>
        <w:tc>
          <w:tcPr>
            <w:tcW w:type="dxa" w:w="238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Check at creation (Algorithm 1)</w:t>
            </w:r>
          </w:p>
        </w:tc>
        <w:tc>
          <w:tcPr>
            <w:tcW w:type="dxa" w:w="2835"/>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Evidence</w:t>
            </w:r>
          </w:p>
        </w:tc>
        <w:tc>
          <w:tcPr>
            <w:tcW w:type="dxa" w:w="175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Result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  Identity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1 to 3: the patient identity, the authorised doctor DID holding a valid doctor credential, and each guardian DID holding a valid guardian credential.</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Identifiers without a valid credential rejected before anything is stored; valid identifiers holding valid credentials accepted.</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Authorisation</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3 and 7: the guardian set G, and the threshold N derived from it as |G|; no guardian may appear twice.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 specification naming the same guardian twice was rejected (Figure 5.8). Scenario 1 of 24 September 2026 created consent f050c29a with the two guardians did:parent:A and did:parent:B.</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Duplicate guardian rejected; consent created with N set to the number of guardians.</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  Policy</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4 and 5: the purpose and the data scope; the data scope must not be empty.</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the four data modules and the purpose Treatment; the purpose vocabulary check is exercised by the automated tests.</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Empty scope rejected; purpose and scope recorded in the consent object.</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  Time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 6: the validity interval T = (ts, te); the expiry time must be later than the start time.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Scenario 1 recorded a validity window ending on 31 December 2026</w:t>
            </w:r>
            <w:r>
              <w:rPr>
                <w:rFonts w:ascii="Palatino Linotype" w:hAnsi="Palatino Linotype" w:cs="Palatino Linotype"/>
                <w:color w:val="000000"/>
                <w:sz w:val="20"/>
                <w:highlight w:val="yellow"/>
              </w:rPr>
              <w:t xml:space="preserve">.</w:t>
            </w:r>
            <w:r>
              <w:rPr>
                <w:rFonts w:ascii="Palatino Linotype" w:hAnsi="Palatino Linotype" w:cs="Palatino Linotype"/>
                <w:color w:val="000000"/>
                <w:sz w:val="20"/>
              </w:rPr>
              <w:t xml:space="preserve"> </w:t>
            </w:r>
            <w:r>
              <w:rPr>
                <w:rFonts w:ascii="Palatino Linotype" w:hAnsi="Palatino Linotype" w:cs="Palatino Linotype"/>
                <w:color w:val="000000"/>
                <w:sz w:val="20"/>
                <w:highlight w:val="yellow"/>
              </w:rPr>
              <w:t xml:space="preserve">The</w:t>
            </w:r>
            <w:r>
              <w:rPr>
                <w:rFonts w:ascii="Palatino Linotype" w:hAnsi="Palatino Linotype" w:cs="Palatino Linotype"/>
                <w:color w:val="000000"/>
                <w:sz w:val="20"/>
              </w:rPr>
              <w:t xml:space="preserve"> prototype </w:t>
            </w:r>
            <w:r>
              <w:rPr>
                <w:rFonts w:ascii="Palatino Linotype" w:hAnsi="Palatino Linotype" w:cs="Palatino Linotype"/>
                <w:color w:val="000000"/>
                <w:sz w:val="20"/>
                <w:highlight w:val="yellow"/>
              </w:rPr>
              <w:t xml:space="preserve">rejects</w:t>
            </w:r>
            <w:r>
              <w:rPr>
                <w:rFonts w:ascii="Palatino Linotype" w:hAnsi="Palatino Linotype" w:cs="Palatino Linotype"/>
                <w:color w:val="000000"/>
                <w:sz w:val="20"/>
              </w:rPr>
              <w:t xml:space="preserve"> an expiry time that is </w:t>
            </w:r>
            <w:r>
              <w:rPr>
                <w:rFonts w:ascii="Palatino Linotype" w:hAnsi="Palatino Linotype" w:cs="Palatino Linotype"/>
                <w:color w:val="000000"/>
                <w:sz w:val="20"/>
                <w:highlight w:val="yellow"/>
              </w:rPr>
              <w:t xml:space="preserve">equal</w:t>
            </w:r>
            <w:r>
              <w:rPr>
                <w:rFonts w:ascii="Palatino Linotype" w:hAnsi="Palatino Linotype" w:cs="Palatino Linotype"/>
                <w:color w:val="000000"/>
                <w:sz w:val="20"/>
              </w:rPr>
              <w:t xml:space="preserve"> </w:t>
            </w:r>
            <w:r>
              <w:rPr>
                <w:rFonts w:ascii="Palatino Linotype" w:hAnsi="Palatino Linotype" w:cs="Palatino Linotype"/>
                <w:color w:val="000000"/>
                <w:sz w:val="20"/>
                <w:highlight w:val="yellow"/>
              </w:rPr>
              <w:t xml:space="preserve">to or earlier</w:t>
            </w:r>
            <w:r>
              <w:rPr>
                <w:rFonts w:ascii="Palatino Linotype" w:hAnsi="Palatino Linotype" w:cs="Palatino Linotype"/>
                <w:color w:val="000000"/>
                <w:sz w:val="20"/>
              </w:rPr>
              <w:t xml:space="preserve"> than the start time (Section 5.8).</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Validity interval recorded; the interval is enforced at every request by VT (Chapter 9).</w:t>
            </w:r>
          </w:p>
        </w:tc>
      </w:tr>
      <w:tr>
        <w:trPr>
          <w:cantSplit/>
        </w:trPr>
        <w:tc>
          <w:tcPr>
            <w:tcW w:type="dxa" w:w="153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  Lifecycle</w:t>
            </w:r>
          </w:p>
        </w:tc>
        <w:tc>
          <w:tcPr>
            <w:tcW w:type="dxa" w:w="238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Steps 8 to 10: the consent identifier is generated, the object is constructed and persisted, and its state becomes PENDING_SIGNATURE.</w:t>
            </w:r>
          </w:p>
        </w:tc>
        <w:tc>
          <w:tcPr>
            <w:tcW w:type="dxa" w:w="2835"/>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Consents f050c29a, 04da25f5 and 18ab9b62 were created in PENDING_SIGNATURE. Test test_consent_persists_across_reload: the stored </w:t>
            </w:r>
            <w:r>
              <w:rPr>
                <w:rFonts w:ascii="Palatino Linotype" w:hAnsi="Palatino Linotype" w:cs="Palatino Linotype"/>
                <w:color w:val="000000"/>
                <w:sz w:val="20"/>
                <w:highlight w:val="yellow"/>
              </w:rPr>
              <w:t xml:space="preserve">approval</w:t>
            </w:r>
            <w:r>
              <w:rPr>
                <w:rFonts w:ascii="Palatino Linotype" w:hAnsi="Palatino Linotype" w:cs="Palatino Linotype"/>
                <w:color w:val="000000"/>
                <w:sz w:val="20"/>
              </w:rPr>
              <w:t xml:space="preserve"> is unchanged after a reload from disk.</w:t>
            </w:r>
          </w:p>
        </w:tc>
        <w:tc>
          <w:tcPr>
            <w:tcW w:type="dxa" w:w="175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Created in PENDING_SIGNATURE; no access is possible until the state is ACTIVE (Chapter 9).</w:t>
            </w:r>
          </w:p>
        </w:tc>
      </w:tr>
      <w:tr>
        <w:trPr>
          <w:cantSplit/>
        </w:trPr>
        <w:tc>
          <w:tcPr>
            <w:tcW w:type="dxa" w:w="153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  Evidence</w:t>
            </w:r>
          </w:p>
        </w:tc>
        <w:tc>
          <w:tcPr>
            <w:tcW w:type="dxa" w:w="238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 xml:space="preserve">Step 11: the CREATE_CONSENT event is written to the audit ledger with the consent identifier and timestamp.</w:t>
            </w:r>
          </w:p>
        </w:tc>
        <w:tc>
          <w:tcPr>
            <w:tcW w:type="dxa" w:w="2835"/>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Every creation is logged; a rejected specification stores and logs nothing.</w:t>
            </w:r>
          </w:p>
        </w:tc>
      </w:tr>
    </w:tbl>
    <w:p>
      <w:pPr>
        <w:pStyle w:val="3"/>
        <w:keepNext/>
      </w:pPr>
      <w:r>
        <w:t>5.9.2 Evaluation of the Architecture against the Security Properties</w:t>
      </w:r>
    </w:p>
    <w:p>
      <w:pPr/>
      <w:r>
        <w:rPr>
          <w:highlight w:val="yellow"/>
        </w:rPr>
        <w:t xml:space="preserve">At</w:t>
      </w:r>
      <w:r>
        <w:t xml:space="preserve"> </w:t>
      </w:r>
      <w:r>
        <w:rPr>
          <w:highlight w:val="yellow"/>
        </w:rPr>
        <w:t xml:space="preserve">this</w:t>
      </w:r>
      <w:r>
        <w:t xml:space="preserve"> </w:t>
      </w:r>
      <w:r>
        <w:rPr>
          <w:highlight w:val="yellow"/>
        </w:rPr>
        <w:t xml:space="preserve">stage the</w:t>
      </w:r>
      <w:r>
        <w:t xml:space="preserve"> architecture </w:t>
      </w:r>
      <w:r>
        <w:rPr>
          <w:highlight w:val="yellow"/>
        </w:rPr>
        <w:t xml:space="preserve">is</w:t>
      </w:r>
      <w:r>
        <w:t xml:space="preserve"> </w:t>
      </w:r>
      <w:r>
        <w:rPr>
          <w:highlight w:val="yellow"/>
        </w:rPr>
        <w:t xml:space="preserve">designed</w:t>
      </w:r>
      <w:r>
        <w:t xml:space="preserve"> </w:t>
      </w:r>
      <w:r>
        <w:rPr>
          <w:highlight w:val="yellow"/>
        </w:rPr>
        <w:t xml:space="preserve">to give the following</w:t>
      </w:r>
      <w:r>
        <w:t xml:space="preserve"> security properties.</w:t>
      </w:r>
    </w:p>
    <w:p>
      <w:pPr/>
      <w:r>
        <w:t xml:space="preserve">First, the architecture provides identity-dependent participation. </w:t>
      </w:r>
      <w:r>
        <w:rPr>
          <w:highlight w:val="yellow"/>
        </w:rPr>
        <w:t xml:space="preserve">In</w:t>
      </w:r>
      <w:r>
        <w:t xml:space="preserve"> the </w:t>
      </w:r>
      <w:r>
        <w:rPr>
          <w:highlight w:val="yellow"/>
        </w:rPr>
        <w:t xml:space="preserve">prototype,</w:t>
      </w:r>
      <w:r>
        <w:t xml:space="preserve"> the </w:t>
      </w:r>
      <w:r>
        <w:rPr>
          <w:highlight w:val="yellow"/>
        </w:rPr>
        <w:t xml:space="preserve">doctor</w:t>
      </w:r>
      <w:r>
        <w:t xml:space="preserve"> </w:t>
      </w:r>
      <w:r>
        <w:rPr>
          <w:highlight w:val="yellow"/>
        </w:rPr>
        <w:t xml:space="preserve">DID</w:t>
      </w:r>
      <w:r>
        <w:t xml:space="preserve"> and </w:t>
      </w:r>
      <w:r>
        <w:rPr>
          <w:highlight w:val="yellow"/>
        </w:rPr>
        <w:t xml:space="preserve">each guardian DID</w:t>
      </w:r>
      <w:r>
        <w:t xml:space="preserve"> must </w:t>
      </w:r>
      <w:r>
        <w:rPr>
          <w:highlight w:val="yellow"/>
        </w:rPr>
        <w:t xml:space="preserve">be well formed and hold a valid role credential from a demo issuer, although</w:t>
      </w:r>
      <w:r>
        <w:t xml:space="preserve"> the </w:t>
      </w:r>
      <w:r>
        <w:rPr>
          <w:highlight w:val="yellow"/>
        </w:rPr>
        <w:t xml:space="preserve">requester’s</w:t>
      </w:r>
      <w:r>
        <w:t xml:space="preserve"> </w:t>
      </w:r>
      <w:r>
        <w:rPr>
          <w:highlight w:val="yellow"/>
        </w:rPr>
        <w:t xml:space="preserve">DID is declared in the interface rather than authenticated (Section 5.2)</w:t>
      </w:r>
      <w:r>
        <w:t xml:space="preserve">. Second, the architecture provides authority separation. Possession of a valid identity does not automatically result in permission to access patient data. Identity verification</w:t>
      </w:r>
      <w:r>
        <w:rPr>
          <w:highlight w:val="yellow"/>
        </w:rPr>
        <w:t xml:space="preserve">, once proof of DID control is added,</w:t>
      </w:r>
      <w:r>
        <w:t xml:space="preserve">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w:t>
      </w:r>
      <w:r>
        <w:rPr>
          <w:highlight w:val="yellow"/>
        </w:rPr>
        <w:t xml:space="preserve">By design</w:t>
      </w:r>
      <w:r>
        <w:t xml:space="preserve">, </w:t>
      </w:r>
      <w:r>
        <w:rPr>
          <w:highlight w:val="yellow"/>
        </w:rPr>
        <w:t xml:space="preserve">VA(C)</w:t>
      </w:r>
      <w:r>
        <w:t xml:space="preserve"> </w:t>
      </w:r>
      <w:r>
        <w:rPr>
          <w:highlight w:val="yellow"/>
        </w:rPr>
        <w:t xml:space="preserve">holds only once N signed approvals are present, so where more than one approval is required, no</w:t>
      </w:r>
      <w:r>
        <w:t xml:space="preserve"> participant </w:t>
      </w:r>
      <w:r>
        <w:rPr>
          <w:highlight w:val="yellow"/>
        </w:rPr>
        <w:t xml:space="preserve">can</w:t>
      </w:r>
      <w:r>
        <w:t xml:space="preserve"> </w:t>
      </w:r>
      <w:r>
        <w:rPr>
          <w:highlight w:val="yellow"/>
        </w:rPr>
        <w:t xml:space="preserve">reach</w:t>
      </w:r>
      <w:r>
        <w:t xml:space="preserve"> the threshold </w:t>
      </w:r>
      <w:r>
        <w:rPr>
          <w:highlight w:val="yellow"/>
        </w:rPr>
        <w:t xml:space="preserve">alone</w:t>
      </w:r>
      <w:r>
        <w:t xml:space="preserve">. Fourth, the architecture provides policy-bounded access. </w:t>
      </w:r>
      <w:r>
        <w:rPr>
          <w:highlight w:val="yellow"/>
        </w:rPr>
        <w:t xml:space="preserve">VP(C,</w:t>
      </w:r>
      <w:r>
        <w:t xml:space="preserve"> </w:t>
      </w:r>
      <w:r>
        <w:rPr>
          <w:highlight w:val="yellow"/>
        </w:rPr>
        <w:t xml:space="preserve">R)</w:t>
      </w:r>
      <w:r>
        <w:t xml:space="preserve"> </w:t>
      </w:r>
      <w:r>
        <w:rPr>
          <w:highlight w:val="yellow"/>
        </w:rPr>
        <w:t xml:space="preserve">is</w:t>
      </w:r>
      <w:r>
        <w:t xml:space="preserve"> </w:t>
      </w:r>
      <w:r>
        <w:rPr>
          <w:highlight w:val="yellow"/>
        </w:rPr>
        <w:t xml:space="preserve">designed</w:t>
      </w:r>
      <w:r>
        <w:t xml:space="preserve"> </w:t>
      </w:r>
      <w:r>
        <w:rPr>
          <w:highlight w:val="yellow"/>
        </w:rPr>
        <w:t xml:space="preserve">to</w:t>
      </w:r>
      <w:r>
        <w:t xml:space="preserve"> </w:t>
      </w:r>
      <w:r>
        <w:rPr>
          <w:highlight w:val="yellow"/>
        </w:rPr>
        <w:t xml:space="preserve">refuse</w:t>
      </w:r>
      <w:r>
        <w:t xml:space="preserve"> </w:t>
      </w:r>
      <w:r>
        <w:rPr>
          <w:highlight w:val="yellow"/>
        </w:rPr>
        <w:t xml:space="preserve">a</w:t>
      </w:r>
      <w:r>
        <w:t xml:space="preserve"> </w:t>
      </w:r>
      <w:r>
        <w:rPr>
          <w:highlight w:val="yellow"/>
        </w:rPr>
        <w:t xml:space="preserve">request</w:t>
      </w:r>
      <w:r>
        <w:t xml:space="preserve"> </w:t>
      </w:r>
      <w:r>
        <w:rPr>
          <w:highlight w:val="yellow"/>
        </w:rPr>
        <w:t xml:space="preserve">that</w:t>
      </w:r>
      <w:r>
        <w:t xml:space="preserve"> </w:t>
      </w:r>
      <w:r>
        <w:rPr>
          <w:highlight w:val="yellow"/>
        </w:rPr>
        <w:t xml:space="preserve">goes</w:t>
      </w:r>
      <w:r>
        <w:t xml:space="preserve"> beyond the purpose or data scope </w:t>
      </w:r>
      <w:r>
        <w:rPr>
          <w:highlight w:val="yellow"/>
        </w:rPr>
        <w:t xml:space="preserve">in</w:t>
      </w:r>
      <w:r>
        <w:t xml:space="preserve"> the consent object</w:t>
      </w:r>
      <w:r>
        <w:rPr>
          <w:highlight w:val="yellow"/>
        </w:rPr>
        <w:t xml:space="preserve">, even when the requester is verified and has enough approvals</w:t>
      </w:r>
      <w:r>
        <w:t xml:space="preserve">. Finally, the architecture provides decision accountability. The </w:t>
      </w:r>
      <w:r>
        <w:rPr>
          <w:highlight w:val="yellow"/>
        </w:rPr>
        <w:t xml:space="preserve">audit</w:t>
      </w:r>
      <w:r>
        <w:t xml:space="preserve"> </w:t>
      </w:r>
      <w:r>
        <w:rPr>
          <w:highlight w:val="yellow"/>
        </w:rPr>
        <w:t xml:space="preserve">ledger</w:t>
      </w:r>
      <w:r>
        <w:t xml:space="preserve"> </w:t>
      </w:r>
      <w:r>
        <w:rPr>
          <w:highlight w:val="yellow"/>
        </w:rPr>
        <w:t xml:space="preserve">records</w:t>
      </w:r>
      <w:r>
        <w:t xml:space="preserve"> </w:t>
      </w:r>
      <w:r>
        <w:rPr>
          <w:highlight w:val="yellow"/>
        </w:rPr>
        <w:t xml:space="preserve">each</w:t>
      </w:r>
      <w:r>
        <w:t xml:space="preserve"> decision, </w:t>
      </w:r>
      <w:r>
        <w:rPr>
          <w:highlight w:val="yellow"/>
        </w:rPr>
        <w:t xml:space="preserve">allowed</w:t>
      </w:r>
      <w:r>
        <w:t xml:space="preserve"> </w:t>
      </w:r>
      <w:r>
        <w:rPr>
          <w:highlight w:val="yellow"/>
        </w:rPr>
        <w:t xml:space="preserve">or</w:t>
      </w:r>
      <w:r>
        <w:t xml:space="preserve"> </w:t>
      </w:r>
      <w:r>
        <w:rPr>
          <w:highlight w:val="yellow"/>
        </w:rPr>
        <w:t xml:space="preserve">denied,</w:t>
      </w:r>
      <w:r>
        <w:t xml:space="preserve"> </w:t>
      </w:r>
      <w:r>
        <w:rPr>
          <w:highlight w:val="yellow"/>
        </w:rPr>
        <w:t xml:space="preserve">with</w:t>
      </w:r>
      <w:r>
        <w:t xml:space="preserve"> </w:t>
      </w:r>
      <w:r>
        <w:rPr>
          <w:highlight w:val="yellow"/>
        </w:rPr>
        <w:t xml:space="preserve">the</w:t>
      </w:r>
      <w:r>
        <w:t xml:space="preserve"> </w:t>
      </w:r>
      <w:r>
        <w:rPr>
          <w:highlight w:val="yellow"/>
        </w:rPr>
        <w:t xml:space="preserve">result of every check, so an auditor can see why it was taken</w:t>
      </w:r>
      <w:r>
        <w:t xml:space="preserve">. These properties, together with the separation of interaction and enforcement established in Section 5.3, are summarised in Table 5.5, in which collective authorisation integrity and decision accountability appear as multi-party authorisation integrity and authorisation evidence respectively.</w:t>
      </w:r>
    </w:p>
    <w:p>
      <w:pPr>
        <w:keepNext/>
        <w:spacing w:before="160" w:after="160"/>
        <w:jc w:val="center"/>
      </w:pPr>
      <w:r>
        <w:rPr>
          <w:sz w:val="20"/>
        </w:rPr>
        <w:t>Table 5.5: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property</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Architectural mechanism</w:t>
            </w:r>
          </w:p>
        </w:tc>
        <w:tc>
          <w:tcPr>
            <w:tcW w:type="dxa" w:w="3402"/>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color w:val="000000"/>
                <w:sz w:val="20"/>
              </w:rPr>
              <w:t>Security significance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Identity-dependent participation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DID and credential verification before a participant can contribute to the authorisation process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unverified entities from being treated as legitimate participants.</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Authority separation</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Independent evaluation of identity and role or authority evidence</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successful authentication from being interpreted as unrestricted authorisation.</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Multi-party authorisation integrity</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Threshold evaluation over independently verified approval participants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a single participant from unilaterally activating sensitive healthcare data access when collective approval is required.</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Policy-bounded access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Evaluation of purpose and requested data scope against consent policy</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otherwise valid identities and approvals from being used to obtain data beyond the authorised scope.</w:t>
            </w:r>
          </w:p>
        </w:tc>
      </w:tr>
      <w:tr>
        <w:trPr>
          <w:cantSplit/>
        </w:trPr>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Authorisation evidence</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Recording of verification results, approval evidence, policy evaluation, and final decisions</w:t>
            </w:r>
          </w:p>
        </w:tc>
        <w:tc>
          <w:tcPr>
            <w:tcW w:type="dxa" w:w="3402"/>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Separation of interaction and enforcement</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The View submits requests while the Controller independently determines the security decision</w:t>
            </w:r>
          </w:p>
        </w:tc>
        <w:tc>
          <w:tcPr>
            <w:tcW w:type="dxa" w:w="3402"/>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color w:val="000000"/>
                <w:sz w:val="20"/>
              </w:rPr>
              <w:t>Designed to prevent user-interface actions from being interpreted directly as trusted authorisation outcomes.</w:t>
            </w:r>
          </w:p>
        </w:tc>
      </w:tr>
    </w:tbl>
    <w:p>
      <w:pPr/>
      <w:r/>
    </w:p>
    <w:p>
      <w:pPr/>
      <w:r>
        <w:t xml:space="preserve">Each property in Table 5.5 is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w:t>
      </w:r>
      <w:r>
        <w:rPr>
          <w:highlight w:val="yellow"/>
        </w:rPr>
        <w:t xml:space="preserve">The</w:t>
      </w:r>
      <w:r>
        <w:t xml:space="preserve"> hardening of 1 October 2026 </w:t>
      </w:r>
      <w:r>
        <w:rPr>
          <w:highlight w:val="yellow"/>
        </w:rPr>
        <w:t xml:space="preserve">implemented</w:t>
      </w:r>
      <w:r>
        <w:t xml:space="preserve"> </w:t>
      </w:r>
      <w:r>
        <w:rPr>
          <w:highlight w:val="yellow"/>
        </w:rPr>
        <w:t xml:space="preserve">the separation of interaction and enforcement</w:t>
      </w:r>
      <w:r>
        <w:t xml:space="preserve">: three attacks that the interface already blocked were also accepted by the service functions until the checks were moved into the Controller, as reported in Chapter 10. The architecture therefore does not claim security from MVC itself; it claims it from the placement of every trust-sensitive check inside the Controller, and the tests of the following chapters are the evidence for that claim.</w:t>
      </w:r>
    </w:p>
    <w:p>
      <w:pPr>
        <w:pStyle w:val="3"/>
        <w:keepNext/>
      </w:pPr>
      <w:r>
        <w:t>5.9.3 Discussion</w:t>
      </w:r>
    </w:p>
    <w:p>
      <w:pPr/>
      <w:r>
        <w:t xml:space="preserve">The consent object </w:t>
      </w:r>
      <w:r>
        <w:rPr>
          <w:highlight w:val="yellow"/>
        </w:rPr>
        <w:t xml:space="preserve">offers</w:t>
      </w:r>
      <w:r>
        <w:t xml:space="preserve"> </w:t>
      </w:r>
      <w:r>
        <w:rPr>
          <w:highlight w:val="yellow"/>
        </w:rPr>
        <w:t xml:space="preserve">three</w:t>
      </w:r>
      <w:r>
        <w:t xml:space="preserve"> advantages </w:t>
      </w:r>
      <w:r>
        <w:rPr>
          <w:highlight w:val="yellow"/>
        </w:rPr>
        <w:t xml:space="preserve">at</w:t>
      </w:r>
      <w:r>
        <w:t xml:space="preserve"> </w:t>
      </w:r>
      <w:r>
        <w:rPr>
          <w:highlight w:val="yellow"/>
        </w:rPr>
        <w:t xml:space="preserve">creation:</w:t>
      </w:r>
      <w:r>
        <w:t xml:space="preserve"> completeness, rejection before storage, and evidence. Completeness means that a created consent </w:t>
      </w:r>
      <w:r>
        <w:rPr>
          <w:highlight w:val="yellow"/>
        </w:rPr>
        <w:t xml:space="preserve">states</w:t>
      </w:r>
      <w:r>
        <w:t xml:space="preserve"> every condition that the later checks need</w:t>
      </w:r>
      <w:r>
        <w:rPr>
          <w:highlight w:val="yellow"/>
        </w:rPr>
        <w:t xml:space="preserve">;</w:t>
      </w:r>
      <w:r>
        <w:t xml:space="preserve"> </w:t>
      </w:r>
      <w:r>
        <w:rPr>
          <w:highlight w:val="yellow"/>
        </w:rPr>
        <w:t xml:space="preserve">the</w:t>
      </w:r>
      <w:r>
        <w:t xml:space="preserve"> </w:t>
      </w:r>
      <w:r>
        <w:rPr>
          <w:highlight w:val="yellow"/>
        </w:rPr>
        <w:t xml:space="preserve">evidence</w:t>
      </w:r>
      <w:r>
        <w:t xml:space="preserve"> for </w:t>
      </w:r>
      <w:r>
        <w:rPr>
          <w:highlight w:val="yellow"/>
        </w:rPr>
        <w:t xml:space="preserve">those</w:t>
      </w:r>
      <w:r>
        <w:t xml:space="preserve"> </w:t>
      </w:r>
      <w:r>
        <w:rPr>
          <w:highlight w:val="yellow"/>
        </w:rPr>
        <w:t xml:space="preserve">conditions,</w:t>
      </w:r>
      <w:r>
        <w:t xml:space="preserve"> </w:t>
      </w:r>
      <w:r>
        <w:rPr>
          <w:highlight w:val="yellow"/>
        </w:rPr>
        <w:t xml:space="preserve">such</w:t>
      </w:r>
      <w:r>
        <w:t xml:space="preserve"> </w:t>
      </w:r>
      <w:r>
        <w:rPr>
          <w:highlight w:val="yellow"/>
        </w:rPr>
        <w:t xml:space="preserve">as</w:t>
      </w:r>
      <w:r>
        <w:t xml:space="preserve"> </w:t>
      </w:r>
      <w:r>
        <w:rPr>
          <w:highlight w:val="yellow"/>
        </w:rPr>
        <w:t xml:space="preserve">credentials and signatures, is still checked when each request is evaluated</w:t>
      </w:r>
      <w:r>
        <w:t xml:space="preserve">. Rejection before storage means that an invalid specification leaves no record behind, so the store never holds a consent that cannot be evaluated. Evidence means that every creation is written to the audit ledger with its identifier and its time, so the later decisions can be traced back to the consent they were taken on.</w:t>
      </w:r>
    </w:p>
    <w:p>
      <w:pPr/>
      <w:r>
        <w:t xml:space="preserve">On the other hand, the trade-off is rigidity. A consent cannot be changed after it has been created, so a change of doctor, guardian or data scope requires a new consent, and the credentials of the doctor and of every guardian must have been issued before the consent can be created (see Chapter 6). In the current interface, the purpose is also fixed to Treatment. </w:t>
      </w:r>
      <w:r>
        <w:rPr>
          <w:highlight w:val="yellow"/>
        </w:rPr>
        <w:t xml:space="preserve">We</w:t>
      </w:r>
      <w:r>
        <w:t xml:space="preserve"> </w:t>
      </w:r>
      <w:r>
        <w:rPr>
          <w:highlight w:val="yellow"/>
        </w:rPr>
        <w:t xml:space="preserve">accepted</w:t>
      </w:r>
      <w:r>
        <w:t xml:space="preserve"> </w:t>
      </w:r>
      <w:r>
        <w:rPr>
          <w:highlight w:val="yellow"/>
        </w:rPr>
        <w:t xml:space="preserve">this</w:t>
      </w:r>
      <w:r>
        <w:t xml:space="preserve"> </w:t>
      </w:r>
      <w:r>
        <w:rPr>
          <w:highlight w:val="yellow"/>
        </w:rPr>
        <w:t xml:space="preserve">rigidity</w:t>
      </w:r>
      <w:r>
        <w:t xml:space="preserve"> </w:t>
      </w:r>
      <w:r>
        <w:rPr>
          <w:highlight w:val="yellow"/>
        </w:rPr>
        <w:t xml:space="preserve">for</w:t>
      </w:r>
      <w:r>
        <w:t xml:space="preserve"> </w:t>
      </w:r>
      <w:r>
        <w:rPr>
          <w:highlight w:val="yellow"/>
        </w:rPr>
        <w:t xml:space="preserve">now</w:t>
      </w:r>
      <w:r>
        <w:t xml:space="preserve">, </w:t>
      </w:r>
      <w:r>
        <w:rPr>
          <w:highlight w:val="yellow"/>
        </w:rPr>
        <w:t xml:space="preserve">since</w:t>
      </w:r>
      <w:r>
        <w:t xml:space="preserve"> every stored consent is complete and every creation is recorded</w:t>
      </w:r>
      <w:r>
        <w:rPr>
          <w:highlight w:val="yellow"/>
        </w:rPr>
        <w:t xml:space="preserve">,</w:t>
      </w:r>
      <w:r>
        <w:t xml:space="preserve"> </w:t>
      </w:r>
      <w:r>
        <w:rPr>
          <w:highlight w:val="yellow"/>
        </w:rPr>
        <w:t xml:space="preserve">which</w:t>
      </w:r>
      <w:r>
        <w:t xml:space="preserve"> </w:t>
      </w:r>
      <w:r>
        <w:rPr>
          <w:highlight w:val="yellow"/>
        </w:rPr>
        <w:t xml:space="preserve">matters more</w:t>
      </w:r>
      <w:r>
        <w:t xml:space="preserve"> at this stage</w:t>
      </w:r>
      <w:r>
        <w:rPr>
          <w:highlight w:val="yellow"/>
        </w:rPr>
        <w:t xml:space="preserve">.</w:t>
      </w:r>
      <w:r>
        <w:t xml:space="preserve"> </w:t>
      </w:r>
      <w:r>
        <w:rPr>
          <w:highlight w:val="yellow"/>
        </w:rPr>
        <w:t xml:space="preserve">Consent</w:t>
      </w:r>
      <w:r>
        <w:t xml:space="preserve"> modification is </w:t>
      </w:r>
      <w:r>
        <w:rPr>
          <w:highlight w:val="yellow"/>
        </w:rPr>
        <w:t xml:space="preserve">left</w:t>
      </w:r>
      <w:r>
        <w:t xml:space="preserve"> </w:t>
      </w:r>
      <w:r>
        <w:rPr>
          <w:highlight w:val="yellow"/>
        </w:rPr>
        <w:t xml:space="preserve">to</w:t>
      </w:r>
      <w:r>
        <w:t xml:space="preserve"> the next stage (Chapter 9).</w:t>
      </w:r>
    </w:p>
    <w:p>
      <w:pPr>
        <w:pStyle w:val="2"/>
        <w:keepNext/>
      </w:pPr>
      <w:r>
        <w:t>5.10 Conclusion</w:t>
      </w:r>
    </w:p>
    <w:p>
      <w:pPr/>
      <w:r>
        <w:rPr>
          <w:highlight w:val="yellow"/>
        </w:rPr>
        <w:t xml:space="preserve">This</w:t>
      </w:r>
      <w:r>
        <w:t xml:space="preserve"> chapter </w:t>
      </w:r>
      <w:r>
        <w:rPr>
          <w:highlight w:val="yellow"/>
        </w:rPr>
        <w:t xml:space="preserve">described</w:t>
      </w:r>
      <w:r>
        <w:t xml:space="preserve"> the research architecture on which the framework is built. </w:t>
      </w:r>
      <w:r>
        <w:rPr>
          <w:highlight w:val="yellow"/>
        </w:rPr>
        <w:t xml:space="preserve">We</w:t>
      </w:r>
      <w:r>
        <w:t xml:space="preserve"> </w:t>
      </w:r>
      <w:r>
        <w:rPr>
          <w:highlight w:val="yellow"/>
        </w:rPr>
        <w:t xml:space="preserve">explained</w:t>
      </w:r>
      <w:r>
        <w:t xml:space="preserve"> the three layers of the architecture, where trust is evaluated and where the boundaries between the layers lie, and how the architecture maps to the six research objectives. In addition, we proposed a model to represent patient consent as the evaluable object C = (I, A, P, T, L, E), created through Algorithm 1 only when every field is valid, assigned a unique identifier, persisted in the state PENDING_SIGNATURE and recorded in the audit ledger. This addressed the first research objective of this thesis.</w:t>
      </w:r>
    </w:p>
    <w:p>
      <w:pPr/>
      <w:r>
        <w:rPr>
          <w:highlight w:val="yellow"/>
        </w:rPr>
        <w:t xml:space="preserve">We</w:t>
      </w:r>
      <w:r>
        <w:t xml:space="preserve"> also </w:t>
      </w:r>
      <w:r>
        <w:rPr>
          <w:highlight w:val="yellow"/>
        </w:rPr>
        <w:t xml:space="preserve">described</w:t>
      </w:r>
      <w:r>
        <w:t xml:space="preserve"> the prototype used for validating the solution to research objective 1. This was done using a public synthetic dataset. </w:t>
      </w:r>
      <w:r>
        <w:rPr>
          <w:highlight w:val="yellow"/>
        </w:rPr>
        <w:t xml:space="preserve">Three</w:t>
      </w:r>
      <w:r>
        <w:t xml:space="preserve"> </w:t>
      </w:r>
      <w:r>
        <w:rPr>
          <w:highlight w:val="yellow"/>
        </w:rPr>
        <w:t xml:space="preserve">consents</w:t>
      </w:r>
      <w:r>
        <w:t xml:space="preserve"> </w:t>
      </w:r>
      <w:r>
        <w:rPr>
          <w:highlight w:val="yellow"/>
        </w:rPr>
        <w:t xml:space="preserve">were</w:t>
      </w:r>
      <w:r>
        <w:t xml:space="preserve"> created with all six components</w:t>
      </w:r>
      <w:r>
        <w:rPr>
          <w:highlight w:val="yellow"/>
        </w:rPr>
        <w:t xml:space="preserve">,</w:t>
      </w:r>
      <w:r>
        <w:t xml:space="preserve"> </w:t>
      </w:r>
      <w:r>
        <w:rPr>
          <w:highlight w:val="yellow"/>
        </w:rPr>
        <w:t xml:space="preserve">three</w:t>
      </w:r>
      <w:r>
        <w:t xml:space="preserve"> invalid </w:t>
      </w:r>
      <w:r>
        <w:rPr>
          <w:highlight w:val="yellow"/>
        </w:rPr>
        <w:t xml:space="preserve">specifications</w:t>
      </w:r>
      <w:r>
        <w:t xml:space="preserve"> </w:t>
      </w:r>
      <w:r>
        <w:rPr>
          <w:highlight w:val="yellow"/>
        </w:rPr>
        <w:t xml:space="preserve">were</w:t>
      </w:r>
      <w:r>
        <w:t xml:space="preserve"> rejected </w:t>
      </w:r>
      <w:r>
        <w:rPr>
          <w:highlight w:val="yellow"/>
        </w:rPr>
        <w:t xml:space="preserve">with</w:t>
      </w:r>
      <w:r>
        <w:t xml:space="preserve"> </w:t>
      </w:r>
      <w:r>
        <w:rPr>
          <w:highlight w:val="yellow"/>
        </w:rPr>
        <w:t xml:space="preserve">nothing</w:t>
      </w:r>
      <w:r>
        <w:t xml:space="preserve"> stored</w:t>
      </w:r>
      <w:r>
        <w:rPr>
          <w:highlight w:val="yellow"/>
        </w:rPr>
        <w:t xml:space="preserve"> or logged</w:t>
      </w:r>
      <w:r>
        <w:t xml:space="preserve">, and the </w:t>
      </w:r>
      <w:r>
        <w:rPr>
          <w:highlight w:val="yellow"/>
        </w:rPr>
        <w:t xml:space="preserve">creation tests pass in the suite of 46 reported in Chapter 10 (see Table 5.4); Table 5.5 sets the </w:t>
      </w:r>
      <w:r>
        <w:t xml:space="preserve">architecture against the six security properties it is designed to provide. </w:t>
      </w:r>
      <w:r>
        <w:rPr>
          <w:highlight w:val="yellow"/>
        </w:rPr>
        <w:t xml:space="preserve">The design also has</w:t>
      </w:r>
      <w:r>
        <w:t xml:space="preserve"> a </w:t>
      </w:r>
      <w:r>
        <w:rPr>
          <w:highlight w:val="yellow"/>
        </w:rPr>
        <w:t xml:space="preserve">limit:</w:t>
      </w:r>
      <w:r>
        <w:t xml:space="preserve"> a consent cannot be changed once it has been created</w:t>
      </w:r>
      <w:r>
        <w:rPr>
          <w:highlight w:val="yellow"/>
        </w:rPr>
        <w:t xml:space="preserve">,</w:t>
      </w:r>
      <w:r>
        <w:t xml:space="preserve"> </w:t>
      </w:r>
      <w:r>
        <w:rPr>
          <w:highlight w:val="yellow"/>
        </w:rPr>
        <w:t xml:space="preserve">so</w:t>
      </w:r>
      <w:r>
        <w:t xml:space="preserve"> </w:t>
      </w:r>
      <w:r>
        <w:rPr>
          <w:highlight w:val="yellow"/>
        </w:rPr>
        <w:t xml:space="preserve">a user</w:t>
      </w:r>
      <w:r>
        <w:t xml:space="preserve"> of HALAH </w:t>
      </w:r>
      <w:r>
        <w:rPr>
          <w:highlight w:val="yellow"/>
        </w:rPr>
        <w:t xml:space="preserve">must</w:t>
      </w:r>
      <w:r>
        <w:t xml:space="preserve"> create a new </w:t>
      </w:r>
      <w:r>
        <w:rPr>
          <w:highlight w:val="yellow"/>
        </w:rPr>
        <w:t xml:space="preserve">one</w:t>
      </w:r>
      <w:r>
        <w:t xml:space="preserve"> when its terms change</w:t>
      </w:r>
      <w:r>
        <w:rPr>
          <w:highlight w:val="yellow"/>
        </w:rPr>
        <w:t xml:space="preserve">; consent modification is left to the next stage (Chapter 9)</w:t>
      </w:r>
      <w:r>
        <w:t xml:space="preserve">.</w:t>
      </w:r>
    </w:p>
    <w:p>
      <w:pPr/>
      <w:r>
        <w:t xml:space="preserve">The next chapter will </w:t>
      </w:r>
      <w:r>
        <w:rPr>
          <w:highlight w:val="yellow"/>
        </w:rPr>
        <w:t xml:space="preserve">explain</w:t>
      </w:r>
      <w:r>
        <w:t xml:space="preserve"> </w:t>
      </w:r>
      <w:r>
        <w:rPr>
          <w:highlight w:val="yellow"/>
        </w:rPr>
        <w:t xml:space="preserve">how</w:t>
      </w:r>
      <w:r>
        <w:t xml:space="preserve"> </w:t>
      </w:r>
      <w:r>
        <w:rPr>
          <w:highlight w:val="yellow"/>
        </w:rPr>
        <w:t xml:space="preserve">to</w:t>
      </w:r>
      <w:r>
        <w:t xml:space="preserve"> </w:t>
      </w:r>
      <w:r>
        <w:rPr>
          <w:highlight w:val="yellow"/>
        </w:rPr>
        <w:t xml:space="preserve">verify</w:t>
      </w:r>
      <w:r>
        <w:t xml:space="preserve"> who the participants are and what authority they hold, which is the solution for research objective 2.</w:t>
      </w:r>
    </w:p>
    <w:sectPr w:rsidR="009262C4">
      <w:headerReference w:type="default" r:id="rId40"/>
      <w:headerReference w:type="even" r:id="rId41"/>
      <w:footerReference w:type="default" r:id="rId34"/>
      <w:footerReference w:type="even" r:id="rId42"/>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2026-10-23T08:55:09Z</dcterms:created>
  <dcterms:modified xsi:type="dcterms:W3CDTF">2026-10-23T08:55:09Z</dcterms:modified>
</cp:coreProperties>
</file>