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46</w:t>
      </w:r>
    </w:p>
    <w:p>
      <w:pPr>
        <w:tabs>
          <w:tab w:val="right" w:pos="9128" w:leader="dot"/>
        </w:tabs>
        <w:spacing w:after="100"/>
      </w:pPr>
      <w:r>
        <w:rPr>
          <w:rFonts w:ascii="Times New Roman" w:cs="Times New Roman" w:eastAsia="Times New Roman" w:hAnsi="Times New Roman"/>
          <w:sz w:val="22"/>
          <w:szCs w:val="22"/>
        </w:rPr>
        <w:t xml:space="preserve">11. The Proposed Solution for RO6	49</w:t>
      </w:r>
    </w:p>
    <w:p>
      <w:pPr>
        <w:tabs>
          <w:tab w:val="right" w:pos="9128" w:leader="dot"/>
        </w:tabs>
        <w:spacing w:after="100"/>
      </w:pPr>
      <w:r>
        <w:rPr>
          <w:rFonts w:ascii="Times New Roman" w:cs="Times New Roman" w:eastAsia="Times New Roman" w:hAnsi="Times New Roman"/>
          <w:sz w:val="22"/>
          <w:szCs w:val="22"/>
        </w:rPr>
        <w:t xml:space="preserve">12. Publications Summary	62</w:t>
      </w:r>
    </w:p>
    <w:p>
      <w:pPr>
        <w:tabs>
          <w:tab w:val="right" w:pos="9128" w:leader="dot"/>
        </w:tabs>
        <w:spacing w:after="100"/>
      </w:pPr>
      <w:r>
        <w:rPr>
          <w:rFonts w:ascii="Times New Roman" w:cs="Times New Roman" w:eastAsia="Times New Roman" w:hAnsi="Times New Roman"/>
          <w:sz w:val="22"/>
          <w:szCs w:val="22"/>
        </w:rPr>
        <w:t xml:space="preserve">13. Research Plan	63</w:t>
      </w:r>
    </w:p>
    <w:p>
      <w:pPr>
        <w:tabs>
          <w:tab w:val="right" w:pos="9128" w:leader="dot"/>
        </w:tabs>
        <w:spacing w:after="100"/>
      </w:pPr>
      <w:r>
        <w:rPr>
          <w:rFonts w:ascii="Times New Roman" w:cs="Times New Roman" w:eastAsia="Times New Roman" w:hAnsi="Times New Roman"/>
          <w:sz w:val="22"/>
          <w:szCs w:val="22"/>
        </w:rPr>
        <w:t xml:space="preserve">References	65</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t>
      </w:r>
      <w:r>
        <w:rPr>
          <w:rFonts w:ascii="Times New Roman" w:cs="Times New Roman" w:eastAsia="Times New Roman" w:hAnsi="Times New Roman"/>
          <w:color w:val="00B0F0"/>
          <w:sz w:val="22"/>
          <w:szCs w:val="22"/>
        </w:rPr>
        <w:t xml:space="preserve">while decentralised identifiers [16]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color w:val="00B0F0"/>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color w:val="FF0000"/>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FF0000"/>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color w:val="00B0F0"/>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color w:val="FF0000"/>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color w:val="FF0000"/>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color w:val="FF0000"/>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color w:val="FF0000"/>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color w:val="FF0000"/>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t>
            </w:r>
          </w:p>
        </w:tc>
      </w:tr>
    </w:tbl>
    <w:p>
      <w:pPr>
        <w:spacing w:after="160"/>
      </w:pPr>
    </w:p>
    <w:p>
      <w:pPr>
        <w:keepNext/>
        <w:spacing w:after="60" w:before="160"/>
        <w:jc w:val="center"/>
      </w:pPr>
      <w:r>
        <w:drawing>
          <wp:inline distT="0" distB="0" distL="0" distR="0">
            <wp:extent cx="469582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95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color w:val="00B0F0"/>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color w:val="FF0000"/>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color w:val="00B0F0"/>
          <w:sz w:val="22"/>
          <w:szCs w:val="22"/>
        </w:rPr>
        <w:t xml:space="preserve">Each included study was assigned to one stream, normally the one on which it is coded most strongly</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color w:val="00B0F0"/>
          <w:sz w:val="22"/>
          <w:szCs w:val="22"/>
        </w:rPr>
        <w:t xml:space="preserve"> S6 [52]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SooHoo</w:t>
      </w:r>
      <w:r>
        <w:rPr>
          <w:rFonts w:ascii="Times New Roman" w:cs="Times New Roman" w:eastAsia="Times New Roman" w:hAnsi="Times New Roman"/>
          <w:sz w:val="22"/>
          <w:szCs w:val="22"/>
        </w:rPr>
        <w:t xml:space="preserve">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color w:val="FF0000"/>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color w:val="00B0F0"/>
          <w:sz w:val="22"/>
          <w:szCs w:val="22"/>
        </w:rPr>
        <w:t xml:space="preserve">operation [62, 63], as conditions fixed at encryption time [64], or as a key issued by the patient for each request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The trust dimension T2 was graded Yes in only 10 of the 25 studies and Partial in 15, and the stricter Req 2 grade in Table 4, which needs both identity and authority, is Yes in only 7.</w:t>
      </w:r>
      <w:r>
        <w:rPr>
          <w:rFonts w:ascii="Times New Roman" w:cs="Times New Roman" w:eastAsia="Times New Roman" w:hAnsi="Times New Roman"/>
          <w:sz w:val="22"/>
          <w:szCs w:val="22"/>
        </w:rPr>
        <w:t xml:space="preserve">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color w:val="00B0F0"/>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color w:val="FF0000"/>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w:t>
      </w:r>
      <w:r>
        <w:rPr>
          <w:rFonts w:ascii="Times New Roman" w:cs="Times New Roman" w:eastAsia="Times New Roman" w:hAnsi="Times New Roman"/>
          <w:color w:val="00B0F0"/>
          <w:sz w:val="22"/>
          <w:szCs w:val="22"/>
        </w:rPr>
        <w:t xml:space="preserve">The trust dimension T4 is coded Yes in 11 studies, Partial in 10, and No in 4, and the Req 4 grade in Table 4 is Yes in 10, Partial in 11, and No in 4.</w:t>
      </w:r>
      <w:r>
        <w:rPr>
          <w:rFonts w:ascii="Times New Roman" w:cs="Times New Roman" w:eastAsia="Times New Roman" w:hAnsi="Times New Roman"/>
          <w:sz w:val="22"/>
          <w:szCs w:val="22"/>
        </w:rPr>
        <w:t xml:space="preserve">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color w:val="FF0000"/>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w:t>
      </w:r>
      <w:r>
        <w:rPr>
          <w:rFonts w:ascii="Times New Roman" w:cs="Times New Roman" w:eastAsia="Times New Roman" w:hAnsi="Times New Roman"/>
          <w:color w:val="00B0F0"/>
          <w:sz w:val="22"/>
          <w:szCs w:val="22"/>
        </w:rPr>
        <w:t xml:space="preserve">is demonstrated only by [21, 28, 29],</w:t>
      </w:r>
      <w:r>
        <w:rPr>
          <w:rFonts w:ascii="Times New Roman" w:cs="Times New Roman" w:eastAsia="Times New Roman" w:hAnsi="Times New Roman"/>
          <w:sz w:val="22"/>
          <w:szCs w:val="22"/>
        </w:rPr>
        <w:t xml:space="preserve">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color w:val="FF0000"/>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w:t>
      </w:r>
      <w:r>
        <w:rPr>
          <w:rFonts w:ascii="Times New Roman" w:cs="Times New Roman" w:eastAsia="Times New Roman" w:hAnsi="Times New Roman"/>
          <w:color w:val="FF0000"/>
          <w:sz w:val="22"/>
          <w:szCs w:val="22"/>
        </w:rPr>
        <w:t xml:space="preserve">We observed an inverse relation between predicate breadth and assurance strength.</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FF0000"/>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color w:val="FF0000"/>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color w:val="FF0000"/>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On the normal path a single patient key authorises, so multi-party approval is a contingency</w:t>
            </w:r>
            <w:r>
              <w:rPr>
                <w:rFonts w:ascii="Times New Roman" w:cs="Times New Roman" w:eastAsia="Times New Roman" w:hAnsi="Times New Roman"/>
                <w:b w:val="false"/>
                <w:bCs w:val="false"/>
                <w:color w:val="FF0000"/>
                <w:sz w:val="17"/>
                <w:szCs w:val="17"/>
              </w:rPr>
              <w:t xml:space="preserve">;</w:t>
            </w:r>
            <w:r>
              <w:rPr>
                <w:rFonts w:ascii="Times New Roman" w:cs="Times New Roman" w:eastAsia="Times New Roman" w:hAnsi="Times New Roman"/>
                <w:b w:val="false"/>
                <w:bCs w:val="false"/>
                <w:color w:val="FF0000"/>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S19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color w:val="FF0000"/>
                <w:sz w:val="17"/>
                <w:szCs w:val="17"/>
              </w:rPr>
              <w:t xml:space="preserve">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color w:val="00B0F0"/>
          <w:sz w:val="22"/>
          <w:szCs w:val="22"/>
        </w:rPr>
        <w:t xml:space="preserve">The multi-party systems carry no purpose condition, whereas the proved schemes either omit policy, temporal validity, and lifecycle or, as in [55], prove only a static encryption predicate.</w:t>
      </w:r>
      <w:r>
        <w:rPr>
          <w:rFonts w:ascii="Times New Roman" w:cs="Times New Roman" w:eastAsia="Times New Roman" w:hAnsi="Times New Roman"/>
          <w:sz w:val="22"/>
          <w:szCs w:val="22"/>
        </w:rPr>
        <w:t xml:space="preserve"> Table 4 summarises the 25 studies against the six requirements, </w:t>
      </w:r>
      <w:r>
        <w:rPr>
          <w:rFonts w:ascii="Times New Roman" w:cs="Times New Roman" w:eastAsia="Times New Roman" w:hAnsi="Times New Roman"/>
          <w:color w:val="FF0000"/>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color w:val="00B0F0"/>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[58] </w:t>
            </w:r>
            <w:r>
              <w:rPr>
                <w:rFonts w:ascii="Times New Roman" w:cs="Times New Roman" w:eastAsia="Times New Roman" w:hAnsi="Times New Roman"/>
                <w:b w:val="false"/>
                <w:bCs w:val="false"/>
                <w:color w:val="00B0F0"/>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[61] </w:t>
            </w:r>
            <w:r>
              <w:rPr>
                <w:rFonts w:ascii="Times New Roman" w:cs="Times New Roman" w:eastAsia="Times New Roman" w:hAnsi="Times New Roman"/>
                <w:b w:val="false"/>
                <w:bCs w:val="false"/>
                <w:color w:val="00B0F0"/>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color w:val="FF0000"/>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color w:val="00B0F0"/>
          <w:sz w:val="22"/>
          <w:szCs w:val="22"/>
        </w:rPr>
        <w:t xml:space="preserve">while within Req 6, formal assurance alone is provided by 4 studies, argued informally by 9, and absent in 12. The other five Yes grades for Req 6 in Table 4 rest on empirical validation.</w:t>
      </w:r>
      <w:r>
        <w:rPr>
          <w:rFonts w:ascii="Times New Roman" w:cs="Times New Roman" w:eastAsia="Times New Roman" w:hAnsi="Times New Roman"/>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B0F0"/>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4" title="Synthesis of the review: the conjunction gap and the assurance gap addressed by the proposed framework, with the number of the 25 analysed studies graded Yes for each requirement in Tabl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color w:val="00B0F0"/>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color w:val="FF0000"/>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color w:val="FF0000"/>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color w:val="FF0000"/>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color w:val="FF0000"/>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DID and VC verification separates identity from authority and is evaluated as V</w:t>
            </w:r>
            <w:r>
              <w:rPr>
                <w:rFonts w:ascii="Times New Roman" w:cs="Times New Roman" w:eastAsia="Times New Roman" w:hAnsi="Times New Roman"/>
                <w:b w:val="false"/>
                <w:bCs w:val="false"/>
                <w:color w:val="00B0F0"/>
                <w:sz w:val="17"/>
                <w:szCs w:val="17"/>
                <w:vertAlign w:val="subscript"/>
              </w:rPr>
              <w:t xml:space="preserve">I</w:t>
            </w:r>
            <w:r>
              <w:rPr>
                <w:rFonts w:ascii="Times New Roman" w:cs="Times New Roman" w:eastAsia="Times New Roman" w:hAnsi="Times New Roman"/>
                <w:b w:val="false"/>
                <w:bCs w:val="false"/>
                <w:color w:val="00B0F0"/>
                <w:sz w:val="17"/>
                <w:szCs w:val="17"/>
              </w:rPr>
              <w:t xml:space="preserve"> through Algorithm 2.</w:t>
            </w:r>
            <w:r>
              <w:rPr>
                <w:rFonts w:ascii="Times New Roman" w:cs="Times New Roman" w:eastAsia="Times New Roman" w:hAnsi="Times New Roman"/>
                <w:b w:val="false"/>
                <w:bCs w:val="false"/>
                <w:color w:val="FF0000"/>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N-of-N approval by the guardian set G with EIP-712 guardian signatures [66],</w:t>
            </w:r>
            <w:r>
              <w:rPr>
                <w:rFonts w:ascii="Times New Roman" w:cs="Times New Roman" w:eastAsia="Times New Roman" w:hAnsi="Times New Roman"/>
                <w:b w:val="false"/>
                <w:bCs w:val="false"/>
                <w:color w:val="FF0000"/>
                <w:sz w:val="17"/>
                <w:szCs w:val="17"/>
              </w:rPr>
              <w:t xml:space="preserve"> evaluated as V</w:t>
            </w:r>
            <w:r>
              <w:rPr>
                <w:rFonts w:ascii="Times New Roman" w:cs="Times New Roman" w:eastAsia="Times New Roman" w:hAnsi="Times New Roman"/>
                <w:b w:val="false"/>
                <w:bCs w:val="false"/>
                <w:color w:val="FF0000"/>
                <w:sz w:val="17"/>
                <w:szCs w:val="17"/>
                <w:vertAlign w:val="subscript"/>
              </w:rPr>
              <w:t xml:space="preserve">A</w:t>
            </w:r>
            <w:r>
              <w:rPr>
                <w:rFonts w:ascii="Times New Roman" w:cs="Times New Roman" w:eastAsia="Times New Roman" w:hAnsi="Times New Roman"/>
                <w:b w:val="false"/>
                <w:bCs w:val="false"/>
                <w:color w:val="FF0000"/>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Purpose and a non-empty data scope within the consent are evaluated as V</w:t>
            </w:r>
            <w:r>
              <w:rPr>
                <w:rFonts w:ascii="Times New Roman" w:cs="Times New Roman" w:eastAsia="Times New Roman" w:hAnsi="Times New Roman"/>
                <w:b w:val="false"/>
                <w:bCs w:val="false"/>
                <w:color w:val="FF0000"/>
                <w:sz w:val="17"/>
                <w:szCs w:val="17"/>
                <w:vertAlign w:val="subscript"/>
              </w:rPr>
              <w:t xml:space="preserve">P</w:t>
            </w:r>
            <w:r>
              <w:rPr>
                <w:rFonts w:ascii="Times New Roman" w:cs="Times New Roman" w:eastAsia="Times New Roman" w:hAnsi="Times New Roman"/>
                <w:b w:val="false"/>
                <w:bCs w:val="false"/>
                <w:color w:val="FF0000"/>
                <w:sz w:val="17"/>
                <w:szCs w:val="17"/>
              </w:rPr>
              <w:t xml:space="preserve"> through Algorithm 4, together with the jurisdiction condition V</w:t>
            </w:r>
            <w:r>
              <w:rPr>
                <w:rFonts w:ascii="Times New Roman" w:cs="Times New Roman" w:eastAsia="Times New Roman" w:hAnsi="Times New Roman"/>
                <w:b w:val="false"/>
                <w:bCs w:val="false"/>
                <w:color w:val="FF0000"/>
                <w:sz w:val="17"/>
                <w:szCs w:val="17"/>
                <w:vertAlign w:val="subscript"/>
              </w:rPr>
              <w:t xml:space="preserve">L</w:t>
            </w:r>
            <w:r>
              <w:rPr>
                <w:rFonts w:ascii="Times New Roman" w:cs="Times New Roman" w:eastAsia="Times New Roman" w:hAnsi="Times New Roman"/>
                <w:b w:val="false"/>
                <w:bCs w:val="false"/>
                <w:color w:val="FF0000"/>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00B0F0"/>
                <w:sz w:val="17"/>
                <w:szCs w:val="17"/>
              </w:rPr>
              <w:t xml:space="preserve">The validity window V</w:t>
            </w:r>
            <w:r>
              <w:rPr>
                <w:rFonts w:ascii="Times New Roman" w:cs="Times New Roman" w:eastAsia="Times New Roman" w:hAnsi="Times New Roman"/>
                <w:b w:val="false"/>
                <w:bCs w:val="false"/>
                <w:color w:val="00B0F0"/>
                <w:sz w:val="17"/>
                <w:szCs w:val="17"/>
                <w:vertAlign w:val="subscript"/>
              </w:rPr>
              <w:t xml:space="preserve">T</w:t>
            </w:r>
            <w:r>
              <w:rPr>
                <w:rFonts w:ascii="Times New Roman" w:cs="Times New Roman" w:eastAsia="Times New Roman" w:hAnsi="Times New Roman"/>
                <w:b w:val="false"/>
                <w:bCs w:val="false"/>
                <w:color w:val="00B0F0"/>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color w:val="FF0000"/>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67] </w:t>
      </w:r>
      <w:r>
        <w:rPr>
          <w:rFonts w:ascii="Times New Roman" w:cs="Times New Roman" w:eastAsia="Times New Roman" w:hAnsi="Times New Roman"/>
          <w:color w:val="00B0F0"/>
          <w:sz w:val="22"/>
          <w:szCs w:val="22"/>
        </w:rPr>
        <w:t xml:space="preserve">do not make multi-party approval a standing condition of that decision. Some of them test their own decisions empirically [21, 29],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w:t>
      </w:r>
      <w:r>
        <w:rPr>
          <w:rFonts w:ascii="Times New Roman" w:cs="Times New Roman" w:eastAsia="Times New Roman" w:hAnsi="Times New Roman"/>
          <w:color w:val="00B0F0"/>
          <w:sz w:val="22"/>
          <w:szCs w:val="22"/>
        </w:rPr>
        <w:t xml:space="preserve">treat consent primarily as a record of a patient’s permission [62, 63], and some claim consent but leave it out of the access decision [68].</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[21, 24, 28, 48, 67]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color w:val="00B0F0"/>
          <w:sz w:val="22"/>
          <w:szCs w:val="22"/>
        </w:rPr>
        <w:t xml:space="preserve">multi-party approval is never conjoined with a purpose condition [23, 25, 26].</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color w:val="00B0F0"/>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color w:val="00B0F0"/>
          <w:sz w:val="22"/>
          <w:szCs w:val="22"/>
        </w:rPr>
        <w:t xml:space="preserve">requires the Groth16 ZK proof [69]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color w:val="00B0F0"/>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color w:val="00B0F0"/>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color w:val="00B0F0"/>
          <w:sz w:val="18"/>
          <w:szCs w:val="18"/>
        </w:rPr>
        <w:t xml:space="preserve">Trust predicate evaluation and authorisation decision flow (in the current prototype, V</w:t>
      </w:r>
      <w:r>
        <w:rPr>
          <w:rFonts w:ascii="Times New Roman" w:cs="Times New Roman" w:eastAsia="Times New Roman" w:hAnsi="Times New Roman"/>
          <w:color w:val="00B0F0"/>
          <w:sz w:val="18"/>
          <w:szCs w:val="18"/>
          <w:vertAlign w:val="subscript"/>
        </w:rPr>
        <w:t xml:space="preserve">I</w:t>
      </w:r>
      <w:r>
        <w:rPr>
          <w:rFonts w:ascii="Times New Roman" w:cs="Times New Roman" w:eastAsia="Times New Roman" w:hAnsi="Times New Roman"/>
          <w:color w:val="00B0F0"/>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47950"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color w:val="00B0F0"/>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color w:val="00B0F0"/>
          <w:sz w:val="22"/>
          <w:szCs w:val="22"/>
        </w:rPr>
        <w:t xml:space="preserve">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 therefore contains each member of G at most once, and an approval from a signer outside G does not enter A</w:t>
      </w:r>
      <w:r>
        <w:rPr>
          <w:rFonts w:ascii="Times New Roman" w:cs="Times New Roman" w:eastAsia="Times New Roman" w:hAnsi="Times New Roman"/>
          <w:color w:val="00B0F0"/>
          <w:sz w:val="22"/>
          <w:szCs w:val="22"/>
          <w:vertAlign w:val="subscript"/>
        </w:rPr>
        <w:t xml:space="preserve">v</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w:t>
      </w:r>
      <w:r>
        <w:rPr>
          <w:rFonts w:ascii="Times New Roman" w:cs="Times New Roman" w:eastAsia="Times New Roman" w:hAnsi="Times New Roman"/>
          <w:color w:val="00B0F0"/>
          <w:sz w:val="22"/>
          <w:szCs w:val="22"/>
        </w:rPr>
        <w:t xml:space="preserve">a registration-time co-consent [27], a documentation-time gate on guardian access [52], an institution-side admission gate [61], a custodial M-of-N signature [25], a key-share reconstruction [50], or a threshold proxy re-encryption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{g ∈ G | ∃ 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A</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 submitted by g with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color w:val="00B0F0"/>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color w:val="00B0F0"/>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219325"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193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color w:val="00B0F0"/>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color w:val="00B0F0"/>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67],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color w:val="00B0F0"/>
          <w:sz w:val="22"/>
          <w:szCs w:val="22"/>
        </w:rPr>
        <w:t xml:space="preserve">The system then validates the guardian set G, which must contain at least one guardian with a well-formed DID.</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color w:val="00B0F0"/>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color w:val="00B0F0"/>
          <w:sz w:val="19"/>
          <w:szCs w:val="19"/>
        </w:rPr>
        <w:t xml:space="preserve">Validate authorised doctor D, guardian set G, purpose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data scope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 any member of G is invalid,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is invalid, or S</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 ∅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color w:val="00B0F0"/>
          <w:sz w:val="19"/>
          <w:szCs w:val="19"/>
        </w:rPr>
        <w:t xml:space="preserve">Construct C = (I, A, P, T, L, E) with identifier id</w:t>
      </w:r>
      <w:r>
        <w:rPr>
          <w:rFonts w:ascii="Times New Roman" w:cs="Times New Roman" w:eastAsia="Times New Roman" w:hAnsi="Times New Roman"/>
          <w:color w:val="00B0F0"/>
          <w:sz w:val="19"/>
          <w:szCs w:val="19"/>
          <w:vertAlign w:val="subscript"/>
        </w:rPr>
        <w:t xml:space="preserve">C</w:t>
      </w:r>
      <w:r>
        <w:rPr>
          <w:rFonts w:ascii="Times New Roman" w:cs="Times New Roman" w:eastAsia="Times New Roman" w:hAnsi="Times New Roman"/>
          <w:color w:val="00B0F0"/>
          <w:sz w:val="19"/>
          <w:szCs w:val="19"/>
        </w:rPr>
        <w:t xml:space="preserve">, where I holds I</w:t>
      </w:r>
      <w:r>
        <w:rPr>
          <w:rFonts w:ascii="Times New Roman" w:cs="Times New Roman" w:eastAsia="Times New Roman" w:hAnsi="Times New Roman"/>
          <w:color w:val="00B0F0"/>
          <w:sz w:val="19"/>
          <w:szCs w:val="19"/>
          <w:vertAlign w:val="subscript"/>
        </w:rPr>
        <w:t xml:space="preserve">p</w:t>
      </w:r>
      <w:r>
        <w:rPr>
          <w:rFonts w:ascii="Times New Roman" w:cs="Times New Roman" w:eastAsia="Times New Roman" w:hAnsi="Times New Roman"/>
          <w:color w:val="00B0F0"/>
          <w:sz w:val="19"/>
          <w:szCs w:val="19"/>
        </w:rPr>
        <w:t xml:space="preserve"> and D, A holds G and the threshold N = |G|, and P holds P</w:t>
      </w:r>
      <w:r>
        <w:rPr>
          <w:rFonts w:ascii="Times New Roman" w:cs="Times New Roman" w:eastAsia="Times New Roman" w:hAnsi="Times New Roman"/>
          <w:color w:val="00B0F0"/>
          <w:sz w:val="19"/>
          <w:szCs w:val="19"/>
          <w:vertAlign w:val="subscript"/>
        </w:rPr>
        <w:t xml:space="preserve">u</w:t>
      </w:r>
      <w:r>
        <w:rPr>
          <w:rFonts w:ascii="Times New Roman" w:cs="Times New Roman" w:eastAsia="Times New Roman" w:hAnsi="Times New Roman"/>
          <w:color w:val="00B0F0"/>
          <w:sz w:val="19"/>
          <w:szCs w:val="19"/>
        </w:rPr>
        <w:t xml:space="preserve"> and S</w:t>
      </w:r>
      <w:r>
        <w:rPr>
          <w:rFonts w:ascii="Times New Roman" w:cs="Times New Roman" w:eastAsia="Times New Roman" w:hAnsi="Times New Roman"/>
          <w:color w:val="00B0F0"/>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color w:val="00B0F0"/>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color w:val="00B0F0"/>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color w:val="00B0F0"/>
          <w:sz w:val="18"/>
          <w:szCs w:val="18"/>
        </w:rPr>
        <w:t xml:space="preserve">RO2 workflow for decentralised identity and authority verification (target design</w:t>
      </w:r>
      <w:r>
        <w:rPr>
          <w:rFonts w:ascii="Times New Roman" w:cs="Times New Roman" w:eastAsia="Times New Roman" w:hAnsi="Times New Roman"/>
          <w:color w:val="00B0F0"/>
          <w:sz w:val="18"/>
          <w:szCs w:val="18"/>
        </w:rPr>
        <w:t xml:space="preserve">;</w:t>
      </w:r>
      <w:r>
        <w:rPr>
          <w:rFonts w:ascii="Times New Roman" w:cs="Times New Roman" w:eastAsia="Times New Roman" w:hAnsi="Times New Roman"/>
          <w:color w:val="00B0F0"/>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color w:val="00B0F0"/>
          <w:sz w:val="22"/>
          <w:szCs w:val="22"/>
        </w:rPr>
        <w:t xml:space="preserve">two-layer verification mechanism, VerifyDID(u) ∧ VerifyVC(u) ∧ Authority(u, C) ⇒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where VALID corresponds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1 and INVALID to V</w:t>
      </w:r>
      <w:r>
        <w:rPr>
          <w:rFonts w:ascii="Times New Roman" w:cs="Times New Roman" w:eastAsia="Times New Roman" w:hAnsi="Times New Roman"/>
          <w:color w:val="00B0F0"/>
          <w:sz w:val="22"/>
          <w:szCs w:val="22"/>
          <w:vertAlign w:val="subscript"/>
        </w:rPr>
        <w:t xml:space="preserve">I</w:t>
      </w:r>
      <w:r>
        <w:rPr>
          <w:rFonts w:ascii="Times New Roman" w:cs="Times New Roman" w:eastAsia="Times New Roman" w:hAnsi="Times New Roman"/>
          <w:color w:val="00B0F0"/>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color w:val="00B0F0"/>
          <w:sz w:val="19"/>
          <w:szCs w:val="19"/>
        </w:rPr>
        <w:t xml:space="preserve">Verification result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{VALID, INVALID}, where VALID corresponds to V</w:t>
      </w:r>
      <w:r>
        <w:rPr>
          <w:rFonts w:ascii="Times New Roman" w:cs="Times New Roman" w:eastAsia="Times New Roman" w:hAnsi="Times New Roman"/>
          <w:color w:val="00B0F0"/>
          <w:sz w:val="19"/>
          <w:szCs w:val="19"/>
          <w:vertAlign w:val="subscript"/>
        </w:rPr>
        <w:t xml:space="preserve">I</w:t>
      </w:r>
      <w:r>
        <w:rPr>
          <w:rFonts w:ascii="Times New Roman" w:cs="Times New Roman" w:eastAsia="Times New Roman" w:hAnsi="Times New Roman"/>
          <w:color w:val="00B0F0"/>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279082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908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color w:val="00B0F0"/>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color w:val="00B0F0"/>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color w:val="00B0F0"/>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 G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color w:val="00B0F0"/>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g has already approved C </w:t>
      </w:r>
      <w:r>
        <w:rPr>
          <w:rFonts w:ascii="Times New Roman" w:cs="Times New Roman" w:eastAsia="Times New Roman" w:hAnsi="Times New Roman"/>
          <w:b/>
          <w:bCs/>
          <w:color w:val="00B0F0"/>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color w:val="00B0F0"/>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color w:val="00B0F0"/>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&lt; N ⟹ Decision(C, R, t)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color w:val="00B0F0"/>
          <w:sz w:val="22"/>
          <w:szCs w:val="22"/>
        </w:rPr>
        <w:t xml:space="preserve">For example, where N = 2, Equation (12) holds for a consent that has a token identifier and has not been revoked, whereas Equation (13)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|A</w:t>
      </w:r>
      <w:r>
        <w:rPr>
          <w:rFonts w:ascii="Cambria Math" w:cs="Cambria Math" w:eastAsia="Cambria Math" w:hAnsi="Cambria Math"/>
          <w:i w:val="false"/>
          <w:iCs w:val="false"/>
          <w:color w:val="00B0F0"/>
          <w:sz w:val="21"/>
          <w:szCs w:val="21"/>
          <w:vertAlign w:val="subscript"/>
        </w:rPr>
        <w:t xml:space="preserve">v</w:t>
      </w:r>
      <w:r>
        <w:rPr>
          <w:rFonts w:ascii="Cambria Math" w:cs="Cambria Math" w:eastAsia="Cambria Math" w:hAnsi="Cambria Math"/>
          <w:i w:val="false"/>
          <w:iCs w:val="false"/>
          <w:color w:val="00B0F0"/>
          <w:sz w:val="21"/>
          <w:szCs w:val="21"/>
        </w:rPr>
        <w:t xml:space="preserve">| = 2 ∧ Token(C) ≠ ∅ ∧ Revoked(C) = 0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U</w:t>
      </w:r>
      <w:r>
        <w:rPr>
          <w:rFonts w:ascii="Cambria Math" w:cs="Cambria Math" w:eastAsia="Cambria Math" w:hAnsi="Cambria Math"/>
          <w:i w:val="false"/>
          <w:iCs w:val="false"/>
          <w:color w:val="00B0F0"/>
          <w:sz w:val="21"/>
          <w:szCs w:val="21"/>
        </w:rPr>
        <w:t xml:space="preserve">(C, R) ∧ V</w:t>
      </w:r>
      <w:r>
        <w:rPr>
          <w:rFonts w:ascii="Cambria Math" w:cs="Cambria Math" w:eastAsia="Cambria Math" w:hAnsi="Cambria Math"/>
          <w:i w:val="false"/>
          <w:iCs w:val="false"/>
          <w:color w:val="00B0F0"/>
          <w:sz w:val="21"/>
          <w:szCs w:val="21"/>
          <w:vertAlign w:val="subscript"/>
        </w:rPr>
        <w:t xml:space="preserve">S</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color w:val="00B0F0"/>
          <w:sz w:val="22"/>
          <w:szCs w:val="22"/>
        </w:rPr>
        <w:t xml:space="preserve">Suppose that a consent permits access to the data categories given in Equation (17), and a healthcare professional then requests the categories given in Equation (18).</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color w:val="00B0F0"/>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S</w:t>
      </w:r>
      <w:r>
        <w:rPr>
          <w:rFonts w:ascii="Cambria Math" w:cs="Cambria Math" w:eastAsia="Cambria Math" w:hAnsi="Cambria Math"/>
          <w:i w:val="false"/>
          <w:iCs w:val="false"/>
          <w:color w:val="00B0F0"/>
          <w:sz w:val="21"/>
          <w:szCs w:val="21"/>
          <w:vertAlign w:val="subscript"/>
        </w:rPr>
        <w:t xml:space="preserve">R</w:t>
      </w:r>
      <w:r>
        <w:rPr>
          <w:rFonts w:ascii="Cambria Math" w:cs="Cambria Math" w:eastAsia="Cambria Math" w:hAnsi="Cambria Math"/>
          <w:i w:val="false"/>
          <w:iCs w:val="false"/>
          <w:color w:val="00B0F0"/>
          <w:sz w:val="21"/>
          <w:szCs w:val="21"/>
        </w:rPr>
        <w:t xml:space="preserve"> ⊈ S</w:t>
      </w:r>
      <w:r>
        <w:rPr>
          <w:rFonts w:ascii="Cambria Math" w:cs="Cambria Math" w:eastAsia="Cambria Math" w:hAnsi="Cambria Math"/>
          <w:i w:val="false"/>
          <w:iCs w:val="false"/>
          <w:color w:val="00B0F0"/>
          <w:sz w:val="21"/>
          <w:szCs w:val="21"/>
          <w:vertAlign w:val="subscript"/>
        </w:rPr>
        <w:t xml:space="preserve">C</w:t>
      </w:r>
      <w:r>
        <w:rPr>
          <w:rFonts w:ascii="Cambria Math" w:cs="Cambria Math" w:eastAsia="Cambria Math" w:hAnsi="Cambria Math"/>
          <w:i w:val="false"/>
          <w:iCs w:val="false"/>
          <w:color w:val="00B0F0"/>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w:t>
      </w:r>
      <w:r>
        <w:rPr>
          <w:rFonts w:ascii="Times New Roman" w:cs="Times New Roman" w:eastAsia="Times New Roman" w:hAnsi="Times New Roman"/>
          <w:color w:val="00B0F0"/>
          <w:sz w:val="22"/>
          <w:szCs w:val="22"/>
        </w:rPr>
        <w:t xml:space="preserve">If any mandatory condition fails during the evaluation process, the system returns DENY and records the corresponding denial evidence. The exception is a consent that is not ACTIVE, whose refusal is reported only in the doctor interface in the prototype.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   </w:t>
      </w:r>
      <w:r>
        <w:rPr>
          <w:rFonts w:ascii="Times New Roman" w:cs="Times New Roman" w:eastAsia="Times New Roman" w:hAnsi="Times New Roman"/>
          <w:color w:val="00B0F0"/>
          <w:sz w:val="19"/>
          <w:szCs w:val="19"/>
        </w:rPr>
        <w:t xml:space="preserve">▷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color w:val="00B0F0"/>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color w:val="00B0F0"/>
          <w:sz w:val="19"/>
          <w:szCs w:val="19"/>
        </w:rPr>
        <w:t xml:space="preserve">if</w:t>
      </w:r>
      <w:r>
        <w:rPr>
          <w:rFonts w:ascii="Times New Roman" w:cs="Times New Roman" w:eastAsia="Times New Roman" w:hAnsi="Times New Roman"/>
          <w:color w:val="00B0F0"/>
          <w:sz w:val="19"/>
          <w:szCs w:val="19"/>
        </w:rPr>
        <w:t xml:space="preserve"> the proof does not verify </w:t>
      </w:r>
      <w:r>
        <w:rPr>
          <w:rFonts w:ascii="Times New Roman" w:cs="Times New Roman" w:eastAsia="Times New Roman" w:hAnsi="Times New Roman"/>
          <w:b/>
          <w:bCs/>
          <w:color w:val="00B0F0"/>
          <w:sz w:val="19"/>
          <w:szCs w:val="19"/>
        </w:rPr>
        <w:t xml:space="preserve">then</w:t>
      </w:r>
      <w:r>
        <w:rPr>
          <w:rFonts w:ascii="Times New Roman" w:cs="Times New Roman" w:eastAsia="Times New Roman" w:hAnsi="Times New Roman"/>
          <w:color w:val="00B0F0"/>
          <w:sz w:val="19"/>
          <w:szCs w:val="19"/>
        </w:rPr>
        <w:t xml:space="preserve"> Record denied decision and </w:t>
      </w:r>
      <w:r>
        <w:rPr>
          <w:rFonts w:ascii="Times New Roman" w:cs="Times New Roman" w:eastAsia="Times New Roman" w:hAnsi="Times New Roman"/>
          <w:b/>
          <w:bCs/>
          <w:color w:val="00B0F0"/>
          <w:sz w:val="19"/>
          <w:szCs w:val="19"/>
        </w:rPr>
        <w:t xml:space="preserve">return</w:t>
      </w:r>
      <w:r>
        <w:rPr>
          <w:rFonts w:ascii="Times New Roman" w:cs="Times New Roman" w:eastAsia="Times New Roman" w:hAnsi="Times New Roman"/>
          <w:color w:val="00B0F0"/>
          <w:sz w:val="19"/>
          <w:szCs w:val="19"/>
        </w:rPr>
        <w:t xml:space="preserve"> DENY </w:t>
      </w:r>
      <w:r>
        <w:rPr>
          <w:rFonts w:ascii="Times New Roman" w:cs="Times New Roman" w:eastAsia="Times New Roman" w:hAnsi="Times New Roman"/>
          <w:b/>
          <w:bCs/>
          <w:color w:val="00B0F0"/>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w:t>
      </w:r>
      <w:r>
        <w:rPr>
          <w:rFonts w:ascii="Times New Roman" w:cs="Times New Roman" w:eastAsia="Times New Roman" w:hAnsi="Times New Roman"/>
          <w:color w:val="00B0F0"/>
          <w:sz w:val="22"/>
          <w:szCs w:val="22"/>
        </w:rPr>
        <w:t xml:space="preserve">behind a Poseidon commitment [70]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color w:val="00B0F0"/>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color w:val="00B0F0"/>
          <w:sz w:val="22"/>
          <w:szCs w:val="22"/>
        </w:rPr>
        <w:t xml:space="preserve">As in Section 5.2, revocation and the token state remain part of V</w:t>
      </w:r>
      <w:r>
        <w:rPr>
          <w:rFonts w:ascii="Times New Roman" w:cs="Times New Roman" w:eastAsia="Times New Roman" w:hAnsi="Times New Roman"/>
          <w:color w:val="00B0F0"/>
          <w:sz w:val="22"/>
          <w:szCs w:val="22"/>
          <w:vertAlign w:val="subscript"/>
        </w:rPr>
        <w:t xml:space="preserve">A</w:t>
      </w:r>
      <w:r>
        <w:rPr>
          <w:rFonts w:ascii="Times New Roman" w:cs="Times New Roman" w:eastAsia="Times New Roman" w:hAnsi="Times New Roman"/>
          <w:color w:val="00B0F0"/>
          <w:sz w:val="22"/>
          <w:szCs w:val="22"/>
        </w:rPr>
        <w:t xml:space="preserve">, while the time-based states are evaluated within V</w:t>
      </w:r>
      <w:r>
        <w:rPr>
          <w:rFonts w:ascii="Times New Roman" w:cs="Times New Roman" w:eastAsia="Times New Roman" w:hAnsi="Times New Roman"/>
          <w:color w:val="00B0F0"/>
          <w:sz w:val="22"/>
          <w:szCs w:val="22"/>
          <w:vertAlign w:val="subscript"/>
        </w:rPr>
        <w:t xml:space="preserve">T</w:t>
      </w:r>
      <w:r>
        <w:rPr>
          <w:rFonts w:ascii="Times New Roman" w:cs="Times New Roman" w:eastAsia="Times New Roman" w:hAnsi="Times New Roman"/>
          <w:color w:val="00B0F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color w:val="00B0F0"/>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color w:val="00B0F0"/>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color w:val="00B0F0"/>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Decision(C, R, t) = ALLOW ⇒ 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color w:val="00B0F0"/>
          <w:sz w:val="21"/>
          <w:szCs w:val="21"/>
        </w:rPr>
        <w:t xml:space="preserve">¬V</w:t>
      </w:r>
      <w:r>
        <w:rPr>
          <w:rFonts w:ascii="Cambria Math" w:cs="Cambria Math" w:eastAsia="Cambria Math" w:hAnsi="Cambria Math"/>
          <w:i w:val="false"/>
          <w:iCs w:val="false"/>
          <w:color w:val="00B0F0"/>
          <w:sz w:val="21"/>
          <w:szCs w:val="21"/>
          <w:vertAlign w:val="subscript"/>
        </w:rPr>
        <w:t xml:space="preserve">I</w:t>
      </w:r>
      <w:r>
        <w:rPr>
          <w:rFonts w:ascii="Cambria Math" w:cs="Cambria Math" w:eastAsia="Cambria Math" w:hAnsi="Cambria Math"/>
          <w:i w:val="false"/>
          <w:iCs w:val="false"/>
          <w:color w:val="00B0F0"/>
          <w:sz w:val="21"/>
          <w:szCs w:val="21"/>
        </w:rPr>
        <w:t xml:space="preserve">(u) ∨ ¬V</w:t>
      </w:r>
      <w:r>
        <w:rPr>
          <w:rFonts w:ascii="Cambria Math" w:cs="Cambria Math" w:eastAsia="Cambria Math" w:hAnsi="Cambria Math"/>
          <w:i w:val="false"/>
          <w:iCs w:val="false"/>
          <w:color w:val="00B0F0"/>
          <w:sz w:val="21"/>
          <w:szCs w:val="21"/>
          <w:vertAlign w:val="subscript"/>
        </w:rPr>
        <w:t xml:space="preserve">A</w:t>
      </w:r>
      <w:r>
        <w:rPr>
          <w:rFonts w:ascii="Cambria Math" w:cs="Cambria Math" w:eastAsia="Cambria Math" w:hAnsi="Cambria Math"/>
          <w:i w:val="false"/>
          <w:iCs w:val="false"/>
          <w:color w:val="00B0F0"/>
          <w:sz w:val="21"/>
          <w:szCs w:val="21"/>
        </w:rPr>
        <w:t xml:space="preserve">(C) ∨ ¬V</w:t>
      </w:r>
      <w:r>
        <w:rPr>
          <w:rFonts w:ascii="Cambria Math" w:cs="Cambria Math" w:eastAsia="Cambria Math" w:hAnsi="Cambria Math"/>
          <w:i w:val="false"/>
          <w:iCs w:val="false"/>
          <w:color w:val="00B0F0"/>
          <w:sz w:val="21"/>
          <w:szCs w:val="21"/>
          <w:vertAlign w:val="subscript"/>
        </w:rPr>
        <w:t xml:space="preserve">P</w:t>
      </w:r>
      <w:r>
        <w:rPr>
          <w:rFonts w:ascii="Cambria Math" w:cs="Cambria Math" w:eastAsia="Cambria Math" w:hAnsi="Cambria Math"/>
          <w:i w:val="false"/>
          <w:iCs w:val="false"/>
          <w:color w:val="00B0F0"/>
          <w:sz w:val="21"/>
          <w:szCs w:val="21"/>
        </w:rPr>
        <w:t xml:space="preserve">(C, R) ⇒ Decision(C, R, t)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w:t>
      </w:r>
      <w:r>
        <w:rPr>
          <w:rFonts w:ascii="Times New Roman" w:cs="Times New Roman" w:eastAsia="Times New Roman" w:hAnsi="Times New Roman"/>
          <w:color w:val="00B0F0"/>
          <w:sz w:val="22"/>
          <w:szCs w:val="22"/>
        </w:rPr>
        <w:t xml:space="preserve">The SBT, a soulbound ERC-721 token [71] that follows ERC-5484 [72]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color w:val="00B0F0"/>
          <w:sz w:val="22"/>
          <w:szCs w:val="22"/>
        </w:rPr>
        <w:t xml:space="preserve">The creation, approval, and record-display screens (Figure 15, Figure 16 and Figure 18) were captured from a second lifecycle, 04da25f5, which used the same code, contract, and configuration and was anchored as token #2. Figure 17 shows the evaluated consent f050c29a.</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w:t>
      </w:r>
      <w:r>
        <w:rPr>
          <w:rFonts w:ascii="Times New Roman" w:cs="Times New Roman" w:eastAsia="Times New Roman" w:hAnsi="Times New Roman"/>
          <w:color w:val="00B0F0"/>
          <w:sz w:val="22"/>
          <w:szCs w:val="22"/>
        </w:rPr>
        <w:t xml:space="preserve">The public anchoring of the evaluated consent f050c29a in block 11,771,243 (block 11,771,581 for consent 04da25f5 in Figure 16)</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color w:val="00B0F0"/>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3352800" cy="3810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color w:val="00B0F0"/>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color w:val="00B0F0"/>
          <w:sz w:val="22"/>
          <w:szCs w:val="22"/>
        </w:rPr>
        <w:t xml:space="preserve">compares the on-chain record and revocation state of tokens #1 and #2 on the current contract with the local state, with the result shown in Figure 22.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color w:val="00B0F0"/>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color w:val="00B0F0"/>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color w:val="00B0F0"/>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color w:val="00B0F0"/>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color w:val="00B0F0"/>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0 is not plotted, as its values are close to those of the checkValidAt read" title="Processing time of the decision components on a logarithmic axis (median and minimum to maximum). The checkValid read of Table 10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color w:val="00B0F0"/>
          <w:sz w:val="18"/>
          <w:szCs w:val="18"/>
        </w:rPr>
        <w:t xml:space="preserve">Processing time of the decision components on a logarithmic axis (median and minimum to maximum). The checkValid read of Table 10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color w:val="00B0F0"/>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color w:val="00B0F0"/>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color w:val="00B0F0"/>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color w:val="00B0F0"/>
          <w:sz w:val="18"/>
          <w:szCs w:val="18"/>
        </w:rPr>
        <w:t xml:space="preserve">T. L. Nguyen, L. Nguyen, T. Hoang, D. Bandara, Q. Wang, Q. Lu, et al. Blockchain-empowered trustworthy data sharing: Fundamentals, applications, and challenges. ACM Computing Surveys, 57(8):195,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color w:val="00B0F0"/>
          <w:sz w:val="18"/>
          <w:szCs w:val="18"/>
        </w:rPr>
        <w:t xml:space="preserve">A. M. Tawfik, A. Al-Ahwal, A. S. Tag Eldien, and H. H. Zayed. Blockchain-based access control and privacy preservation in healthcare: A comprehensive survey. Cluster Computing, 28:529,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color w:val="00B0F0"/>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color w:val="00B0F0"/>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color w:val="00B0F0"/>
          <w:sz w:val="18"/>
          <w:szCs w:val="18"/>
        </w:rPr>
        <w:t xml:space="preserve">A. Punia, P. Gulia, N. S. Gill, D. Kaushik, N. Alduaiji, P. K. Shukla, et al. An access control system for cloud-based healthcare systems driven by blockchain. Journal of Cloud Computing, 14(1):78,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color w:val="00B0F0"/>
          <w:sz w:val="18"/>
          <w:szCs w:val="18"/>
        </w:rPr>
        <w:t xml:space="preserve">K. Ekholm, A. Augustinsson, J. Sundström, C. Johansen, M. Storgärds, L. Ljöstad, et al. Implementing electronic informed consent in rare disease genomics. Scientific Reports, 15(1):44419,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color w:val="00B0F0"/>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LNCS, vol. 13272,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color w:val="00B0F0"/>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color w:val="00B0F0"/>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color w:val="00B0F0"/>
          <w:sz w:val="18"/>
          <w:szCs w:val="18"/>
        </w:rPr>
        <w:t xml:space="preserve">S. Phuyal, M. Bhandari, R. Bista, and J. C. Ferreira. A blockchain-based architecture for dynamic and auditable patient consent in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color w:val="00B0F0"/>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color w:val="00B0F0"/>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2022.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color w:val="00B0F0"/>
          <w:sz w:val="18"/>
          <w:szCs w:val="18"/>
        </w:rPr>
        <w:t xml:space="preserve">R. Bloemen, L. Logvinov, and J. Evans. EIP-712: Typed structured data hashing and signing. Ethereum Improvement Proposals, no. 712, 2017.</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color w:val="00B0F0"/>
          <w:sz w:val="18"/>
          <w:szCs w:val="18"/>
        </w:rPr>
        <w:t xml:space="preserve">M. Shanmugham and C. Senthilkumar. Blockchain enabled self-sovereign identity and consent framework for secure healthcare data access. In 2026 3rd International Conference on Emerging Trends in Engineering and Medical Sciences (ICETEMS), pages 1–6,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[68]	</w:t>
      </w:r>
      <w:r>
        <w:rPr>
          <w:rFonts w:ascii="Times New Roman" w:cs="Times New Roman" w:eastAsia="Times New Roman" w:hAnsi="Times New Roman"/>
          <w:color w:val="00B0F0"/>
          <w:sz w:val="18"/>
          <w:szCs w:val="18"/>
        </w:rPr>
        <w:t xml:space="preserve">N. M. Sawant and J. Gomes. A decentralized solution for smarter and safer healthcare systems with FabricMedChain. Iranian Journal of Science and Technology, Transactions of Electrical Engineering, 50:2843–2869, 2026. doi:10.1007/s40998-025-00994-0</w:t>
      </w:r>
    </w:p>
    <w:p>
      <w:pPr>
        <w:tabs>
          <w:tab w:val="left" w:pos="560"/>
        </w:tabs>
        <w:spacing w:after="50" w:line="240"/>
        <w:ind w:left="560" w:hanging="560"/>
        <w:jc w:val="left"/>
      </w:pPr>
      <w:r>
        <w:rPr>
          <w:rFonts w:ascii="Times New Roman" w:cs="Times New Roman" w:eastAsia="Times New Roman" w:hAnsi="Times New Roman"/>
          <w:sz w:val="18"/>
          <w:szCs w:val="18"/>
        </w:rPr>
        <w:t xml:space="preserve">[69]	</w:t>
      </w:r>
      <w:r>
        <w:rPr>
          <w:rFonts w:ascii="Times New Roman" w:cs="Times New Roman" w:eastAsia="Times New Roman" w:hAnsi="Times New Roman"/>
          <w:color w:val="00B0F0"/>
          <w:sz w:val="18"/>
          <w:szCs w:val="18"/>
        </w:rPr>
        <w:t xml:space="preserve">J. Groth. On the size of pairing-based non-interactive arguments. In Advances in Cryptology – EUROCRYPT 2016, LNCS, vol. 9666, pages 305–326. Springer, 2016. doi:10.1007/978-3-662-49896-5_11</w:t>
      </w:r>
    </w:p>
    <w:p>
      <w:pPr>
        <w:tabs>
          <w:tab w:val="left" w:pos="560"/>
        </w:tabs>
        <w:spacing w:after="50" w:line="240"/>
        <w:ind w:left="560" w:hanging="560"/>
        <w:jc w:val="left"/>
      </w:pPr>
      <w:r>
        <w:rPr>
          <w:rFonts w:ascii="Times New Roman" w:cs="Times New Roman" w:eastAsia="Times New Roman" w:hAnsi="Times New Roman"/>
          <w:sz w:val="18"/>
          <w:szCs w:val="18"/>
        </w:rPr>
        <w:t xml:space="preserve">[70]	</w:t>
      </w:r>
      <w:r>
        <w:rPr>
          <w:rFonts w:ascii="Times New Roman" w:cs="Times New Roman" w:eastAsia="Times New Roman" w:hAnsi="Times New Roman"/>
          <w:color w:val="00B0F0"/>
          <w:sz w:val="18"/>
          <w:szCs w:val="18"/>
        </w:rPr>
        <w:t xml:space="preserve">L. Grassi, D. Khovratovich, C. Rechberger, A. Roy, and M. Schofnegger. Poseidon: A new hash function for zero-knowledge proof systems. In Proceedings of the 30th USENIX Security Symposium, pages 519–535, 2021.</w:t>
      </w:r>
    </w:p>
    <w:p>
      <w:pPr>
        <w:tabs>
          <w:tab w:val="left" w:pos="560"/>
        </w:tabs>
        <w:spacing w:after="50" w:line="240"/>
        <w:ind w:left="560" w:hanging="560"/>
        <w:jc w:val="left"/>
      </w:pPr>
      <w:r>
        <w:rPr>
          <w:rFonts w:ascii="Times New Roman" w:cs="Times New Roman" w:eastAsia="Times New Roman" w:hAnsi="Times New Roman"/>
          <w:sz w:val="18"/>
          <w:szCs w:val="18"/>
        </w:rPr>
        <w:t xml:space="preserve">[71]	</w:t>
      </w:r>
      <w:r>
        <w:rPr>
          <w:rFonts w:ascii="Times New Roman" w:cs="Times New Roman" w:eastAsia="Times New Roman" w:hAnsi="Times New Roman"/>
          <w:color w:val="00B0F0"/>
          <w:sz w:val="18"/>
          <w:szCs w:val="18"/>
        </w:rPr>
        <w:t xml:space="preserve">W. Entriken, D. Shirley, J. Evans, and N. Sachs. ERC-721: Non-fungible token standard. Ethereum Improvement Proposals, no. 721, 2018.</w:t>
      </w:r>
    </w:p>
    <w:p>
      <w:pPr>
        <w:tabs>
          <w:tab w:val="left" w:pos="560"/>
        </w:tabs>
        <w:spacing w:after="50" w:line="240"/>
        <w:ind w:left="560" w:hanging="560"/>
        <w:jc w:val="left"/>
      </w:pPr>
      <w:r>
        <w:rPr>
          <w:rFonts w:ascii="Times New Roman" w:cs="Times New Roman" w:eastAsia="Times New Roman" w:hAnsi="Times New Roman"/>
          <w:sz w:val="18"/>
          <w:szCs w:val="18"/>
        </w:rPr>
        <w:t xml:space="preserve">[72]	</w:t>
      </w:r>
      <w:r>
        <w:rPr>
          <w:rFonts w:ascii="Times New Roman" w:cs="Times New Roman" w:eastAsia="Times New Roman" w:hAnsi="Times New Roman"/>
          <w:color w:val="00B0F0"/>
          <w:sz w:val="18"/>
          <w:szCs w:val="18"/>
        </w:rPr>
        <w:t xml:space="preserve">B. Cai. ERC-5484: Consensual soulbound tokens. Ethereum Improvement Proposals, no. 5484, 2022.</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cc1f3f18db430dce93f3fb19f346c61fa4eb17dd.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92573cd98c306213338e8eb3e9c4547f4ba94ff3.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611ffc9f54ad68955faeb4afc3977b75fcf363f7.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2026-10-04T07:33:50.423Z</dcterms:created>
  <dcterms:modified xsi:type="dcterms:W3CDTF">2026-10-04T07:33:50.424Z</dcterms:modified>
</cp:coreProperties>
</file>

<file path=docProps/custom.xml><?xml version="1.0" encoding="utf-8"?>
<Properties xmlns="http://schemas.openxmlformats.org/officeDocument/2006/custom-properties" xmlns:vt="http://schemas.openxmlformats.org/officeDocument/2006/docPropsVTypes"/>
</file>