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31</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59</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62</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85</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92</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95</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139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178</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CC"/>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25 included studies were published between 2020 and 2026</w:t>
      </w:r>
      <w:r>
        <w:rPr>
          <w:rFonts w:ascii="Cambria" w:cs="Cambria" w:eastAsia="Cambria" w:hAnsi="Cambria"/>
          <w:color w:val="0000CC"/>
          <w:sz w:val="24"/>
          <w:szCs w:val="24"/>
        </w:rPr>
        <w:t xml:space="preserve">, which is the publication period fixed in the review protocol. </w:t>
      </w:r>
      <w:r>
        <w:rPr>
          <w:rFonts w:ascii="Cambria" w:cs="Cambria" w:eastAsia="Cambria" w:hAnsi="Cambria"/>
          <w:color w:val="E6007E"/>
          <w:sz w:val="24"/>
          <w:szCs w:val="24"/>
        </w:rPr>
        <w:t xml:space="preserve">Of the 25 studies, 13 were retrieved through Scopus, 10 through IEEE Xplore and two through ProQuest,</w:t>
      </w:r>
      <w:r>
        <w:rPr>
          <w:rFonts w:ascii="Cambria" w:cs="Cambria" w:eastAsia="Cambria" w:hAnsi="Cambria"/>
          <w:color w:val="0000CC"/>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E6007E"/>
          <w:sz w:val="24"/>
          <w:szCs w:val="24"/>
        </w:rPr>
        <w:t xml:space="preserve">each included study is referred to by the label Sn (S1 to S25)</w:t>
      </w:r>
      <w:r>
        <w:rPr>
          <w:rFonts w:ascii="Cambria" w:cs="Cambria" w:eastAsia="Cambria" w:hAnsi="Cambria"/>
          <w:color w:val="0000CC"/>
          <w:sz w:val="24"/>
          <w:szCs w:val="24"/>
        </w:rPr>
        <w:t xml:space="preserve"> together with its reference number, so that the reader can move between the tables, the text and the reference list without ambiguity. </w:t>
      </w:r>
      <w:r>
        <w:rPr>
          <w:rFonts w:ascii="Cambria" w:cs="Cambria" w:eastAsia="Cambria" w:hAnsi="Cambria"/>
          <w:color w:val="E6007E"/>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w:t>
      </w:r>
      <w:r>
        <w:rPr>
          <w:rFonts w:ascii="Cambria" w:cs="Cambria" w:eastAsia="Cambria" w:hAnsi="Cambria"/>
          <w:color w:val="E6007E"/>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Every one of the 44 reports also passed the quality gate</w:t>
      </w:r>
      <w:r>
        <w:rPr>
          <w:rFonts w:ascii="Cambria" w:cs="Cambria" w:eastAsia="Cambria" w:hAnsi="Cambria"/>
          <w:color w:val="0000CC"/>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E6007E"/>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E6007E"/>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E6007E"/>
          <w:sz w:val="24"/>
          <w:szCs w:val="24"/>
        </w:rPr>
        <w:t xml:space="preserve">Each of the 25 included studies was analysed</w:t>
      </w:r>
      <w:r>
        <w:rPr>
          <w:rFonts w:ascii="Cambria" w:cs="Cambria" w:eastAsia="Cambria" w:hAnsi="Cambria"/>
          <w:color w:val="0000CC"/>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w:t>
      </w:r>
      <w:r>
        <w:rPr>
          <w:rFonts w:ascii="Cambria" w:cs="Cambria" w:eastAsia="Cambria" w:hAnsi="Cambria"/>
          <w:color w:val="E6007E"/>
          <w:sz w:val="24"/>
          <w:szCs w:val="24"/>
        </w:rPr>
        <w:t xml:space="preserve">The studies are listed in Table 2 in the order of their labels S1 to S25, together with their reference numbers.</w:t>
      </w:r>
      <w:r>
        <w:rPr>
          <w:rFonts w:ascii="Cambria" w:cs="Cambria" w:eastAsia="Cambria" w:hAnsi="Cambria"/>
          <w:color w:val="0000CC"/>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E6007E"/>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E6007E"/>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E6007E"/>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two included studies illustrate</w:t>
      </w:r>
      <w:r>
        <w:rPr>
          <w:rFonts w:ascii="Cambria" w:cs="Cambria" w:eastAsia="Cambria" w:hAnsi="Cambria"/>
          <w:color w:val="0000CC"/>
          <w:sz w:val="24"/>
          <w:szCs w:val="24"/>
        </w:rPr>
        <w:t xml:space="preserv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Ten further reports were assigned to this stream and coded, but they are not part of the review corpus</w:t>
      </w:r>
      <w:r>
        <w:rPr>
          <w:rFonts w:ascii="Cambria" w:cs="Cambria" w:eastAsia="Cambria" w:hAnsi="Cambria"/>
          <w:color w:val="0000CC"/>
          <w:sz w:val="24"/>
          <w:szCs w:val="24"/>
        </w:rPr>
        <w:t xml:space="preserve">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ten supporting references were graded Partial</w:t>
      </w:r>
      <w:r>
        <w:rPr>
          <w:rFonts w:ascii="Cambria" w:cs="Cambria" w:eastAsia="Cambria" w:hAnsi="Cambria"/>
          <w:color w:val="0000CC"/>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E6007E"/>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CC"/>
          <w:sz w:val="24"/>
          <w:szCs w:val="24"/>
        </w:rPr>
        <w:t xml:space="preserve">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E6007E"/>
          <w:sz w:val="24"/>
          <w:szCs w:val="24"/>
        </w:rPr>
        <w:t xml:space="preserve">This section reviews the eight included studies of stream 3</w:t>
      </w:r>
      <w:r>
        <w:rPr>
          <w:rFonts w:ascii="Cambria" w:cs="Cambria" w:eastAsia="Cambria" w:hAnsi="Cambria"/>
          <w:color w:val="0000CC"/>
          <w:sz w:val="24"/>
          <w:szCs w:val="24"/>
        </w:rPr>
        <w:t xml:space="preserve">,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CC"/>
          <w:sz w:val="24"/>
          <w:szCs w:val="24"/>
        </w:rPr>
        <w:t xml:space="preserve">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This is the only study among the 25 included studies in which</w:t>
      </w:r>
      <w:r>
        <w:rPr>
          <w:rFonts w:ascii="Cambria" w:cs="Cambria" w:eastAsia="Cambria" w:hAnsi="Cambria"/>
          <w:color w:val="0000CC"/>
          <w:sz w:val="24"/>
          <w:szCs w:val="24"/>
        </w:rPr>
        <w:t xml:space="preserve">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E6007E"/>
          <w:sz w:val="24"/>
          <w:szCs w:val="24"/>
        </w:rPr>
        <w:t xml:space="preserve">This section reviews the four included studies of stream 4</w:t>
      </w:r>
      <w:r>
        <w:rPr>
          <w:rFonts w:ascii="Cambria" w:cs="Cambria" w:eastAsia="Cambria" w:hAnsi="Cambria"/>
          <w:color w:val="0000CC"/>
          <w:sz w:val="24"/>
          <w:szCs w:val="24"/>
        </w:rPr>
        <w:t xml:space="preserve">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4 was coded and retained outside the corpus.</w:t>
      </w:r>
      <w:r>
        <w:rPr>
          <w:rFonts w:ascii="Cambria" w:cs="Cambria" w:eastAsia="Cambria" w:hAnsi="Cambria"/>
          <w:color w:val="0000CC"/>
          <w:sz w:val="24"/>
          <w:szCs w:val="24"/>
        </w:rPr>
        <w:t xml:space="preserve">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E6007E"/>
          <w:sz w:val="24"/>
          <w:szCs w:val="24"/>
        </w:rPr>
        <w:t xml:space="preserve">This section reviews the four included studies of stream 5</w:t>
      </w:r>
      <w:r>
        <w:rPr>
          <w:rFonts w:ascii="Cambria" w:cs="Cambria" w:eastAsia="Cambria" w:hAnsi="Cambria"/>
          <w:color w:val="0000CC"/>
          <w:sz w:val="24"/>
          <w:szCs w:val="24"/>
        </w:rPr>
        <w:t xml:space="preserve">, namely Eneh et al. [44], Li et al. [51], Panagoulias et al. [57] and Hema et al. [64], and draws on the lifecycle evidence </w:t>
      </w:r>
      <w:r>
        <w:rPr>
          <w:rFonts w:ascii="Cambria" w:cs="Cambria" w:eastAsia="Cambria" w:hAnsi="Cambria"/>
          <w:color w:val="E6007E"/>
          <w:sz w:val="24"/>
          <w:szCs w:val="24"/>
        </w:rPr>
        <w:t xml:space="preserve">recorded for the included studies of the other streams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E6007E"/>
          <w:sz w:val="24"/>
          <w:szCs w:val="24"/>
        </w:rPr>
        <w:t xml:space="preserve">The fourth included study illustrates</w:t>
      </w:r>
      <w:r>
        <w:rPr>
          <w:rFonts w:ascii="Cambria" w:cs="Cambria" w:eastAsia="Cambria" w:hAnsi="Cambria"/>
          <w:color w:val="0000CC"/>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25 included studies, T5 is coded Yes in 8 and T6 in 7. Req 5, which requires enforcement in the decision, is Yes in 8.</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E6007E"/>
          <w:sz w:val="24"/>
          <w:szCs w:val="24"/>
        </w:rPr>
        <w:t xml:space="preserve">among the included studies a post-revocation denial</w:t>
      </w:r>
      <w:r>
        <w:rPr>
          <w:rFonts w:ascii="Cambria" w:cs="Cambria" w:eastAsia="Cambria" w:hAnsi="Cambria"/>
          <w:color w:val="0000CC"/>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Table 7 presents a summary of the included stream-5 studies</w:t>
      </w:r>
      <w:r>
        <w:rPr>
          <w:rFonts w:ascii="Cambria" w:cs="Cambria" w:eastAsia="Cambria" w:hAnsi="Cambria"/>
          <w:color w:val="0000CC"/>
          <w:sz w:val="24"/>
          <w:szCs w:val="24"/>
        </w:rPr>
        <w:t xml:space="preserve">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5 was coded and retained outside the corpus.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E6007E"/>
          <w:sz w:val="24"/>
          <w:szCs w:val="24"/>
        </w:rPr>
        <w:t xml:space="preserve">Stream 6 gathers the four included studies</w:t>
      </w:r>
      <w:r>
        <w:rPr>
          <w:rFonts w:ascii="Cambria" w:cs="Cambria" w:eastAsia="Cambria" w:hAnsi="Cambria"/>
          <w:color w:val="0000CC"/>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E6007E"/>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E6007E"/>
          <w:sz w:val="24"/>
          <w:szCs w:val="24"/>
        </w:rPr>
        <w:t xml:space="preserve">Table 9 summarises the position of the 25 included studies</w:t>
      </w:r>
      <w:r>
        <w:rPr>
          <w:rFonts w:ascii="Cambria" w:cs="Cambria" w:eastAsia="Cambria" w:hAnsi="Cambria"/>
          <w:color w:val="0000CC"/>
          <w:sz w:val="24"/>
          <w:szCs w:val="24"/>
        </w:rPr>
        <w:t xml:space="preserve"> against the six key requirements and positions the proposed framework relative to the existing literature. </w:t>
      </w:r>
      <w:r>
        <w:rPr>
          <w:rFonts w:ascii="Cambria" w:cs="Cambria" w:eastAsia="Cambria" w:hAnsi="Cambria"/>
          <w:color w:val="E6007E"/>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CC"/>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E6007E"/>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E6007E"/>
          <w:sz w:val="24"/>
          <w:szCs w:val="24"/>
        </w:rPr>
        <w:t xml:space="preserve">In the 13 included studies coded as partial, and in the supporting references, the consent is</w:t>
      </w:r>
      <w:r>
        <w:rPr>
          <w:rFonts w:ascii="Cambria" w:cs="Cambria" w:eastAsia="Cambria" w:hAnsi="Cambria"/>
          <w:color w:val="0000CC"/>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18 included studies coded as partial the identity is</w:t>
      </w:r>
      <w:r>
        <w:rPr>
          <w:rFonts w:ascii="Cambria" w:cs="Cambria" w:eastAsia="Cambria" w:hAnsi="Cambria"/>
          <w:color w:val="0000CC"/>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w:t>
      </w:r>
      <w:r>
        <w:rPr>
          <w:rFonts w:ascii="Cambria" w:cs="Cambria" w:eastAsia="Cambria" w:hAnsi="Cambria"/>
          <w:color w:val="E6007E"/>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CC"/>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w:t>
      </w:r>
      <w:r>
        <w:rPr>
          <w:rFonts w:ascii="Cambria" w:cs="Cambria" w:eastAsia="Cambria" w:hAnsi="Cambria"/>
          <w:color w:val="E6007E"/>
          <w:sz w:val="24"/>
          <w:szCs w:val="24"/>
        </w:rPr>
        <w:t xml:space="preserve">each requirement is satisfied by some of the 25 studies</w:t>
      </w:r>
      <w:r>
        <w:rPr>
          <w:rFonts w:ascii="Cambria" w:cs="Cambria" w:eastAsia="Cambria" w:hAnsi="Cambria"/>
          <w:color w:val="0000CC"/>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25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spacing w:after="140" w:line="300"/>
        <w:jc w:val="both"/>
      </w:pPr>
      <w:r>
        <w:rPr>
          <w:rFonts w:ascii="Cambria" w:cs="Cambria" w:eastAsia="Cambria" w:hAnsi="Cambria"/>
          <w:color w:val="0000CC"/>
          <w:sz w:val="24"/>
          <w:szCs w:val="24"/>
        </w:rPr>
        <w:t xml:space="preserve">It should be noted that the seven Controller boxes of Figure 6 collapse to the six Controller functions of Figure 7, because request validation is the entry step of identity verification rather than a separate function.</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000500" cy="6181725"/>
            <wp:effectExtent t="0" r="0" b="0" l="0"/>
            <wp:docPr id="1" name="fig6.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The steps that follow the threshold check are as follows.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E6007E"/>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E6007E"/>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E6007E"/>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E6007E"/>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E6007E"/>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E6007E"/>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E6007E"/>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E6007E"/>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E6007E"/>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E6007E"/>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E6007E"/>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E6007E"/>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E6007E"/>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CC"/>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4095750" cy="60007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6000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0dab734b3591fc6e44f28d70c229863ac765dd6c.png"/><Relationship Id="rId44" Type="http://schemas.openxmlformats.org/officeDocument/2006/relationships/image" Target="media/437d3b5dafb646c4afc365beb5e51e2de16280e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0d4f18238ad3012fc88599bbeba8f066669a9f4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2026-09-30T10:01:57.921Z</dcterms:created>
  <dcterms:modified xsi:type="dcterms:W3CDTF">2026-09-30T10:01:57.922Z</dcterms:modified>
</cp:coreProperties>
</file>

<file path=docProps/custom.xml><?xml version="1.0" encoding="utf-8"?>
<Properties xmlns="http://schemas.openxmlformats.org/officeDocument/2006/custom-properties" xmlns:vt="http://schemas.openxmlformats.org/officeDocument/2006/docPropsVTypes"/>
</file>